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Revue de direction du SMSI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Organisation : African Transport Systems (ATS Handling)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Périmètre : systèmes d'information numériques d'ATS, dont Police Bagage (voir PC-00)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RD-05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Clause 9.3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procédure à valider + modèle de compte rendu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la réunion par laquelle la direction pilote la sécurité et prend les décisions.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Planifier et tenir une première vraie réunion (l'ordre du jour est fourni à la fin).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 rédiger un compte rendu daté.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fixer la date de la première revue de direction. Le compte rendu daté est une preuve que l'auditeur demande.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La direction revoit le SMSI à intervalle planifié pour s'assurer qu'il reste
pertinent, adéquat et efficace, et pour décider des améliorations et des ressources.</w:t>
      </w:r>
    </w:p>
    <w:p>
      <w:pPr>
        <w:pStyle w:val="Heading2"/>
        <w:spacing w:after="60" w:before="160"/>
      </w:pPr>
      <w:r>
        <w:t xml:space="preserve">2. Fréquence</w:t>
      </w:r>
    </w:p>
    <w:p>
      <w:pPr>
        <w:spacing w:after="120"/>
      </w:pPr>
      <w:r>
        <w:t xml:space="preserve">Au moins une fois par an, et après tout incident critique ou changement majeur
(ouverture multi-compagnies, nouvel environnement, incident de données).</w:t>
      </w:r>
    </w:p>
    <w:p>
      <w:pPr>
        <w:pStyle w:val="Heading2"/>
        <w:spacing w:after="60" w:before="160"/>
      </w:pPr>
      <w:r>
        <w:t xml:space="preserve">3. Participants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Direction (décideur).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Responsable SMSI.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Développeur / administrateur système.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Représentant supervision (selon ordre du jour).</w:t>
      </w:r>
    </w:p>
    <w:p>
      <w:pPr>
        <w:pStyle w:val="Heading2"/>
        <w:spacing w:after="60" w:before="160"/>
      </w:pPr>
      <w:r>
        <w:t xml:space="preserve">4. Données d'entrée (exigées par la clause 9.3.2)</w:t>
      </w:r>
    </w:p>
    <w:p>
      <w:pPr>
        <w:spacing w:after="60"/>
        <w:ind w:left="360" w:hanging="360"/>
      </w:pPr>
      <w:r>
        <w:t xml:space="preserve">1. </w:t>
      </w:r>
      <w:r>
        <w:t xml:space="preserve">Suivi des actions décidées lors des revues précédentes.</w:t>
      </w:r>
    </w:p>
    <w:p>
      <w:pPr>
        <w:spacing w:after="60"/>
        <w:ind w:left="360" w:hanging="360"/>
      </w:pPr>
      <w:r>
        <w:t xml:space="preserve">2. </w:t>
      </w:r>
      <w:r>
        <w:t xml:space="preserve">Évolutions internes et externes pertinentes (multi-compagnies, réglementation).</w:t>
      </w:r>
    </w:p>
    <w:p>
      <w:pPr>
        <w:spacing w:after="60"/>
        <w:ind w:left="360" w:hanging="360"/>
      </w:pPr>
      <w:r>
        <w:t xml:space="preserve">3. </w:t>
      </w:r>
      <w:r>
        <w:t xml:space="preserve">Besoins et attentes des parties intéressées (passagers, autorité, compagnies).</w:t>
      </w:r>
    </w:p>
    <w:p>
      <w:pPr>
        <w:spacing w:after="60"/>
        <w:ind w:left="360" w:hanging="360"/>
      </w:pPr>
      <w:r>
        <w:t xml:space="preserve">4. </w:t>
      </w:r>
      <w:r>
        <w:t xml:space="preserve">Retour sur la performance de la sécurité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non-conformités et actions correctives 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résultats de la surveillance et des mesures (indicateurs) 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résultats des audits (interne AI-06, et audit technique du 2026-09-07) 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atteinte des objectifs de sécurité (PSI-01 §3).</w:t>
      </w:r>
    </w:p>
    <w:p>
      <w:pPr>
        <w:spacing w:after="60"/>
        <w:ind w:left="360" w:hanging="360"/>
      </w:pPr>
      <w:r>
        <w:t xml:space="preserve">5. </w:t>
      </w:r>
      <w:r>
        <w:t xml:space="preserve">Retour des parties intéressées.</w:t>
      </w:r>
    </w:p>
    <w:p>
      <w:pPr>
        <w:spacing w:after="60"/>
        <w:ind w:left="360" w:hanging="360"/>
      </w:pPr>
      <w:r>
        <w:t xml:space="preserve">6. </w:t>
      </w:r>
      <w:r>
        <w:t xml:space="preserve">Résultats de l'appréciation des risques et état du plan de traitement (RR-02).</w:t>
      </w:r>
    </w:p>
    <w:p>
      <w:pPr>
        <w:spacing w:after="60"/>
        <w:ind w:left="360" w:hanging="360"/>
      </w:pPr>
      <w:r>
        <w:t xml:space="preserve">7. </w:t>
      </w:r>
      <w:r>
        <w:t xml:space="preserve">Opportunités d'amélioration continue.</w:t>
      </w:r>
    </w:p>
    <w:p>
      <w:pPr>
        <w:pStyle w:val="Heading2"/>
        <w:spacing w:after="60" w:before="160"/>
      </w:pPr>
      <w:r>
        <w:t xml:space="preserve">5. Données de sortie (exigées par la clause 9.3.3)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Décisions d'amélioration continue.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Changements du SMSI (périmètre, politique, objectifs).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Ressources allouées.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Actions, responsables et échéances.</w:t>
      </w:r>
    </w:p>
    <w:p>
      <w:pPr>
        <w:pStyle w:val="Heading2"/>
        <w:spacing w:after="60" w:before="160"/>
      </w:pPr>
      <w:r>
        <w:t xml:space="preserve">6. Modèle de compte rendu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Revue de direction SMSI ([date])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Participants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Suivi des actions précédentes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Changements de contexte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Performance sécurité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Incidents depuis la dernière revue : [nombre, gravité]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Non-conformités / actions correctives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Indicateurs : [voir §7]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Résultats d'audits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Objectifs de sécurité : atteints / non atteints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Risques : risques ouverts &gt; appétit (RR-02) : R-05, R-08, R-09,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5. Décisions et actions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| Action | Responsable | Échéance |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| ------ | ----------- | -------- |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6. Prochaine revue : [date]</w:t>
      </w:r>
    </w:p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7. Indicateurs proposés (à valider)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645"/>
        <w:gridCol w:w="2327"/>
      </w:tblGrid>
      <w:tr>
        <w:trPr>
          <w:tblHeader/>
        </w:trPr>
        <w:tc>
          <w:tcPr>
            <w:tcW w:type="dxa" w:w="764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Indicateur</w:t>
            </w:r>
          </w:p>
        </w:tc>
        <w:tc>
          <w:tcPr>
            <w:tcW w:type="dxa" w:w="232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Cible proposée</w:t>
            </w:r>
          </w:p>
        </w:tc>
      </w:tr>
      <w:tr>
        <w:tc>
          <w:tcPr>
            <w:tcW w:type="dxa" w:w="764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admin/superviseur avec MFA</w:t>
            </w:r>
          </w:p>
        </w:tc>
        <w:tc>
          <w:tcPr>
            <w:tcW w:type="dxa" w:w="23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100 %</w:t>
            </w:r>
          </w:p>
        </w:tc>
      </w:tr>
      <w:tr>
        <w:tc>
          <w:tcPr>
            <w:tcW w:type="dxa" w:w="764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Risques résiduels &gt; 9 sans plan daté</w:t>
            </w:r>
          </w:p>
        </w:tc>
        <w:tc>
          <w:tcPr>
            <w:tcW w:type="dxa" w:w="23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0</w:t>
            </w:r>
          </w:p>
        </w:tc>
      </w:tr>
      <w:tr>
        <w:tc>
          <w:tcPr>
            <w:tcW w:type="dxa" w:w="764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Correctifs de vulnérabilités critiques appliqués</w:t>
            </w:r>
          </w:p>
        </w:tc>
        <w:tc>
          <w:tcPr>
            <w:tcW w:type="dxa" w:w="23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&lt; 30 jours</w:t>
            </w:r>
          </w:p>
        </w:tc>
      </w:tr>
      <w:tr>
        <w:tc>
          <w:tcPr>
            <w:tcW w:type="dxa" w:w="764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Test de restauration de sauvegarde réussi</w:t>
            </w:r>
          </w:p>
        </w:tc>
        <w:tc>
          <w:tcPr>
            <w:tcW w:type="dxa" w:w="23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 / an minimum</w:t>
            </w:r>
          </w:p>
        </w:tc>
      </w:tr>
      <w:tr>
        <w:tc>
          <w:tcPr>
            <w:tcW w:type="dxa" w:w="764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Incidents critiques non clôturés</w:t>
            </w:r>
          </w:p>
        </w:tc>
        <w:tc>
          <w:tcPr>
            <w:tcW w:type="dxa" w:w="23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0</w:t>
            </w:r>
          </w:p>
        </w:tc>
      </w:tr>
      <w:tr>
        <w:tc>
          <w:tcPr>
            <w:tcW w:type="dxa" w:w="764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Couverture CI (typecheck + tests) sur les poussées</w:t>
            </w:r>
          </w:p>
        </w:tc>
        <w:tc>
          <w:tcPr>
            <w:tcW w:type="dxa" w:w="23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100 %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8. Première revue : ordre du jour suggéré</w:t>
      </w:r>
    </w:p>
    <w:p>
      <w:pPr>
        <w:spacing w:after="60"/>
        <w:ind w:left="360" w:hanging="360"/>
      </w:pPr>
      <w:r>
        <w:t xml:space="preserve">1. </w:t>
      </w:r>
      <w:r>
        <w:t xml:space="preserve">Approuver la politique (PSI-01) et nommer le responsable SMSI.</w:t>
      </w:r>
    </w:p>
    <w:p>
      <w:pPr>
        <w:spacing w:after="60"/>
        <w:ind w:left="360" w:hanging="360"/>
      </w:pPr>
      <w:r>
        <w:t xml:space="preserve">2. </w:t>
      </w:r>
      <w:r>
        <w:t xml:space="preserve">Valider l'appétit au risque et le registre (RR-02).</w:t>
      </w:r>
    </w:p>
    <w:p>
      <w:pPr>
        <w:spacing w:after="60"/>
        <w:ind w:left="360" w:hanging="360"/>
      </w:pPr>
      <w:r>
        <w:t xml:space="preserve">3. </w:t>
      </w:r>
      <w:r>
        <w:t xml:space="preserve">Décider des trois risques prioritaires ouverts (R-05, R-08, R-09).</w:t>
      </w:r>
    </w:p>
    <w:p>
      <w:pPr>
        <w:spacing w:after="60"/>
        <w:ind w:left="360" w:hanging="360"/>
      </w:pPr>
      <w:r>
        <w:t xml:space="preserve">4. </w:t>
      </w:r>
      <w:r>
        <w:t xml:space="preserve">Planifier sauvegarde/DR (R-14) et le premier audit interne (AI-06).</w:t>
      </w:r>
    </w:p>
    <w:p>
      <w:pPr>
        <w:spacing w:after="60"/>
        <w:ind w:left="360" w:hanging="360"/>
      </w:pPr>
      <w:r>
        <w:t xml:space="preserve">5. </w:t>
      </w:r>
      <w:r>
        <w:t xml:space="preserve">Fixer les indicateurs et leurs cibles.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2026-09-10T13:37:19.600Z</dcterms:created>
  <dcterms:modified xsi:type="dcterms:W3CDTF">2026-09-10T13:37:19.600Z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