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 w:before="160"/>
      </w:pPr>
      <w:r>
        <w:t xml:space="preserve">Registre des risques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Organisation : African Transport Systems (ATS Handling)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Périmètre : systèmes d'information numériques d'ATS, dont Police Bagage (voir PC-00)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Référence : RR-02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Version : 0.1 (projet)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Date : 2026-09-07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Contrôle ISO/IEC 27001:2022 : Clause 6.1.2, 6.1.3, 8.2, 8.3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Statut : projet à valider</w:t>
      </w:r>
    </w:p>
    <w:p>
      <w:pPr>
        <w:pStyle w:val="Heading2"/>
        <w:spacing w:after="60" w:before="160"/>
      </w:pPr>
      <w:r>
        <w:t xml:space="preserve">Comment utiliser ce document</w:t>
      </w:r>
    </w:p>
    <w:p>
      <w:pPr>
        <w:spacing w:after="120"/>
      </w:pPr>
      <w:r>
        <w:t xml:space="preserve">C'est la liste de vos risques, avec leur gravité et leur état de traitement. C'est le document que vous consulterez le plus souvent.</w:t>
      </w:r>
    </w:p>
    <w:p>
      <w:pPr>
        <w:spacing w:after="120"/>
      </w:pPr>
      <w:r>
        <w:rPr>
          <w:b/>
          <w:bCs/>
        </w:rPr>
        <w:t xml:space="preserve">À faire 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Relire les risques et confirmer ceux que vous acceptez tels quels.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Pour les risques encore ouverts (portail public, double authentification, appareil mobile perdu), décider quoi faire et fixer une date.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Le mettre à jour après chaque correctif ou incident.</w:t>
      </w:r>
    </w:p>
    <w:p>
      <w:pPr>
        <w:spacing w:after="120"/>
      </w:pPr>
      <w:r>
        <w:rPr>
          <w:b/>
          <w:bCs/>
        </w:rPr>
        <w:t xml:space="preserve">Prochaine étape :</w:t>
      </w:r>
      <w:r>
        <w:t xml:space="preserve"> traiter en priorité les trois risques les plus élevés encore ouverts.</w:t>
      </w:r>
    </w:p>
    <w:p>
      <w:pPr>
        <w:pStyle w:val="Heading2"/>
        <w:spacing w:after="60" w:before="160"/>
      </w:pPr>
      <w:r>
        <w:t xml:space="preserve">Méthode</w:t>
      </w:r>
    </w:p>
    <w:p>
      <w:pPr>
        <w:spacing w:after="120"/>
      </w:pPr>
      <w:r>
        <w:t xml:space="preserve">Chaque risque est coté sur </w:t>
      </w:r>
      <w:r>
        <w:rPr>
          <w:b/>
          <w:bCs/>
        </w:rPr>
        <w:t xml:space="preserve">Vraisemblance (V)</w:t>
      </w:r>
      <w:r>
        <w:t xml:space="preserve"> et </w:t>
      </w:r>
      <w:r>
        <w:rPr>
          <w:b/>
          <w:bCs/>
        </w:rPr>
        <w:t xml:space="preserve">Impact (I)</w:t>
      </w:r>
      <w:r>
        <w:t xml:space="preserve"> de 1 (faible)
à 5 (élevé). Le </w:t>
      </w:r>
      <w:r>
        <w:rPr>
          <w:b/>
          <w:bCs/>
        </w:rPr>
        <w:t xml:space="preserve">niveau de risque = V × I</w:t>
      </w:r>
      <w:r>
        <w:t xml:space="preserve"> (1 à 25).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1 à 6 : faible ; 7 à 12 : moyen ; 13 à 19 : élevé ; 20 à 25 : critique.</w:t>
      </w:r>
    </w:p>
    <w:p>
      <w:pPr>
        <w:spacing w:after="120"/>
      </w:pPr>
      <w:r>
        <w:rPr>
          <w:b/>
          <w:bCs/>
        </w:rPr>
        <w:t xml:space="preserve">Appétit au risque (proposé, à valider par la direction) :</w:t>
      </w:r>
      <w:r>
        <w:t xml:space="preserve"> aucun risque
résiduel supérieur à 9 n'est accepté sans plan de traitement daté. Options de
traitement : réduire, accepter, transférer, éviter.</w:t>
      </w:r>
    </w:p>
    <w:p>
      <w:pPr>
        <w:spacing w:after="120"/>
      </w:pPr>
      <w:r>
        <w:t xml:space="preserve">Les cotations « après » reflètent l'état une fois les correctifs de l'audit du
2026-09-07 appliqués et déployés. « Résiduel » = risque restant à ce jour.</w:t>
      </w:r>
    </w:p>
    <w:p>
      <w:pPr>
        <w:pStyle w:val="Heading2"/>
        <w:spacing w:after="60" w:before="160"/>
      </w:pPr>
      <w:r>
        <w:t xml:space="preserve">Actifs primaires</w:t>
      </w:r>
    </w:p>
    <w:tbl>
      <w:tblPr>
        <w:tblW w:type="dxa" w:w="13572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5655"/>
        <w:gridCol w:w="3393"/>
        <w:gridCol w:w="4524"/>
      </w:tblGrid>
      <w:tr>
        <w:trPr>
          <w:tblHeader/>
        </w:trPr>
        <w:tc>
          <w:tcPr>
            <w:tcW w:type="dxa" w:w="5655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Actif</w:t>
            </w:r>
          </w:p>
        </w:tc>
        <w:tc>
          <w:tcPr>
            <w:tcW w:type="dxa" w:w="3393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Sensibilité</w:t>
            </w:r>
          </w:p>
        </w:tc>
        <w:tc>
          <w:tcPr>
            <w:tcW w:type="dxa" w:w="4524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Support</w:t>
            </w:r>
          </w:p>
        </w:tc>
      </w:tr>
      <w:tr>
        <w:tc>
          <w:tcPr>
            <w:tcW w:type="dxa" w:w="565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Données passagers (nom, PNR, itinéraire)</w:t>
            </w:r>
          </w:p>
        </w:tc>
        <w:tc>
          <w:tcPr>
            <w:tcW w:type="dxa" w:w="3393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PII (confidentialité)</w:t>
            </w:r>
          </w:p>
        </w:tc>
        <w:tc>
          <w:tcPr>
            <w:tcW w:type="dxa" w:w="4524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table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passengers</w:t>
            </w:r>
            <w:r>
              <w:t xml:space="preserve">, Supabase</w:t>
            </w:r>
          </w:p>
        </w:tc>
      </w:tr>
      <w:tr>
        <w:tc>
          <w:tcPr>
            <w:tcW w:type="dxa" w:w="565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Données anti-fraude (alertes, bagages)</w:t>
            </w:r>
          </w:p>
        </w:tc>
        <w:tc>
          <w:tcPr>
            <w:tcW w:type="dxa" w:w="3393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Intégrité forte</w:t>
            </w:r>
          </w:p>
        </w:tc>
        <w:tc>
          <w:tcPr>
            <w:tcW w:type="dxa" w:w="4524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tables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baggage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fraud_alerts</w:t>
            </w:r>
          </w:p>
        </w:tc>
      </w:tr>
      <w:tr>
        <w:tc>
          <w:tcPr>
            <w:tcW w:type="dxa" w:w="565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Comptes et rôles</w:t>
            </w:r>
          </w:p>
        </w:tc>
        <w:tc>
          <w:tcPr>
            <w:tcW w:type="dxa" w:w="3393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Contrôle d'accès</w:t>
            </w:r>
          </w:p>
        </w:tc>
        <w:tc>
          <w:tcPr>
            <w:tcW w:type="dxa" w:w="4524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table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profiles</w:t>
            </w:r>
            <w:r>
              <w:t xml:space="preserve">, Supabase Auth</w:t>
            </w:r>
          </w:p>
        </w:tc>
      </w:tr>
      <w:tr>
        <w:tc>
          <w:tcPr>
            <w:tcW w:type="dxa" w:w="565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Jetons de session</w:t>
            </w:r>
          </w:p>
        </w:tc>
        <w:tc>
          <w:tcPr>
            <w:tcW w:type="dxa" w:w="3393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Confidentialité</w:t>
            </w:r>
          </w:p>
        </w:tc>
        <w:tc>
          <w:tcPr>
            <w:tcW w:type="dxa" w:w="4524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PDA (AsyncStorage), navigateurs</w:t>
            </w:r>
          </w:p>
        </w:tc>
      </w:tr>
      <w:tr>
        <w:tc>
          <w:tcPr>
            <w:tcW w:type="dxa" w:w="565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Clé service_role</w:t>
            </w:r>
          </w:p>
        </w:tc>
        <w:tc>
          <w:tcPr>
            <w:tcW w:type="dxa" w:w="3393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Secret critique</w:t>
            </w:r>
          </w:p>
        </w:tc>
        <w:tc>
          <w:tcPr>
            <w:tcW w:type="dxa" w:w="4524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env serveur API / web</w:t>
            </w:r>
          </w:p>
        </w:tc>
      </w:tr>
      <w:tr>
        <w:tc>
          <w:tcPr>
            <w:tcW w:type="dxa" w:w="565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Code source</w:t>
            </w:r>
          </w:p>
        </w:tc>
        <w:tc>
          <w:tcPr>
            <w:tcW w:type="dxa" w:w="3393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Intégrité, disponibilité</w:t>
            </w:r>
          </w:p>
        </w:tc>
        <w:tc>
          <w:tcPr>
            <w:tcW w:type="dxa" w:w="4524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GitHub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60" w:before="160"/>
      </w:pPr>
      <w:r>
        <w:t xml:space="preserve">Registre</w:t>
      </w:r>
    </w:p>
    <w:tbl>
      <w:tblPr>
        <w:tblW w:type="dxa" w:w="13572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680"/>
        <w:gridCol w:w="2290"/>
        <w:gridCol w:w="1351"/>
        <w:gridCol w:w="948"/>
        <w:gridCol w:w="680"/>
        <w:gridCol w:w="680"/>
        <w:gridCol w:w="680"/>
        <w:gridCol w:w="2291"/>
        <w:gridCol w:w="1932"/>
        <w:gridCol w:w="680"/>
        <w:gridCol w:w="680"/>
        <w:gridCol w:w="680"/>
      </w:tblGrid>
      <w:tr>
        <w:trPr>
          <w:tblHeader/>
        </w:trPr>
        <w:tc>
          <w:tcPr>
            <w:tcW w:type="dxa" w:w="68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ID</w:t>
            </w:r>
          </w:p>
        </w:tc>
        <w:tc>
          <w:tcPr>
            <w:tcW w:type="dxa" w:w="229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Risque</w:t>
            </w:r>
          </w:p>
        </w:tc>
        <w:tc>
          <w:tcPr>
            <w:tcW w:type="dxa" w:w="1351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Actif</w:t>
            </w:r>
          </w:p>
        </w:tc>
        <w:tc>
          <w:tcPr>
            <w:tcW w:type="dxa" w:w="948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Constat lié</w:t>
            </w:r>
          </w:p>
        </w:tc>
        <w:tc>
          <w:tcPr>
            <w:tcW w:type="dxa" w:w="68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V</w:t>
            </w:r>
          </w:p>
        </w:tc>
        <w:tc>
          <w:tcPr>
            <w:tcW w:type="dxa" w:w="68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I</w:t>
            </w:r>
          </w:p>
        </w:tc>
        <w:tc>
          <w:tcPr>
            <w:tcW w:type="dxa" w:w="68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Avant</w:t>
            </w:r>
          </w:p>
        </w:tc>
        <w:tc>
          <w:tcPr>
            <w:tcW w:type="dxa" w:w="2291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Traitement</w:t>
            </w:r>
          </w:p>
        </w:tc>
        <w:tc>
          <w:tcPr>
            <w:tcW w:type="dxa" w:w="1932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Statut</w:t>
            </w:r>
          </w:p>
        </w:tc>
        <w:tc>
          <w:tcPr>
            <w:tcW w:type="dxa" w:w="68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V</w:t>
            </w:r>
          </w:p>
        </w:tc>
        <w:tc>
          <w:tcPr>
            <w:tcW w:type="dxa" w:w="68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I</w:t>
            </w:r>
          </w:p>
        </w:tc>
        <w:tc>
          <w:tcPr>
            <w:tcW w:type="dxa" w:w="68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Résiduel</w:t>
            </w:r>
          </w:p>
        </w:tc>
      </w:tr>
      <w:tr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R-01</w:t>
            </w:r>
          </w:p>
        </w:tc>
        <w:tc>
          <w:tcPr>
            <w:tcW w:type="dxa" w:w="229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Contournement de l'anti-fraude par écriture directe en base</w:t>
            </w:r>
          </w:p>
        </w:tc>
        <w:tc>
          <w:tcPr>
            <w:tcW w:type="dxa" w:w="1351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anti-fraude</w:t>
            </w:r>
          </w:p>
        </w:tc>
        <w:tc>
          <w:tcPr>
            <w:tcW w:type="dxa" w:w="94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C-01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4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20</w:t>
            </w:r>
          </w:p>
        </w:tc>
        <w:tc>
          <w:tcPr>
            <w:tcW w:type="dxa" w:w="2291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Réduire : RLS d'écriture scopée, rôle agent retiré</w:t>
            </w:r>
          </w:p>
        </w:tc>
        <w:tc>
          <w:tcPr>
            <w:tcW w:type="dxa" w:w="193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Traité (base)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</w:t>
            </w:r>
          </w:p>
        </w:tc>
      </w:tr>
      <w:tr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R-02</w:t>
            </w:r>
          </w:p>
        </w:tc>
        <w:tc>
          <w:tcPr>
            <w:tcW w:type="dxa" w:w="229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Évasion de cloisonnement par auto-modification du profil</w:t>
            </w:r>
          </w:p>
        </w:tc>
        <w:tc>
          <w:tcPr>
            <w:tcW w:type="dxa" w:w="1351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données inter-compagnies</w:t>
            </w:r>
          </w:p>
        </w:tc>
        <w:tc>
          <w:tcPr>
            <w:tcW w:type="dxa" w:w="94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C-02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4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20</w:t>
            </w:r>
          </w:p>
        </w:tc>
        <w:tc>
          <w:tcPr>
            <w:tcW w:type="dxa" w:w="2291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Réduire : trigger figeant compagnie/aéroport</w:t>
            </w:r>
          </w:p>
        </w:tc>
        <w:tc>
          <w:tcPr>
            <w:tcW w:type="dxa" w:w="193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Traité (base)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</w:t>
            </w:r>
          </w:p>
        </w:tc>
      </w:tr>
      <w:tr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R-03</w:t>
            </w:r>
          </w:p>
        </w:tc>
        <w:tc>
          <w:tcPr>
            <w:tcW w:type="dxa" w:w="229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Écritures inter-tenant depuis le dashboard</w:t>
            </w:r>
          </w:p>
        </w:tc>
        <w:tc>
          <w:tcPr>
            <w:tcW w:type="dxa" w:w="1351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données inter-compagnies</w:t>
            </w:r>
          </w:p>
        </w:tc>
        <w:tc>
          <w:tcPr>
            <w:tcW w:type="dxa" w:w="94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C-03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3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15</w:t>
            </w:r>
          </w:p>
        </w:tc>
        <w:tc>
          <w:tcPr>
            <w:tcW w:type="dxa" w:w="2291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Réduire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flight_in_scope</w:t>
            </w:r>
            <w:r>
              <w:t xml:space="preserve"> sur écritures</w:t>
            </w:r>
          </w:p>
        </w:tc>
        <w:tc>
          <w:tcPr>
            <w:tcW w:type="dxa" w:w="193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Traité (base)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</w:t>
            </w:r>
          </w:p>
        </w:tc>
      </w:tr>
      <w:tr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R-04</w:t>
            </w:r>
          </w:p>
        </w:tc>
        <w:tc>
          <w:tcPr>
            <w:tcW w:type="dxa" w:w="229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Destruction des preuves par suppression de vol</w:t>
            </w:r>
          </w:p>
        </w:tc>
        <w:tc>
          <w:tcPr>
            <w:tcW w:type="dxa" w:w="1351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alertes fraude</w:t>
            </w:r>
          </w:p>
        </w:tc>
        <w:tc>
          <w:tcPr>
            <w:tcW w:type="dxa" w:w="94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E-05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3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15</w:t>
            </w:r>
          </w:p>
        </w:tc>
        <w:tc>
          <w:tcPr>
            <w:tcW w:type="dxa" w:w="2291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Réduire : FK RESTRICT, suppression admin only</w:t>
            </w:r>
          </w:p>
        </w:tc>
        <w:tc>
          <w:tcPr>
            <w:tcW w:type="dxa" w:w="193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Traité (base)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</w:t>
            </w:r>
          </w:p>
        </w:tc>
      </w:tr>
      <w:tr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R-05</w:t>
            </w:r>
          </w:p>
        </w:tc>
        <w:tc>
          <w:tcPr>
            <w:tcW w:type="dxa" w:w="229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Exposition de PII passager sur le portail public</w:t>
            </w:r>
          </w:p>
        </w:tc>
        <w:tc>
          <w:tcPr>
            <w:tcW w:type="dxa" w:w="1351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données passagers</w:t>
            </w:r>
          </w:p>
        </w:tc>
        <w:tc>
          <w:tcPr>
            <w:tcW w:type="dxa" w:w="94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E-01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4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4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16</w:t>
            </w:r>
          </w:p>
        </w:tc>
        <w:tc>
          <w:tcPr>
            <w:tcW w:type="dxa" w:w="2291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Réduire : second facteur, masquage, rate-limit fiable</w:t>
            </w:r>
          </w:p>
        </w:tc>
        <w:tc>
          <w:tcPr>
            <w:tcW w:type="dxa" w:w="193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En attente (décision)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4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4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16</w:t>
            </w:r>
          </w:p>
        </w:tc>
      </w:tr>
      <w:tr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R-06</w:t>
            </w:r>
          </w:p>
        </w:tc>
        <w:tc>
          <w:tcPr>
            <w:tcW w:type="dxa" w:w="229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Réouverture/altération de litiges par le public</w:t>
            </w:r>
          </w:p>
        </w:tc>
        <w:tc>
          <w:tcPr>
            <w:tcW w:type="dxa" w:w="1351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intégrité litiges</w:t>
            </w:r>
          </w:p>
        </w:tc>
        <w:tc>
          <w:tcPr>
            <w:tcW w:type="dxa" w:w="94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E-02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3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3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9</w:t>
            </w:r>
          </w:p>
        </w:tc>
        <w:tc>
          <w:tcPr>
            <w:tcW w:type="dxa" w:w="2291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Réduire : pas de réouverture, notes bornées</w:t>
            </w:r>
          </w:p>
        </w:tc>
        <w:tc>
          <w:tcPr>
            <w:tcW w:type="dxa" w:w="193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Traité (code, à déployer)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3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3</w:t>
            </w:r>
          </w:p>
        </w:tc>
      </w:tr>
      <w:tr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R-07</w:t>
            </w:r>
          </w:p>
        </w:tc>
        <w:tc>
          <w:tcPr>
            <w:tcW w:type="dxa" w:w="229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IDOR inter-compagnies via l'API</w:t>
            </w:r>
          </w:p>
        </w:tc>
        <w:tc>
          <w:tcPr>
            <w:tcW w:type="dxa" w:w="1351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données inter-compagnies</w:t>
            </w:r>
          </w:p>
        </w:tc>
        <w:tc>
          <w:tcPr>
            <w:tcW w:type="dxa" w:w="94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E-03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3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4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12</w:t>
            </w:r>
          </w:p>
        </w:tc>
        <w:tc>
          <w:tcPr>
            <w:tcW w:type="dxa" w:w="2291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Réduire : contrôle compagnie dans l'API</w:t>
            </w:r>
          </w:p>
        </w:tc>
        <w:tc>
          <w:tcPr>
            <w:tcW w:type="dxa" w:w="193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Traité (code, à déployer)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4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4</w:t>
            </w:r>
          </w:p>
        </w:tc>
      </w:tr>
      <w:tr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R-08</w:t>
            </w:r>
          </w:p>
        </w:tc>
        <w:tc>
          <w:tcPr>
            <w:tcW w:type="dxa" w:w="229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Vol d'un PDA : jeton en clair, session non révocable</w:t>
            </w:r>
          </w:p>
        </w:tc>
        <w:tc>
          <w:tcPr>
            <w:tcW w:type="dxa" w:w="1351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jetons</w:t>
            </w:r>
          </w:p>
        </w:tc>
        <w:tc>
          <w:tcPr>
            <w:tcW w:type="dxa" w:w="94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E-07, E-12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3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4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12</w:t>
            </w:r>
          </w:p>
        </w:tc>
        <w:tc>
          <w:tcPr>
            <w:tcW w:type="dxa" w:w="2291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Réduire : SecureStore, révocation, verrou appareil</w:t>
            </w:r>
          </w:p>
        </w:tc>
        <w:tc>
          <w:tcPr>
            <w:tcW w:type="dxa" w:w="193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En attente (test PDA)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3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4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12</w:t>
            </w:r>
          </w:p>
        </w:tc>
      </w:tr>
      <w:tr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R-09</w:t>
            </w:r>
          </w:p>
        </w:tc>
        <w:tc>
          <w:tcPr>
            <w:tcW w:type="dxa" w:w="229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Compromission d'un compte sans second facteur</w:t>
            </w:r>
          </w:p>
        </w:tc>
        <w:tc>
          <w:tcPr>
            <w:tcW w:type="dxa" w:w="1351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comptes admin/superviseur</w:t>
            </w:r>
          </w:p>
        </w:tc>
        <w:tc>
          <w:tcPr>
            <w:tcW w:type="dxa" w:w="94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E-06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3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15</w:t>
            </w:r>
          </w:p>
        </w:tc>
        <w:tc>
          <w:tcPr>
            <w:tcW w:type="dxa" w:w="2291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Réduire : MFA imposée</w:t>
            </w:r>
          </w:p>
        </w:tc>
        <w:tc>
          <w:tcPr>
            <w:tcW w:type="dxa" w:w="193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En attente (console)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3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15</w:t>
            </w:r>
          </w:p>
        </w:tc>
      </w:tr>
      <w:tr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R-10</w:t>
            </w:r>
          </w:p>
        </w:tc>
        <w:tc>
          <w:tcPr>
            <w:tcW w:type="dxa" w:w="229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Déni de service / amplification (scan, rapports, API)</w:t>
            </w:r>
          </w:p>
        </w:tc>
        <w:tc>
          <w:tcPr>
            <w:tcW w:type="dxa" w:w="1351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disponibilité</w:t>
            </w:r>
          </w:p>
        </w:tc>
        <w:tc>
          <w:tcPr>
            <w:tcW w:type="dxa" w:w="94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E-08, M-03, N-01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3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3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9</w:t>
            </w:r>
          </w:p>
        </w:tc>
        <w:tc>
          <w:tcPr>
            <w:tcW w:type="dxa" w:w="2291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Réduire : rate-limit, plafonds, bornes</w:t>
            </w:r>
          </w:p>
        </w:tc>
        <w:tc>
          <w:tcPr>
            <w:tcW w:type="dxa" w:w="193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Traité (code, à déployer)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3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3</w:t>
            </w:r>
          </w:p>
        </w:tc>
      </w:tr>
      <w:tr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R-11</w:t>
            </w:r>
          </w:p>
        </w:tc>
        <w:tc>
          <w:tcPr>
            <w:tcW w:type="dxa" w:w="229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Vulnérabilité de dépendance exploitée (Next CVE)</w:t>
            </w:r>
          </w:p>
        </w:tc>
        <w:tc>
          <w:tcPr>
            <w:tcW w:type="dxa" w:w="1351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applications</w:t>
            </w:r>
          </w:p>
        </w:tc>
        <w:tc>
          <w:tcPr>
            <w:tcW w:type="dxa" w:w="94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N-02, F-03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3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4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12</w:t>
            </w:r>
          </w:p>
        </w:tc>
        <w:tc>
          <w:tcPr>
            <w:tcW w:type="dxa" w:w="2291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Réduire : montée Next/Fastify, audit en CI</w:t>
            </w:r>
          </w:p>
        </w:tc>
        <w:tc>
          <w:tcPr>
            <w:tcW w:type="dxa" w:w="193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 (versions bumpées, à déployer)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2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4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</w:t>
            </w:r>
          </w:p>
        </w:tc>
      </w:tr>
      <w:tr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R-12</w:t>
            </w:r>
          </w:p>
        </w:tc>
        <w:tc>
          <w:tcPr>
            <w:tcW w:type="dxa" w:w="229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Alerte fraude non écrite : superviseur non prévenu</w:t>
            </w:r>
          </w:p>
        </w:tc>
        <w:tc>
          <w:tcPr>
            <w:tcW w:type="dxa" w:w="1351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anti-fraude</w:t>
            </w:r>
          </w:p>
        </w:tc>
        <w:tc>
          <w:tcPr>
            <w:tcW w:type="dxa" w:w="94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E-04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2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10</w:t>
            </w:r>
          </w:p>
        </w:tc>
        <w:tc>
          <w:tcPr>
            <w:tcW w:type="dxa" w:w="2291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Réduire : contrôle des erreurs d'écriture</w:t>
            </w:r>
          </w:p>
        </w:tc>
        <w:tc>
          <w:tcPr>
            <w:tcW w:type="dxa" w:w="193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Traité (code, à déployer)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</w:t>
            </w:r>
          </w:p>
        </w:tc>
      </w:tr>
      <w:tr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R-13</w:t>
            </w:r>
          </w:p>
        </w:tc>
        <w:tc>
          <w:tcPr>
            <w:tcW w:type="dxa" w:w="229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Journal d'audit falsifiable</w:t>
            </w:r>
          </w:p>
        </w:tc>
        <w:tc>
          <w:tcPr>
            <w:tcW w:type="dxa" w:w="1351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traçabilité</w:t>
            </w:r>
          </w:p>
        </w:tc>
        <w:tc>
          <w:tcPr>
            <w:tcW w:type="dxa" w:w="94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F-01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2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4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</w:t>
            </w:r>
          </w:p>
        </w:tc>
        <w:tc>
          <w:tcPr>
            <w:tcW w:type="dxa" w:w="2291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Réduire : journal append-only par triggers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audit_log</w:t>
            </w:r>
            <w:r>
              <w:t xml:space="preserve">)</w:t>
            </w:r>
          </w:p>
        </w:tc>
        <w:tc>
          <w:tcPr>
            <w:tcW w:type="dxa" w:w="193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Traité (base)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4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4</w:t>
            </w:r>
          </w:p>
        </w:tc>
      </w:tr>
      <w:tr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R-14</w:t>
            </w:r>
          </w:p>
        </w:tc>
        <w:tc>
          <w:tcPr>
            <w:tcW w:type="dxa" w:w="229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Perte de données sans sauvegarde testée</w:t>
            </w:r>
          </w:p>
        </w:tc>
        <w:tc>
          <w:tcPr>
            <w:tcW w:type="dxa" w:w="1351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tous</w:t>
            </w:r>
          </w:p>
        </w:tc>
        <w:tc>
          <w:tcPr>
            <w:tcW w:type="dxa" w:w="94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F-15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2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10</w:t>
            </w:r>
          </w:p>
        </w:tc>
        <w:tc>
          <w:tcPr>
            <w:tcW w:type="dxa" w:w="2291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Réduire : PITR + export chiffré + test restauration</w:t>
            </w:r>
          </w:p>
        </w:tc>
        <w:tc>
          <w:tcPr>
            <w:tcW w:type="dxa" w:w="193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En attente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2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10</w:t>
            </w:r>
          </w:p>
        </w:tc>
      </w:tr>
      <w:tr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R-15</w:t>
            </w:r>
          </w:p>
        </w:tc>
        <w:tc>
          <w:tcPr>
            <w:tcW w:type="dxa" w:w="229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Fuite de la clé service_role</w:t>
            </w:r>
          </w:p>
        </w:tc>
        <w:tc>
          <w:tcPr>
            <w:tcW w:type="dxa" w:w="1351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secret critique</w:t>
            </w:r>
          </w:p>
        </w:tc>
        <w:tc>
          <w:tcPr>
            <w:tcW w:type="dxa" w:w="94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(positif actuel)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2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10</w:t>
            </w:r>
          </w:p>
        </w:tc>
        <w:tc>
          <w:tcPr>
            <w:tcW w:type="dxa" w:w="2291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Réduire : confinement serveur, rotation, scan secrets CI</w:t>
            </w:r>
          </w:p>
        </w:tc>
        <w:tc>
          <w:tcPr>
            <w:tcW w:type="dxa" w:w="193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 (scan CI ajouté)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</w:t>
            </w:r>
          </w:p>
        </w:tc>
      </w:tr>
      <w:tr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R-16</w:t>
            </w:r>
          </w:p>
        </w:tc>
        <w:tc>
          <w:tcPr>
            <w:tcW w:type="dxa" w:w="229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Escalade de privilège si l'inscription publique est réactivée</w:t>
            </w:r>
          </w:p>
        </w:tc>
        <w:tc>
          <w:tcPr>
            <w:tcW w:type="dxa" w:w="1351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comptes</w:t>
            </w:r>
          </w:p>
        </w:tc>
        <w:tc>
          <w:tcPr>
            <w:tcW w:type="dxa" w:w="94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I-01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</w:t>
            </w:r>
          </w:p>
        </w:tc>
        <w:tc>
          <w:tcPr>
            <w:tcW w:type="dxa" w:w="2291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Réduire : figer config Auth, ne pas accepter admin en métadonnées</w:t>
            </w:r>
          </w:p>
        </w:tc>
        <w:tc>
          <w:tcPr>
            <w:tcW w:type="dxa" w:w="193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En attente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</w:t>
            </w:r>
          </w:p>
        </w:tc>
      </w:tr>
      <w:tr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R-17</w:t>
            </w:r>
          </w:p>
        </w:tc>
        <w:tc>
          <w:tcPr>
            <w:tcW w:type="dxa" w:w="229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Absence de séparation dev/prod : erreur directe sur la prod</w:t>
            </w:r>
          </w:p>
        </w:tc>
        <w:tc>
          <w:tcPr>
            <w:tcW w:type="dxa" w:w="1351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tous</w:t>
            </w:r>
          </w:p>
        </w:tc>
        <w:tc>
          <w:tcPr>
            <w:tcW w:type="dxa" w:w="94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F-14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3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4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12</w:t>
            </w:r>
          </w:p>
        </w:tc>
        <w:tc>
          <w:tcPr>
            <w:tcW w:type="dxa" w:w="2291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Réduire : environnement de staging, migrations reproductibles</w:t>
            </w:r>
          </w:p>
        </w:tc>
        <w:tc>
          <w:tcPr>
            <w:tcW w:type="dxa" w:w="193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 (migrations rangées)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2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4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</w:t>
            </w:r>
          </w:p>
        </w:tc>
      </w:tr>
      <w:tr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R-18</w:t>
            </w:r>
          </w:p>
        </w:tc>
        <w:tc>
          <w:tcPr>
            <w:tcW w:type="dxa" w:w="229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Régression de sécurité mise en prod sans contrôle</w:t>
            </w:r>
          </w:p>
        </w:tc>
        <w:tc>
          <w:tcPr>
            <w:tcW w:type="dxa" w:w="1351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tous</w:t>
            </w:r>
          </w:p>
        </w:tc>
        <w:tc>
          <w:tcPr>
            <w:tcW w:type="dxa" w:w="94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F-13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3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3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9</w:t>
            </w:r>
          </w:p>
        </w:tc>
        <w:tc>
          <w:tcPr>
            <w:tcW w:type="dxa" w:w="2291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Réduire : CI (typecheck, tests, audit, secrets)</w:t>
            </w:r>
          </w:p>
        </w:tc>
        <w:tc>
          <w:tcPr>
            <w:tcW w:type="dxa" w:w="193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Traité (CI ajoutée, à activer)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3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3</w:t>
            </w:r>
          </w:p>
        </w:tc>
      </w:tr>
      <w:tr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R-19</w:t>
            </w:r>
          </w:p>
        </w:tc>
        <w:tc>
          <w:tcPr>
            <w:tcW w:type="dxa" w:w="229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MITM sur un PDA partagé (pas de pinning)</w:t>
            </w:r>
          </w:p>
        </w:tc>
        <w:tc>
          <w:tcPr>
            <w:tcW w:type="dxa" w:w="1351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jetons, PII</w:t>
            </w:r>
          </w:p>
        </w:tc>
        <w:tc>
          <w:tcPr>
            <w:tcW w:type="dxa" w:w="94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I-03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2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3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6</w:t>
            </w:r>
          </w:p>
        </w:tc>
        <w:tc>
          <w:tcPr>
            <w:tcW w:type="dxa" w:w="2291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Réduire : certificate pinning</w:t>
            </w:r>
          </w:p>
        </w:tc>
        <w:tc>
          <w:tcPr>
            <w:tcW w:type="dxa" w:w="193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En attente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2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3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6</w:t>
            </w:r>
          </w:p>
        </w:tc>
      </w:tr>
      <w:tr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R-20</w:t>
            </w:r>
          </w:p>
        </w:tc>
        <w:tc>
          <w:tcPr>
            <w:tcW w:type="dxa" w:w="229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Injection de formule / en-tête via rapports et champs libres</w:t>
            </w:r>
          </w:p>
        </w:tc>
        <w:tc>
          <w:tcPr>
            <w:tcW w:type="dxa" w:w="1351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intégrité rapports</w:t>
            </w:r>
          </w:p>
        </w:tc>
        <w:tc>
          <w:tcPr>
            <w:tcW w:type="dxa" w:w="94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M-02, M-08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2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2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4</w:t>
            </w:r>
          </w:p>
        </w:tc>
        <w:tc>
          <w:tcPr>
            <w:tcW w:type="dxa" w:w="2291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Réduire : assainissement</w:t>
            </w:r>
          </w:p>
        </w:tc>
        <w:tc>
          <w:tcPr>
            <w:tcW w:type="dxa" w:w="193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Traité (code, à déployer)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2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2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60" w:before="160"/>
      </w:pPr>
      <w:r>
        <w:t xml:space="preserve">Risques ouverts prioritaires (résiduel élevé)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R-05</w:t>
      </w:r>
      <w:r>
        <w:t xml:space="preserve"> (16) : PII portail public. Décision produit attendue.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R-09</w:t>
      </w:r>
      <w:r>
        <w:t xml:space="preserve"> (15) : MFA absente. Réglage console.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R-08</w:t>
      </w:r>
      <w:r>
        <w:t xml:space="preserve"> (12) : PDA volé. Test appareil requis.</w:t>
      </w:r>
    </w:p>
    <w:p>
      <w:pPr>
        <w:spacing w:after="120"/>
      </w:pPr>
      <w:r>
        <w:t xml:space="preserve">Ces trois dépassent l'appétit proposé et doivent recevoir un plan de traitement daté.</w:t>
      </w:r>
    </w:p>
    <w:p>
      <w:pPr>
        <w:pStyle w:val="Heading2"/>
        <w:spacing w:after="60" w:before="160"/>
      </w:pPr>
      <w:r>
        <w:t xml:space="preserve">Revue</w:t>
      </w:r>
    </w:p>
    <w:p>
      <w:pPr>
        <w:spacing w:after="120"/>
      </w:pPr>
      <w:r>
        <w:t xml:space="preserve">Le registre est revu à chaque revue de direction et après tout incident. Chaque
ligne « En attente » ou « Partiel » porte une date cible (à renseigner).</w:t>
      </w:r>
    </w:p>
    <w:sectPr>
      <w:pgSz w:w="15840" w:h="12240" w:orient="landscape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rPr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rPr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b/>
      <w:bCs/>
      <w:color w:val="000000"/>
      <w:sz w:val="23"/>
      <w:szCs w:val="23"/>
    </w:rPr>
  </w:style>
  <w:style w:type="paragraph" w:styleId="Heading5">
    <w:name w:val="Heading 5"/>
    <w:basedOn w:val="Normal"/>
    <w:next w:val="Normal"/>
    <w:qFormat/>
    <w:rPr>
      <w:b/>
      <w:bCs/>
      <w:color w:val="000000"/>
      <w:sz w:val="23"/>
      <w:szCs w:val="23"/>
    </w:rPr>
  </w:style>
  <w:style w:type="paragraph" w:styleId="Heading6">
    <w:name w:val="Heading 6"/>
    <w:basedOn w:val="Normal"/>
    <w:next w:val="Normal"/>
    <w:qFormat/>
    <w:rPr>
      <w:b/>
      <w:bCs/>
      <w:color w:val="000000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2026-09-10T13:37:19.390Z</dcterms:created>
  <dcterms:modified xsi:type="dcterms:W3CDTF">2026-09-10T13:37:19.390Z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