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ATS/CSI/PGI-04/2026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Développeur Full Stack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PROCÉDURE DE GESTION DES INCIDENTS DE SÉCURITÉ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PGI-04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marche à suivre quand un problème de sécurité survient (compte compromis, appareil volé, fuite). Le faire lire à toute l'équipe pour que les bons réflexes soient connus. Définir clairement le canal de signalement : qui appeler, comment. Faire une fois un exercice sur table, par exemple « un PDA a été volé ». La prochaine étape consiste à désigner qui reçoit les signalements et commencer à tenir le registre des incidents.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120" w:before="280"/>
      </w:pPr>
      <w:r>
        <w:rPr>
          <w:b/>
          <w:bCs/>
        </w:rPr>
        <w:t xml:space="preserve">II. DISTINCTION IMPORTANTE</w:t>
      </w:r>
    </w:p>
    <w:p>
      <w:pPr>
        <w:spacing w:after="140"/>
        <w:jc w:val="both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40"/>
        <w:jc w:val="both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Vulnérabilité critique exploitée sur une application.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Coupure de la connectivité d'une escale pendant un enregistrement.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Poste d'enregistrement d'une compagnie compromis ou indisponible avant un vol.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Matériel d'une compagnie perdu, volé ou dégradé sous garde du CSI.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SIGNALEMENT (A.6.8)</w:t>
      </w:r>
    </w:p>
    <w:p>
      <w:pPr>
        <w:spacing w:after="140"/>
        <w:jc w:val="both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40"/>
        <w:jc w:val="both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120" w:before="280"/>
      </w:pPr>
      <w:r>
        <w:rPr>
          <w:b/>
          <w:bCs/>
        </w:rPr>
        <w:t xml:space="preserve">IV. CLASSIFICATION ET PRIORITÉ (A.5.25)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4697"/>
        <w:gridCol w:w="3475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469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Définition</w:t>
            </w:r>
          </w:p>
        </w:tc>
        <w:tc>
          <w:tcPr>
            <w:tcW w:type="dxa" w:w="347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Délai de prise en charge (proposé)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Critique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Données passagers exposées, secret compromis, anti-fraude contournée en prod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immédiat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Élevé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 sensible compromis, PDA volé, indisponibilité en embarquement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1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Moyen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anormal contenu, vulnérabilité élevée non exploitée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24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Faible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Événement mineur, tentative bloquée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72 h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RÉPONSE (A.5.26)</w:t>
      </w:r>
    </w:p>
    <w:p>
      <w:pPr>
        <w:spacing w:after="140"/>
        <w:jc w:val="both"/>
      </w:pPr>
      <w:r>
        <w:t xml:space="preserve">Étapes types, à adapter :</w:t>
      </w:r>
    </w:p>
    <w:p>
      <w:pPr>
        <w:spacing w:after="80"/>
        <w:ind w:left="567" w:hanging="360"/>
        <w:jc w:val="both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80"/>
        <w:ind w:left="567" w:hanging="360"/>
        <w:jc w:val="both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80"/>
        <w:ind w:left="567" w:hanging="360"/>
        <w:jc w:val="both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80"/>
        <w:ind w:left="567" w:hanging="360"/>
        <w:jc w:val="both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80"/>
        <w:ind w:left="567" w:hanging="360"/>
        <w:jc w:val="both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</w:rPr>
        <w:t xml:space="preserve">Fiches réflexes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Coupure Starlink pendant un vol :</w:t>
      </w:r>
      <w:r>
        <w:t xml:space="preserve"> basculer sur la liaison de secours si elle
existe, appliquer la procédure dégradée convenue avec la compagnie, prévenir la
compagnie et le Responsable Informatique, consigner l'heure et la durée.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Poste de compagnie compromis :</w:t>
      </w:r>
      <w:r>
        <w:t xml:space="preserve"> isoler le poste du réseau, prévenir la compagnie,
le réinstaller depuis une image saine avant remise en service, consigner.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Matériel de compagnie perdu ou volé :</w:t>
      </w:r>
      <w:r>
        <w:t xml:space="preserve"> prévenir la compagnie et la Direction,
déclarer auprès de l'exploitant aéroportuaire, révoquer les accès éventuels, consigner.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JOURNAL DES INCIDENTS</w:t>
      </w:r>
    </w:p>
    <w:p>
      <w:pPr>
        <w:spacing w:after="140"/>
        <w:jc w:val="both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900"/>
        <w:gridCol w:w="1166"/>
        <w:gridCol w:w="1743"/>
        <w:gridCol w:w="1166"/>
        <w:gridCol w:w="1166"/>
        <w:gridCol w:w="2031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174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Actions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Clôture</w:t>
            </w:r>
          </w:p>
        </w:tc>
        <w:tc>
          <w:tcPr>
            <w:tcW w:type="dxa" w:w="203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Enseignements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74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RETOUR D'EXPÉRIENCE (A.5.27)</w:t>
      </w:r>
    </w:p>
    <w:p>
      <w:pPr>
        <w:spacing w:after="140"/>
        <w:jc w:val="both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120" w:before="280"/>
      </w:pPr>
      <w:r>
        <w:rPr>
          <w:b/>
          <w:bCs/>
        </w:rPr>
        <w:t xml:space="preserve">VIII. TEST</w:t>
      </w:r>
    </w:p>
    <w:p>
      <w:pPr>
        <w:spacing w:after="140"/>
        <w:jc w:val="both"/>
      </w:pPr>
      <w:r>
        <w:t xml:space="preserve">La procédure est testée au moins une fois par an par un exercice sur table
(scénario simulé, ex. « PDA volé »), sans toucher à la production.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/>
            </w:r>
          </w:p>
          <w:p>
            <w:pPr>
              <w:spacing w:after="6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6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2026-09-10T16:27:58.242Z</dcterms:created>
  <dcterms:modified xsi:type="dcterms:W3CDTF">2026-09-10T16:27:58.242Z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