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ATS/SSI/SOA-03/2026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DÉCLARATION D'APPLICABILITÉ (SOA)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SOA-03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liste complète des 93 mesures de la norme et votre position sur chacune. Elle sert surtout de référence à l'auditeur. L'utiliser comme une liste de contrôle, sans chercher à tout remplir d'un coup. Planifier progressivement les lignes marquées « à faire ». La prochaine étape consiste à choisir trois à cinq mesures « à faire » à traiter ce trimestre.</w:t>
      </w:r>
    </w:p>
    <w:p>
      <w:pPr>
        <w:pStyle w:val="Heading2"/>
        <w:spacing w:after="120" w:before="280"/>
      </w:pPr>
      <w:r>
        <w:rPr>
          <w:b/>
          <w:bCs/>
        </w:rPr>
        <w:t xml:space="preserve">I. LÉGENDE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60"/>
      </w:pPr>
      <w:r>
        <w:t xml:space="preserve"/>
      </w:r>
    </w:p>
    <w:p>
      <w:pPr>
        <w:spacing w:after="140"/>
        <w:jc w:val="both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20"/>
          <w:szCs w:val="20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20"/>
          <w:szCs w:val="20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</w:rPr>
        <w:t xml:space="preserve">II. A.5 MESURES ORGANISATIONNELLES (37)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596"/>
        <w:gridCol w:w="900"/>
        <w:gridCol w:w="3676"/>
        <w:gridCol w:w="900"/>
      </w:tblGrid>
      <w:tr>
        <w:trPr>
          <w:tblHeader/>
        </w:trPr>
        <w:tc>
          <w:tcPr>
            <w:tcW w:type="dxa" w:w="359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7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 Politiques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PSI-01 rédigée, à approuver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 Fonctions et responsabilités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Rôles définis dans PSI-01, titulaires à nommer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 Séparation des tâches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admin/superviseur/agent séparés ; suppression de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5.4 Responsabilités de la direction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Revue de direction RD-05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5.5 Relations avec les autorités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Contact autorité aviation civile / protection données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5.6 Relations avec groupes spécialisés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Veille via advisors Supabase, avis CVE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5.7 Renseignement sur les menaces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Advisors Supabase + npm audit en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5.8 Sécurité dans la gestion de projet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intégrer au processus de dev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5.9 Inventaire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Amorcé dans RR-02 ; inventaire formel à tenir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5.10 Utilisation acceptable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Charte d'usage PDA/comptes à rédiger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5.11 Restitution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Procédure de départ (PDA, comptes)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5.12 Classification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passagers / anti-fraude à classifier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5.13 Marquage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Découle de 5.12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5.14 Transfert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HTTPS partout ; règles d'échange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5.15 Contrôle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+ rôles ; renforcé (C-01/C-02/C-03)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5.16 Gestion des identités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nominatifs à généraliser (E-12) ; matricule staff_code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5.17 Informations d'authentification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Mots de passe Supabase ; MFA à imposer (E-06) ; HIBP (F-02)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5.18 Droits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Attribution/retrait par admin ; revue périodique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5.19 Sécurité dans les relations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Supabase, Hostinger, GitHub, Expo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5.20 Sécurité dans les accords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Revue des engagements (SLA, données)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5.21 Sécurité dans la chaîne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Dépendances npm ; audit en CI (F-32)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5.22 Suivi des services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Suivi des changements Supabase/Hostinger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5.23 Sécurité des services cloud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Supabase/Hostinger : config, sauvegarde, 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5.24 Préparation gestion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PGI-04 rédigée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5.25 Évaluation des événements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Classification définie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5.26 Réponse aux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Fiches réflexes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5.27 Tirer les leçons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Retour d'expérience prévu (PGI-04 §7)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5.28 Collecte de preuves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Journaux Supabase/API/movement_log ; journal inaltérable à faire (F-01)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5.29 Sécurité pendant une perturbation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Continuité pendant incident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5.30 Continuité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PITR/DR à mettre en place et tester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5.31 Exigences légales et réglementaires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Registre des obligations (PII, aviation) à établir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5.32 Propriété intellectuelle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Licences des dépendances à suivre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5.33 Protection des enregistrements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Alertes protégées de la suppression (E-05) ; rétention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5.34 Protection de la vie privée (PII)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 ; exposition portail à corriger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5.35 Revue indépendante de la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du 2026-09-07 ; à répéter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5.36 Conformité aux politiques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Vérifiée en revue de direction et audit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5.37 Procédures d'exploitation documentées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Manuels existants (docs/) ; procédures secours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A.6 MESURES LIÉES AUX PERSONNES (8)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191"/>
        <w:gridCol w:w="915"/>
        <w:gridCol w:w="4066"/>
        <w:gridCol w:w="900"/>
      </w:tblGrid>
      <w:tr>
        <w:trPr>
          <w:tblHeader/>
        </w:trPr>
        <w:tc>
          <w:tcPr>
            <w:tcW w:type="dxa" w:w="31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1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40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6.1 Sélection (screening)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Recrutement des agents/superviseurs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6.2 Conditions d'embauche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Clause de sécurité dans les contrats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6.3 Sensibilisation et formation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Sensibilisation phishing/PDA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6.4 Processus disciplinaire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Référencé dans PSI-01 §7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6.5 Responsabilités après départ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Retrait des accès, restitution PDA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6.6 Accords de confidentialité (NDA)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Pour les personnes accédant aux PII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6.7 Travail à distance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Superviseurs sur poste web ; règles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6.8 Signalement des événements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Canal de signalement dans PGI-04 §3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A.7 MESURES PHYSIQUES (14)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473"/>
        <w:gridCol w:w="900"/>
        <w:gridCol w:w="3799"/>
        <w:gridCol w:w="900"/>
      </w:tblGrid>
      <w:tr>
        <w:trPr>
          <w:tblHeader/>
        </w:trPr>
        <w:tc>
          <w:tcPr>
            <w:tcW w:type="dxa" w:w="347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799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 Périmètres de sécurité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Zones aéroportuaires (sous contrôle exploitant)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7.2 Entrées physiques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Idem,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7.3 Bureaux, salles et installations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Poste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7.4 Surveillance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Selon l'aéroport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7.5 Menaces physiques et environnementales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Hébergement délégué (Supabase/Hostinger)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7.6 Travail en zones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Salle de supervision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7.7 Bureau et écran net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Verrouillage écran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7.8 Emplacement et protection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PDA, postes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7.9 Sécurité des actifs hors site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sur le terrain (E-07, E-12)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7.10 Supports de stockage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support amovible prévu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7.11 Services supports (utilities)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Délégué aux hébergeurs cloud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7.12 Sécurité du câblage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d'infra réseau propre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7.13 Maintenance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(flotte à gérer)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7.14 Mise au rebut / réemploi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Effacement d'un PDA réformé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A.8 MESURES TECHNOLOGIQUES (34)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636"/>
        <w:gridCol w:w="900"/>
        <w:gridCol w:w="3636"/>
        <w:gridCol w:w="900"/>
      </w:tblGrid>
      <w:tr>
        <w:trPr>
          <w:tblHeader/>
        </w:trPr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 Terminaux utilisateurs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non publique (test fermé) ; PDA : stockage sécurisé (E-07), backup off, pinning (I-03)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 Droits d'accès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 admin restreint ; suppression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 Restriction d'accès à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scopée par compagnie/aéroport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8.4 Accès au code source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GitHub ; protection de branche à activer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8.5 Authentification sécurisée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 Auth ; MFA à imposer (E-06), re-auth (M-07)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8.6 Gestion de la capacité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Cache/compteurs bornés (F-05) ; suivi charge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8.7 Protection contre les logiciels malveillants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Surface réduite (pas d'upload de fichiers)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8.8 Gestion des vulnérabilités techniques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npm audit en CI (F-32), montée Next/Fastify (N-02)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8.9 Gestion de la configuration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Config Auth as-code à figer (I-01)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8.10 Suppression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Rétention et purge PII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8.11 Masquage des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Masquage nom sur portail public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8.12 Prévention de fuite de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service_role confinée ; scan secrets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8.13 Sauvegarde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 + export chiffré + test restauration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8.14 Redondance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Redondance Supabase (offre) à confirmer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8.15 Journalisation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Logs Supabase/API ; journal métier movement_log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8.16 Surveillance des activités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movement_log ; alerting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8.17 Synchronisation d'horloge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Journée d'exploitation calculée serveur (jour PDA non fiable)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8.18 Utilitaires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SQL restreint (service_role serveur)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8.19 Installation de logiciels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mobile distribuée en test fermé Google Play, sur liste nominative de testeurs ; déploiements web contrôlés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8.20 Sécurité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HTTPS ; en-têtes de sécurité (M-01)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8.21 Sécurité des services réseau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Endpoints API/portails ; rate-limit (E-08)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8.22 Cloisonnement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Architecture serverless/managée, pas de segmentation propre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8.23 Filtrage web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navigation sortante contrôlée côté produit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8.24 Cryptographie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TLS ; jetons ; stockage sécurisé PDA à venir (E-07)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8.25 Cycle de développement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CI ajoutée (F-13) ; revue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8.26 Exigences de sécurité applicative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Anti-fraude serveur testée ; validation d'entrée (M-04)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8.27 Architecture et ingénierie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Identité dérivée du JWT ; défense en profondeur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8.28 Codage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Assainissement (M-02) ; gestion d'erreurs (F-03)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8.29 Tests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Tests unitaires anti-fraude ; fuzzing ; tests RBAC à ajouter (F-31)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8.30 Développement externalisé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Développement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8.31 Séparation dev/test/prod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Environnement de staging à créer (F-14)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8.32 Gestion des changements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Migrations versionnées reproductibles (F-14) ;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8.33 Informations de test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données de test dédiées ;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8.34 Protection lors des tests d'audit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non destructif (transactions annulées)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SYNTHÈSE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2791"/>
        <w:gridCol w:w="6281"/>
      </w:tblGrid>
      <w:tr>
        <w:trPr>
          <w:tblHeader/>
        </w:trPr>
        <w:tc>
          <w:tcPr>
            <w:tcW w:type="dxa" w:w="27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  <w:tc>
          <w:tcPr>
            <w:tcW w:type="dxa" w:w="628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Nombre (indicatif)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~43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~37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  <w:jc w:val="both"/>
      </w:pPr>
      <w:r>
        <w:t xml:space="preserve">Les mesures « N/A » sont justifiées par l'architecture (services cloud managés,
pas d'infra réseau/physique propre, développement interne). Toute évolution
(infra propre, sous-traitance) rouvrira ces mesures.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de la Sécurité de l'Information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Martin Bitha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2026-09-10T14:26:17.950Z</dcterms:created>
  <dcterms:modified xsi:type="dcterms:W3CDTF">2026-09-10T14:26:17.950Z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