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b/>
          <w:bCs/>
          <w:color w:val="000000"/>
          <w:sz w:val="30"/>
          <w:szCs w:val="30"/>
        </w:rPr>
        <w:t xml:space="preserve">AFRICAN TRANSPORT SYSTEMS</w:t>
      </w:r>
    </w:p>
    <w:p>
      <w:pPr>
        <w:spacing w:after="40"/>
        <w:jc w:val="center"/>
      </w:pPr>
      <w:r>
        <w:rPr>
          <w:b/>
          <w:bCs/>
          <w:color w:val="000000"/>
          <w:sz w:val="22"/>
          <w:szCs w:val="22"/>
        </w:rPr>
        <w:t xml:space="preserve">ATS HANDLING</w:t>
      </w:r>
    </w:p>
    <w:p>
      <w:pPr>
        <w:spacing w:after="0"/>
        <w:jc w:val="center"/>
      </w:pPr>
      <w:r>
        <w:rPr>
          <w:b w:val="false"/>
          <w:bCs w:val="false"/>
          <w:color w:val="404040"/>
          <w:sz w:val="18"/>
          <w:szCs w:val="18"/>
        </w:rPr>
        <w:t xml:space="preserve">Assistance en escale, fret, sûreté aéroportuaire, manutention, solutions informatiques</w:t>
      </w:r>
    </w:p>
    <w:p>
      <w:pPr>
        <w:spacing w:after="0"/>
        <w:jc w:val="center"/>
      </w:pPr>
      <w:r>
        <w:rPr>
          <w:b w:val="false"/>
          <w:bCs w:val="false"/>
          <w:color w:val="404040"/>
          <w:sz w:val="18"/>
          <w:szCs w:val="18"/>
        </w:rPr>
        <w:t xml:space="preserve">11e niveau, Immeuble Equity BCDC, 15, Boulevard du 30 Juin, Gombe, Kinshasa, République Démocratique du Congo</w:t>
      </w:r>
    </w:p>
    <w:p>
      <w:pPr>
        <w:spacing w:after="0"/>
        <w:jc w:val="center"/>
      </w:pPr>
      <w:r>
        <w:rPr>
          <w:b w:val="false"/>
          <w:bCs w:val="false"/>
          <w:color w:val="404040"/>
          <w:sz w:val="18"/>
          <w:szCs w:val="18"/>
        </w:rPr>
        <w:t xml:space="preserve">Tél. : +243 819 929 881   /   E-mail : contact@ats-handling-rdc.com   /   www.ats-handling-rdc.com</w:t>
      </w:r>
    </w:p>
    <w:p>
      <w:pPr>
        <w:spacing w:after="60"/>
        <w:jc w:val="center"/>
      </w:pPr>
      <w:r>
        <w:rPr>
          <w:b w:val="false"/>
          <w:bCs w:val="false"/>
          <w:color w:val="404040"/>
          <w:sz w:val="18"/>
          <w:szCs w:val="18"/>
        </w:rPr>
        <w:t xml:space="preserve">RCCM : N° CD/KIN/RCCM/14-B-6513   /   Id. Nat. : 01-H4901-N39529 E   /   N° Impôt : A0801049A</w:t>
      </w:r>
    </w:p>
    <w:p>
      <w:pPr>
        <w:pBdr>
          <w:bottom w:val="double" w:color="000000" w:sz="6"/>
        </w:pBdr>
        <w:spacing w:after="240"/>
      </w:pPr>
    </w:p>
    <w:tbl>
      <w:tblPr>
        <w:tblW w:type="dxa" w:w="9072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990"/>
        <w:gridCol w:w="4082"/>
      </w:tblGrid>
      <w:tr>
        <w:tc>
          <w:tcPr>
            <w:tcW w:type="dxa" w:w="499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left"/>
            </w:pPr>
            <w:r>
              <w:t xml:space="preserve">N/Réf. : ATS/CSI/SOA-03/2026</w:t>
            </w:r>
          </w:p>
        </w:tc>
        <w:tc>
          <w:tcPr>
            <w:tcW w:type="dxa" w:w="408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right"/>
            </w:pPr>
            <w:r>
              <w:t xml:space="preserve">Kinshasa, le 7 septembre 2026</w:t>
            </w:r>
          </w:p>
        </w:tc>
      </w:tr>
      <w:tr>
        <w:tc>
          <w:tcPr>
            <w:tcW w:type="dxa" w:w="499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left"/>
            </w:pPr>
            <w:r>
              <w:rPr>
                <w:color w:val="404040"/>
                <w:sz w:val="20"/>
                <w:szCs w:val="20"/>
              </w:rPr>
              <w:t xml:space="preserve">Version 0.1 (projet)</w:t>
            </w:r>
          </w:p>
        </w:tc>
        <w:tc>
          <w:tcPr>
            <w:tcW w:type="dxa" w:w="408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right"/>
            </w:pPr>
            <w:r>
              <w:t xml:space="preserve"/>
            </w:r>
          </w:p>
        </w:tc>
      </w:tr>
      <w:tr>
        <w:tc>
          <w:tcPr>
            <w:tcW w:type="dxa" w:w="499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left"/>
            </w:pPr>
            <w:r>
              <w:rPr>
                <w:color w:val="404040"/>
                <w:sz w:val="20"/>
                <w:szCs w:val="20"/>
              </w:rPr>
              <w:t xml:space="preserve">Rédigé par : Martin Bitha, Centre des Solutions Informatiques</w:t>
            </w:r>
          </w:p>
        </w:tc>
        <w:tc>
          <w:tcPr>
            <w:tcW w:type="dxa" w:w="408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right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spacing w:after="60"/>
        <w:jc w:val="center"/>
      </w:pPr>
      <w:r>
        <w:rPr>
          <w:b/>
          <w:bCs/>
          <w:color w:val="000000"/>
          <w:sz w:val="28"/>
          <w:szCs w:val="28"/>
        </w:rPr>
        <w:t xml:space="preserve">DÉCLARATION D'APPLICABILITÉ (SOA)</w:t>
      </w:r>
    </w:p>
    <w:p>
      <w:pPr>
        <w:spacing w:after="240"/>
        <w:jc w:val="center"/>
      </w:pPr>
      <w:r>
        <w:rPr>
          <w:b w:val="false"/>
          <w:bCs w:val="false"/>
          <w:color w:val="404040"/>
          <w:sz w:val="20"/>
          <w:szCs w:val="20"/>
        </w:rPr>
        <w:t xml:space="preserve">Référence SOA-03   /   Version 0.1 (projet)   /   Statut : projet à valider</w:t>
      </w:r>
    </w:p>
    <w:p>
      <w:pPr>
        <w:pStyle w:val="Heading2"/>
        <w:spacing w:after="120" w:before="240"/>
      </w:pPr>
      <w:r>
        <w:rPr>
          <w:b/>
          <w:bCs/>
        </w:rPr>
        <w:t xml:space="preserve">NOTE D'UTILISATION</w:t>
      </w:r>
    </w:p>
    <w:p>
      <w:pPr>
        <w:spacing w:after="140"/>
        <w:jc w:val="both"/>
      </w:pPr>
      <w:r>
        <w:t xml:space="preserve">C'est la liste complète des 93 mesures de la norme et votre position sur chacune. Elle sert surtout de référence à l'auditeur. L'utiliser comme une liste de contrôle, sans chercher à tout remplir d'un coup. Planifier progressivement les lignes marquées « à faire ». La prochaine étape consiste à choisir trois à cinq mesures « à faire » à traiter ce trimestre.</w:t>
      </w:r>
    </w:p>
    <w:p>
      <w:pPr>
        <w:pStyle w:val="Heading2"/>
        <w:spacing w:after="120" w:before="280"/>
      </w:pPr>
      <w:r>
        <w:rPr>
          <w:b/>
          <w:bCs/>
        </w:rPr>
        <w:t xml:space="preserve">I. LÉGENDE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rPr>
          <w:b/>
          <w:bCs/>
        </w:rPr>
        <w:t xml:space="preserve">Applicable</w:t>
      </w:r>
      <w:r>
        <w:t xml:space="preserve"> : O (oui) / N (non, avec justification).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rPr>
          <w:b/>
          <w:bCs/>
        </w:rPr>
        <w:t xml:space="preserve">Statut</w:t>
      </w:r>
      <w:r>
        <w:t xml:space="preserve"> : En place / Partiel / À faire / N/A.</w:t>
      </w:r>
    </w:p>
    <w:p>
      <w:pPr>
        <w:spacing w:after="60"/>
      </w:pPr>
      <w:r>
        <w:t xml:space="preserve"/>
      </w:r>
    </w:p>
    <w:p>
      <w:pPr>
        <w:spacing w:after="140"/>
        <w:jc w:val="both"/>
      </w:pPr>
      <w:r>
        <w:t xml:space="preserve">L'état reflète la situation après l'audit et les correctifs du 2026-09-07. Les
références F-xx / C-xx renvoient au rapport d'audit (</w:t>
      </w:r>
      <w:r>
        <w:rPr>
          <w:rFonts w:ascii="Consolas" w:cs="Consolas" w:eastAsia="Consolas" w:hAnsi="Consolas"/>
          <w:sz w:val="20"/>
          <w:szCs w:val="20"/>
        </w:rPr>
        <w:t xml:space="preserve">00-rapport-ecart.md</w:t>
      </w:r>
      <w:r>
        <w:t xml:space="preserve">,
</w:t>
      </w:r>
      <w:r>
        <w:rPr>
          <w:rFonts w:ascii="Consolas" w:cs="Consolas" w:eastAsia="Consolas" w:hAnsi="Consolas"/>
          <w:sz w:val="20"/>
          <w:szCs w:val="20"/>
        </w:rPr>
        <w:t xml:space="preserve">../audit-securite-pentest-2026-09-07.md</w:t>
      </w:r>
      <w:r>
        <w:t xml:space="preserve">).</w:t>
      </w:r>
    </w:p>
    <w:p>
      <w:pPr>
        <w:pStyle w:val="Heading2"/>
        <w:spacing w:after="120" w:before="280"/>
      </w:pPr>
      <w:r>
        <w:rPr>
          <w:b/>
          <w:bCs/>
        </w:rPr>
        <w:t xml:space="preserve">II. A.5 MESURES ORGANISATIONNELLES (37)</w:t>
      </w:r>
    </w:p>
    <w:tbl>
      <w:tblPr>
        <w:tblW w:type="dxa" w:w="9072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</w:tblPr>
      <w:tblGrid>
        <w:gridCol w:w="3596"/>
        <w:gridCol w:w="900"/>
        <w:gridCol w:w="3676"/>
        <w:gridCol w:w="900"/>
      </w:tblGrid>
      <w:tr>
        <w:trPr>
          <w:tblHeader/>
        </w:trPr>
        <w:tc>
          <w:tcPr>
            <w:tcW w:type="dxa" w:w="3596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Mesure</w:t>
            </w:r>
          </w:p>
        </w:tc>
        <w:tc>
          <w:tcPr>
            <w:tcW w:type="dxa" w:w="900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Applicable</w:t>
            </w:r>
          </w:p>
        </w:tc>
        <w:tc>
          <w:tcPr>
            <w:tcW w:type="dxa" w:w="3676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Justification / mise en œuvre</w:t>
            </w:r>
          </w:p>
        </w:tc>
        <w:tc>
          <w:tcPr>
            <w:tcW w:type="dxa" w:w="900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Statut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5.1 Politiques de sécurité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PSI-01 rédigée, à approuver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5.2 Fonctions et responsabilités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Rôles définis dans PSI-01, titulaires à nommer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5.3 Séparation des tâches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admin/superviseur/agent séparés ; suppression de vol admin only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5.4 Responsabilités de la direction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Revue de direction RD-05 à instaurer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5.5 Relations avec les autorités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Contact autorité aviation civile / protection données à formaliser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5.6 Relations avec groupes spécialisés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Veille via advisors Supabase, avis CVE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5.7 Renseignement sur les menaces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Advisors Supabase + npm audit en CI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5.8 Sécurité dans la gestion de projet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intégrer au processus de dev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5.9 Inventaire des actifs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Actifs de Police Bagage dans RR-02 ; inventaire du matériel des compagnies sous garde du CSI et des terminaux Starlink à tenir par escale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5.10 Utilisation acceptable des actifs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Charte d'usage à rédiger : PDA, comptes, matériel des compagnies confié au CSI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5.11 Restitution des actifs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Procédure de départ (PDA, comptes) à définir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5.12 Classification de l'information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PII passagers / anti-fraude à classifier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5.13 Marquage de l'information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Découle de 5.12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5.14 Transfert de l'information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HTTPS partout ; règles d'échange à documenter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5.15 Contrôle d'accès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RLS + rôles ; renforcé (C-01/C-02/C-03)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En place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5.16 Gestion des identités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Comptes nominatifs à généraliser (E-12) ; matricule staff_code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5.17 Informations d'authentification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Mots de passe Supabase ; MFA à imposer (E-06) ; HIBP (F-02)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5.18 Droits d'accès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Attribution/retrait par admin ; revue périodique à instaurer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5.19 Sécurité dans les relations fournisseurs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Starlink (connectivité critique), Supabase, Hostinger, GitHub, Expo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5.20 Sécurité dans les accords fournisseurs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Engagements Starlink et cloud à documenter ; responsabilités sur le matériel et les postes à préciser dans les accords avec chaque compagnie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5.21 Sécurité dans la chaîne ICT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Dépendances npm ; audit en CI (F-32)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5.22 Suivi des services fournisseurs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Suivi des changements Supabase/Hostinger à formaliser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5.23 Sécurité des services cloud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Supabase/Hostinger : config, sauvegarde, accès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5.24 Préparation gestion des incidents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PGI-04 rédigée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5.25 Évaluation des événements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Classification définie dans PGI-04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5.26 Réponse aux incidents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Fiches réflexes dans PGI-04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5.27 Tirer les leçons des incidents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Retour d'expérience prévu (PGI-04 §7)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5.28 Collecte de preuves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Journaux Supabase/API/movement_log ; journal inaltérable à faire (F-01)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5.29 Sécurité pendant une perturbation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Continuité pendant incident à cadrer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5.30 Continuité ICT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PITR/DR à mettre en place et tester (F-15)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5.31 Exigences légales et réglementaires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Registre des obligations (PII, aviation) à établir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5.32 Propriété intellectuelle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Licences des dépendances à suivre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5.33 Protection des enregistrements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Alertes protégées de la suppression (E-05) ; rétention à définir (F-29)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5.34 Protection de la vie privée (PII)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PII passager ; exposition portail à corriger (E-01)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5.35 Revue indépendante de la sécurité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Audit du 2026-09-07 ; à répéter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5.36 Conformité aux politiques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Vérifiée en revue de direction et audit interne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5.37 Procédures d'exploitation documentées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Manuels existants (docs/) ; procédures secours à compléter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</w:rPr>
        <w:t xml:space="preserve">III. A.6 MESURES LIÉES AUX PERSONNES (8)</w:t>
      </w:r>
    </w:p>
    <w:tbl>
      <w:tblPr>
        <w:tblW w:type="dxa" w:w="9072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</w:tblPr>
      <w:tblGrid>
        <w:gridCol w:w="3191"/>
        <w:gridCol w:w="915"/>
        <w:gridCol w:w="4066"/>
        <w:gridCol w:w="900"/>
      </w:tblGrid>
      <w:tr>
        <w:trPr>
          <w:tblHeader/>
        </w:trPr>
        <w:tc>
          <w:tcPr>
            <w:tcW w:type="dxa" w:w="3191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Mesure</w:t>
            </w:r>
          </w:p>
        </w:tc>
        <w:tc>
          <w:tcPr>
            <w:tcW w:type="dxa" w:w="915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Applicable</w:t>
            </w:r>
          </w:p>
        </w:tc>
        <w:tc>
          <w:tcPr>
            <w:tcW w:type="dxa" w:w="4066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Justification / mise en œuvre</w:t>
            </w:r>
          </w:p>
        </w:tc>
        <w:tc>
          <w:tcPr>
            <w:tcW w:type="dxa" w:w="900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Statut</w:t>
            </w:r>
          </w:p>
        </w:tc>
      </w:tr>
      <w:tr>
        <w:tc>
          <w:tcPr>
            <w:tcW w:type="dxa" w:w="31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6.1 Sélection (screening)</w:t>
            </w:r>
          </w:p>
        </w:tc>
        <w:tc>
          <w:tcPr>
            <w:tcW w:type="dxa" w:w="91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406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Vérification préalable des informaticiens d'escale, agents et superviseurs à cadrer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1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6.2 Conditions d'embauche</w:t>
            </w:r>
          </w:p>
        </w:tc>
        <w:tc>
          <w:tcPr>
            <w:tcW w:type="dxa" w:w="91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406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Clause de sécurité dans les contrats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1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6.3 Sensibilisation et formation</w:t>
            </w:r>
          </w:p>
        </w:tc>
        <w:tc>
          <w:tcPr>
            <w:tcW w:type="dxa" w:w="91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406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Sensibilisation phishing/PDA à mettre en place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1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6.4 Processus disciplinaire</w:t>
            </w:r>
          </w:p>
        </w:tc>
        <w:tc>
          <w:tcPr>
            <w:tcW w:type="dxa" w:w="91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406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Référencé dans PSI-01 §7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1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6.5 Responsabilités après départ</w:t>
            </w:r>
          </w:p>
        </w:tc>
        <w:tc>
          <w:tcPr>
            <w:tcW w:type="dxa" w:w="91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406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Retrait des accès, restitution PDA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1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6.6 Accords de confidentialité (NDA)</w:t>
            </w:r>
          </w:p>
        </w:tc>
        <w:tc>
          <w:tcPr>
            <w:tcW w:type="dxa" w:w="91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406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Pour les personnes accédant aux PII et pour les informaticiens en contact avec le matériel et les données des compagnies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1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6.7 Travail à distance</w:t>
            </w:r>
          </w:p>
        </w:tc>
        <w:tc>
          <w:tcPr>
            <w:tcW w:type="dxa" w:w="91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406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Superviseurs sur poste web ; règles à définir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1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6.8 Signalement des événements</w:t>
            </w:r>
          </w:p>
        </w:tc>
        <w:tc>
          <w:tcPr>
            <w:tcW w:type="dxa" w:w="91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406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Canal de signalement dans PGI-04 §3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</w:rPr>
        <w:t xml:space="preserve">IV. A.7 MESURES PHYSIQUES (14)</w:t>
      </w:r>
    </w:p>
    <w:tbl>
      <w:tblPr>
        <w:tblW w:type="dxa" w:w="9072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</w:tblPr>
      <w:tblGrid>
        <w:gridCol w:w="3473"/>
        <w:gridCol w:w="900"/>
        <w:gridCol w:w="3799"/>
        <w:gridCol w:w="900"/>
      </w:tblGrid>
      <w:tr>
        <w:trPr>
          <w:tblHeader/>
        </w:trPr>
        <w:tc>
          <w:tcPr>
            <w:tcW w:type="dxa" w:w="3473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Mesure</w:t>
            </w:r>
          </w:p>
        </w:tc>
        <w:tc>
          <w:tcPr>
            <w:tcW w:type="dxa" w:w="900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Applicable</w:t>
            </w:r>
          </w:p>
        </w:tc>
        <w:tc>
          <w:tcPr>
            <w:tcW w:type="dxa" w:w="3799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Justification / mise en œuvre</w:t>
            </w:r>
          </w:p>
        </w:tc>
        <w:tc>
          <w:tcPr>
            <w:tcW w:type="dxa" w:w="900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Statut</w:t>
            </w:r>
          </w:p>
        </w:tc>
      </w:tr>
      <w:tr>
        <w:tc>
          <w:tcPr>
            <w:tcW w:type="dxa" w:w="347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7.1 Périmètres de sécurité physique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7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Six escales sous contrôle de l'exploitant ; zones et rangement du matériel CSI à définir par escale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47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7.2 Entrées physiques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7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Idem, à documenter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47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7.3 Bureaux, salles et installations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7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Poste superviseur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47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7.4 Surveillance physique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7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Selon l'aéroport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47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7.5 Menaces physiques et environnementales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7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Hébergement délégué (Supabase/Hostinger)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47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7.6 Travail en zones sécurisées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7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Salle de supervision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47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7.7 Bureau et écran net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7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Verrouillage écran superviseur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47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7.8 Emplacement et protection du matériel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7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Postes des compagnies, terminaux Starlink, PDA, postes du siège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47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7.9 Sécurité des actifs hors site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7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PDA et matériel des compagnies en escale (E-07, E-12)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47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7.10 Supports de stockage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7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Pas de support amovible prévu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47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7.11 Services supports (utilities)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7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Alimentation et liaisons Starlink des escales ; secours à prévoir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47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7.12 Sécurité du câblage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7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Câblage et équipements réseau des escales exploités par le CSI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47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7.13 Maintenance du matériel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7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PDA (flotte à gérer)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47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7.14 Mise au rebut / réemploi sécurisé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7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Effacement d'un PDA réformé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</w:rPr>
        <w:t xml:space="preserve">V. A.8 MESURES TECHNOLOGIQUES (34)</w:t>
      </w:r>
    </w:p>
    <w:tbl>
      <w:tblPr>
        <w:tblW w:type="dxa" w:w="9072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</w:tblPr>
      <w:tblGrid>
        <w:gridCol w:w="3636"/>
        <w:gridCol w:w="900"/>
        <w:gridCol w:w="3636"/>
        <w:gridCol w:w="900"/>
      </w:tblGrid>
      <w:tr>
        <w:trPr>
          <w:tblHeader/>
        </w:trPr>
        <w:tc>
          <w:tcPr>
            <w:tcW w:type="dxa" w:w="3636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Mesure</w:t>
            </w:r>
          </w:p>
        </w:tc>
        <w:tc>
          <w:tcPr>
            <w:tcW w:type="dxa" w:w="900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Applicable</w:t>
            </w:r>
          </w:p>
        </w:tc>
        <w:tc>
          <w:tcPr>
            <w:tcW w:type="dxa" w:w="3636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Justification / mise en œuvre</w:t>
            </w:r>
          </w:p>
        </w:tc>
        <w:tc>
          <w:tcPr>
            <w:tcW w:type="dxa" w:w="900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Statut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8.1 Terminaux utilisateurs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Application non publique (test fermé) ; PDA : stockage sécurisé (E-07), backup off, pinning (I-03) à compléter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8.2 Droits d'accès privilégiés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Rôle admin restreint ; suppression vol admin only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8.3 Restriction d'accès à l'information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RLS scopée par compagnie/aéroport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En place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8.4 Accès au code source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GitHub ; protection de branche à activer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8.5 Authentification sécurisée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Supabase Auth ; MFA à imposer (E-06), re-auth (M-07)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8.6 Gestion de la capacité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Cache/compteurs bornés (F-05) ; suivi charge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8.7 Protection contre les logiciels malveillants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Surface réduite (pas d'upload de fichiers)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8.8 Gestion des vulnérabilités techniques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npm audit en CI (F-32), montée Next/Fastify (N-02)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8.9 Gestion de la configuration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Config Auth as-code à figer (I-01)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8.10 Suppression de l'information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Rétention et purge PII à définir (F-29)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8.11 Masquage des données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Masquage nom sur portail public (E-01)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8.12 Prévention de fuite de données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service_role confinée ; scan secrets CI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8.13 Sauvegarde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PITR + export chiffré + test restauration (F-15)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8.14 Redondance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Redondance Supabase (offre) à confirmer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8.15 Journalisation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Logs Supabase/API ; journal métier movement_log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8.16 Surveillance des activités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movement_log ; alerting à mettre en place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8.17 Synchronisation d'horloge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Journée d'exploitation calculée serveur (jour PDA non fiable)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En place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8.18 Utilitaires privilégiés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Accès SQL restreint (service_role serveur)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8.19 Installation de logiciels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Application mobile distribuée en test fermé Google Play, sur liste nominative de testeurs ; déploiements web contrôlés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En place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8.20 Sécurité des réseaux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Réseaux d'escale sur Starlink à protéger ; HTTPS et en-têtes de sécurité (M-01) côté applications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8.21 Sécurité des services réseau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Service de connectivité rendu aux compagnies ; endpoints API/portails, rate-limit (E-08)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8.22 Cloisonnement des réseaux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Séparer le trafic des compagnies, de Police Bagage et de l'usage interne sur chaque escale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8.23 Filtrage web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Filtrage sur les réseaux d'escale et internes à définir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8.24 Cryptographie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TLS ; jetons ; stockage sécurisé PDA à venir (E-07)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8.25 Cycle de développement sécurisé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CI ajoutée (F-13) ; revue à formaliser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8.26 Exigences de sécurité applicative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Anti-fraude serveur testée ; validation d'entrée (M-04)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8.27 Architecture et ingénierie sécurisées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Identité dérivée du JWT ; défense en profondeur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En place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8.28 Codage sécurisé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Assainissement (M-02) ; gestion d'erreurs (F-03)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8.29 Tests de sécurité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Tests unitaires anti-fraude ; fuzzing ; tests RBAC à ajouter (F-31)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8.30 Développement externalisé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N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Développement interne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8.31 Séparation dev/test/prod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Environnement de staging à créer (F-14)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8.32 Gestion des changements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Migrations versionnées reproductibles (F-14) ; CI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8.33 Informations de test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Pas de données de test dédiées ; à cadrer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8.34 Protection lors des tests d'audit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Audit non destructif (transactions annulées)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En place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</w:rPr>
        <w:t xml:space="preserve">VI. SYNTHÈSE</w:t>
      </w:r>
    </w:p>
    <w:tbl>
      <w:tblPr>
        <w:tblW w:type="dxa" w:w="9072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</w:tblPr>
      <w:tblGrid>
        <w:gridCol w:w="2791"/>
        <w:gridCol w:w="6281"/>
      </w:tblGrid>
      <w:tr>
        <w:trPr>
          <w:tblHeader/>
        </w:trPr>
        <w:tc>
          <w:tcPr>
            <w:tcW w:type="dxa" w:w="2791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Statut</w:t>
            </w:r>
          </w:p>
        </w:tc>
        <w:tc>
          <w:tcPr>
            <w:tcW w:type="dxa" w:w="6281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Nombre (indicatif)</w:t>
            </w:r>
          </w:p>
        </w:tc>
      </w:tr>
      <w:tr>
        <w:tc>
          <w:tcPr>
            <w:tcW w:type="dxa" w:w="27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En place</w:t>
            </w:r>
          </w:p>
        </w:tc>
        <w:tc>
          <w:tcPr>
            <w:tcW w:type="dxa" w:w="628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27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  <w:tc>
          <w:tcPr>
            <w:tcW w:type="dxa" w:w="628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46</w:t>
            </w:r>
          </w:p>
        </w:tc>
      </w:tr>
      <w:tr>
        <w:tc>
          <w:tcPr>
            <w:tcW w:type="dxa" w:w="27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  <w:tc>
          <w:tcPr>
            <w:tcW w:type="dxa" w:w="628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40</w:t>
            </w:r>
          </w:p>
        </w:tc>
      </w:tr>
      <w:tr>
        <w:tc>
          <w:tcPr>
            <w:tcW w:type="dxa" w:w="27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N/A</w:t>
            </w:r>
          </w:p>
        </w:tc>
        <w:tc>
          <w:tcPr>
            <w:tcW w:type="dxa" w:w="628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</w:tr>
    </w:tbl>
    <w:p>
      <w:pPr>
        <w:spacing w:after="140"/>
      </w:pPr>
      <w:r>
        <w:t xml:space="preserve"/>
      </w:r>
    </w:p>
    <w:p>
      <w:pPr>
        <w:spacing w:after="140"/>
        <w:jc w:val="both"/>
      </w:pPr>
      <w:r>
        <w:t xml:space="preserve">La seule mesure « N/A » restante (développement externalisé) est justifiée par un
développement entièrement interne. Toute évolution
(infra propre, sous-traitance) rouvrira ces mesures.</w:t>
      </w:r>
    </w:p>
    <w:p>
      <w:pPr>
        <w:spacing w:after="240" w:before="400"/>
        <w:jc w:val="right"/>
      </w:pPr>
      <w:r>
        <w:t xml:space="preserve">Fait à Kinshasa, le 7 septembre 2026.</w:t>
      </w:r>
    </w:p>
    <w:tbl>
      <w:tblPr>
        <w:tblW w:type="dxa" w:w="9072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after="720"/>
              <w:jc w:val="center"/>
            </w:pPr>
            <w:r>
              <w:t xml:space="preserve">Le Responsable Informatique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Aristarque Kasonga</w:t>
            </w:r>
          </w:p>
        </w:tc>
        <w:tc>
          <w:tcPr>
            <w:tcW w:type="dxa" w:w="45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after="40"/>
              <w:jc w:val="center"/>
            </w:pPr>
            <w:r>
              <w:t xml:space="preserve">Vu et approuvé,</w:t>
            </w:r>
          </w:p>
          <w:p>
            <w:pPr>
              <w:spacing w:after="720"/>
              <w:jc w:val="center"/>
            </w:pPr>
            <w:r>
              <w:t xml:space="preserve">Le Directeur Général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Michel TSHEFU</w:t>
            </w:r>
          </w:p>
        </w:tc>
      </w:tr>
    </w:tbl>
    <w:sectPr>
      <w:footerReference w:type="default" r:id="rId7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04040"/>
        <w:sz w:val="18"/>
        <w:szCs w:val="18"/>
      </w:rPr>
      <w:t xml:space="preserve">African Transport Systems   /   Page </w:t>
    </w:r>
    <w:r>
      <w:rPr>
        <w:color w:val="40404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404040"/>
        <w:sz w:val="18"/>
        <w:szCs w:val="18"/>
      </w:rPr>
      <w:t xml:space="preserve"> sur </w:t>
    </w:r>
    <w:r>
      <w:rPr>
        <w:color w:val="404040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2026-09-10T15:30:51.089Z</dcterms:created>
  <dcterms:modified xsi:type="dcterms:W3CDTF">2026-09-10T15:30:51.089Z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