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ATS/SSI/PGI-04/2026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PROCÉDURE DE GESTION DES INCIDENTS DE SÉCURITÉ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PGI-04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marche à suivre quand un problème de sécurité survient (compte compromis, appareil volé, fuite). Le faire lire à toute l'équipe pour que les bons réflexes soient connus. Définir clairement le canal de signalement : qui appeler, comment. Faire une fois un exercice sur table, par exemple « un PDA a été volé ». La prochaine étape consiste à désigner qui reçoit les signalements et commencer à tenir le registre des incidents.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120" w:before="280"/>
      </w:pPr>
      <w:r>
        <w:rPr>
          <w:b/>
          <w:bCs/>
        </w:rPr>
        <w:t xml:space="preserve">II. DISTINCTION IMPORTANTE</w:t>
      </w:r>
    </w:p>
    <w:p>
      <w:pPr>
        <w:spacing w:after="140"/>
        <w:jc w:val="both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40"/>
        <w:jc w:val="both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Vulnérabilité critique exploitée sur une application.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SIGNALEMENT (A.6.8)</w:t>
      </w:r>
    </w:p>
    <w:p>
      <w:pPr>
        <w:spacing w:after="140"/>
        <w:jc w:val="both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40"/>
        <w:jc w:val="both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120" w:before="280"/>
      </w:pPr>
      <w:r>
        <w:rPr>
          <w:b/>
          <w:bCs/>
        </w:rPr>
        <w:t xml:space="preserve">IV. CLASSIFICATION ET PRIORITÉ (A.5.25)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4697"/>
        <w:gridCol w:w="3475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469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Définition</w:t>
            </w:r>
          </w:p>
        </w:tc>
        <w:tc>
          <w:tcPr>
            <w:tcW w:type="dxa" w:w="347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Délai de prise en charge (proposé)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Critique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Données passagers exposées, secret compromis, anti-fraude contournée en prod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immédiat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Élevé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 sensible compromis, PDA volé, indisponibilité en embarquement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1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Moyen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anormal contenu, vulnérabilité élevée non exploitée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24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Faible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Événement mineur, tentative bloquée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72 h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RÉPONSE (A.5.26)</w:t>
      </w:r>
    </w:p>
    <w:p>
      <w:pPr>
        <w:spacing w:after="140"/>
        <w:jc w:val="both"/>
      </w:pPr>
      <w:r>
        <w:t xml:space="preserve">Étapes types, à adapter :</w:t>
      </w:r>
    </w:p>
    <w:p>
      <w:pPr>
        <w:spacing w:after="80"/>
        <w:ind w:left="567" w:hanging="360"/>
        <w:jc w:val="both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80"/>
        <w:ind w:left="567" w:hanging="360"/>
        <w:jc w:val="both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80"/>
        <w:ind w:left="567" w:hanging="360"/>
        <w:jc w:val="both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80"/>
        <w:ind w:left="567" w:hanging="360"/>
        <w:jc w:val="both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80"/>
        <w:ind w:left="567" w:hanging="360"/>
        <w:jc w:val="both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</w:rPr>
        <w:t xml:space="preserve">Fiches réflexes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JOURNAL DES INCIDENTS</w:t>
      </w:r>
    </w:p>
    <w:p>
      <w:pPr>
        <w:spacing w:after="140"/>
        <w:jc w:val="both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900"/>
        <w:gridCol w:w="1166"/>
        <w:gridCol w:w="1743"/>
        <w:gridCol w:w="1166"/>
        <w:gridCol w:w="1166"/>
        <w:gridCol w:w="2031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174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Actions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Clôture</w:t>
            </w:r>
          </w:p>
        </w:tc>
        <w:tc>
          <w:tcPr>
            <w:tcW w:type="dxa" w:w="203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Enseignements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74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RETOUR D'EXPÉRIENCE (A.5.27)</w:t>
      </w:r>
    </w:p>
    <w:p>
      <w:pPr>
        <w:spacing w:after="140"/>
        <w:jc w:val="both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120" w:before="280"/>
      </w:pPr>
      <w:r>
        <w:rPr>
          <w:b/>
          <w:bCs/>
        </w:rPr>
        <w:t xml:space="preserve">VIII. TEST</w:t>
      </w:r>
    </w:p>
    <w:p>
      <w:pPr>
        <w:spacing w:after="140"/>
        <w:jc w:val="both"/>
      </w:pPr>
      <w:r>
        <w:t xml:space="preserve">La procédure est testée au moins une fois par an par un exercice sur table
(scénario simulé, ex. « PDA volé »), sans toucher à la production.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de la Sécurité de l'Information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Martin Bitha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2026-09-10T14:11:55.110Z</dcterms:created>
  <dcterms:modified xsi:type="dcterms:W3CDTF">2026-09-10T14:11:55.110Z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