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20"/>
        <w:jc w:val="center"/>
      </w:pPr>
      <w:r>
        <w:rPr>
          <w:rFonts w:ascii="Calibri" w:cs="Calibri" w:eastAsia="Calibri" w:hAnsi="Calibri"/>
          <w:b/>
          <w:bCs/>
          <w:color w:val="C0533E"/>
          <w:sz w:val="88"/>
          <w:szCs w:val="88"/>
        </w:rPr>
        <w:t xml:space="preserve">DOWE</w:t>
      </w:r>
    </w:p>
    <w:p>
      <w:pPr>
        <w:spacing w:after="600"/>
        <w:jc w:val="center"/>
      </w:pPr>
      <w:r>
        <w:rPr>
          <w:rFonts w:ascii="Calibri" w:cs="Calibri" w:eastAsia="Calibri" w:hAnsi="Calibri"/>
          <w:color w:val="6B5B51"/>
          <w:sz w:val="28"/>
          <w:szCs w:val="28"/>
        </w:rPr>
        <w:t xml:space="preserve">L'application de rencontre de la République démocratique du Congo</w:t>
      </w:r>
    </w:p>
    <w:p>
      <w:pPr>
        <w:spacing w:after="200"/>
        <w:jc w:val="center"/>
      </w:pPr>
      <w:r>
        <w:rPr>
          <w:rFonts w:ascii="Calibri" w:cs="Calibri" w:eastAsia="Calibri" w:hAnsi="Calibri"/>
          <w:b/>
          <w:bCs/>
          <w:color w:val="2E211B"/>
          <w:sz w:val="44"/>
          <w:szCs w:val="44"/>
        </w:rPr>
        <w:t xml:space="preserve">BUSINESS PLAN</w:t>
      </w:r>
    </w:p>
    <w:p>
      <w:pPr>
        <w:spacing w:after="1800"/>
        <w:jc w:val="center"/>
      </w:pPr>
      <w:r>
        <w:rPr>
          <w:rFonts w:ascii="Calibri" w:cs="Calibri" w:eastAsia="Calibri" w:hAnsi="Calibri"/>
          <w:i/>
          <w:iCs/>
          <w:color w:val="6B5B51"/>
          <w:sz w:val="22"/>
          <w:szCs w:val="22"/>
        </w:rPr>
        <w:t xml:space="preserve">Document confidentiel</w:t>
      </w:r>
    </w:p>
    <w:p>
      <w:pPr>
        <w:spacing w:after="160" w:line="276"/>
        <w:jc w:val="center"/>
      </w:pPr>
      <w:r>
        <w:rPr>
          <w:rFonts w:ascii="Calibri" w:cs="Calibri" w:eastAsia="Calibri" w:hAnsi="Calibri"/>
          <w:color w:val="6B5B51"/>
          <w:sz w:val="22"/>
          <w:szCs w:val="22"/>
        </w:rPr>
        <w:t xml:space="preserve">Editeur : Goblaire Ltd</w:t>
      </w:r>
    </w:p>
    <w:p>
      <w:pPr>
        <w:spacing w:after="160" w:line="276"/>
        <w:jc w:val="center"/>
      </w:pPr>
      <w:r>
        <w:rPr>
          <w:rFonts w:ascii="Calibri" w:cs="Calibri" w:eastAsia="Calibri" w:hAnsi="Calibri"/>
          <w:color w:val="6B5B51"/>
          <w:sz w:val="22"/>
          <w:szCs w:val="22"/>
        </w:rPr>
        <w:t xml:space="preserve">20 Wenlock Road, Londres N1 7GU, Angleterre (immatriculation 16239328)</w:t>
      </w:r>
    </w:p>
    <w:p>
      <w:pPr>
        <w:spacing w:after="160" w:line="276"/>
        <w:jc w:val="center"/>
      </w:pPr>
      <w:r>
        <w:rPr>
          <w:rFonts w:ascii="Calibri" w:cs="Calibri" w:eastAsia="Calibri" w:hAnsi="Calibri"/>
          <w:color w:val="6B5B51"/>
          <w:sz w:val="22"/>
          <w:szCs w:val="22"/>
        </w:rPr>
        <w:t xml:space="preserve">Version : aout 2026</w:t>
      </w:r>
    </w:p>
    <w:p>
      <w:pPr>
        <w:spacing w:after="160" w:line="276"/>
        <w:jc w:val="center"/>
      </w:pPr>
      <w:r>
        <w:rPr>
          <w:rFonts w:ascii="Calibri" w:cs="Calibri" w:eastAsia="Calibri" w:hAnsi="Calibri"/>
          <w:color w:val="6B5B51"/>
          <w:sz w:val="22"/>
          <w:szCs w:val="22"/>
        </w:rPr>
        <w:t xml:space="preserve">Nom de produit provisoire : Dowe (le renommage est prevu et techniquement simple)</w:t>
      </w:r>
    </w:p>
    <w:p>
      <w:r>
        <w:br w:type="page"/>
      </w:r>
    </w:p>
    <w:p>
      <w:pPr>
        <w:pStyle w:val="Heading1"/>
        <w:spacing w:after="200" w:before="360"/>
      </w:pPr>
      <w:r>
        <w:rPr>
          <w:rFonts w:ascii="Calibri" w:cs="Calibri" w:eastAsia="Calibri" w:hAnsi="Calibri"/>
          <w:b/>
          <w:bCs/>
          <w:color w:val="C0533E"/>
          <w:sz w:val="34"/>
          <w:szCs w:val="34"/>
        </w:rPr>
        <w:t xml:space="preserve">Avertissement methodologique</w:t>
      </w:r>
    </w:p>
    <w:p>
      <w:pPr>
        <w:spacing w:after="160" w:line="276"/>
      </w:pPr>
      <w:r>
        <w:rPr>
          <w:rFonts w:ascii="Calibri" w:cs="Calibri" w:eastAsia="Calibri" w:hAnsi="Calibri"/>
          <w:color w:val="2E211B"/>
          <w:sz w:val="22"/>
          <w:szCs w:val="22"/>
        </w:rPr>
        <w:t xml:space="preserve">Ce business plan a ete construit a partir d'une analyse complete du code source, de l'architecture, des migrations de base de donnees, de la configuration produit et de la documentation interne du projet Dowe. Il distingue systematiquement deux natures d'information :</w:t>
      </w:r>
    </w:p>
    <w:p>
      <w:pPr>
        <w:pStyle w:val="ListParagraph"/>
        <w:numPr>
          <w:ilvl w:val="0"/>
          <w:numId w:val="2"/>
        </w:numPr>
        <w:spacing w:after="80" w:line="264"/>
      </w:pPr>
      <w:r>
        <w:rPr>
          <w:rFonts w:ascii="Calibri" w:cs="Calibri" w:eastAsia="Calibri" w:hAnsi="Calibri"/>
          <w:b/>
          <w:bCs/>
          <w:color w:val="2E211B"/>
          <w:sz w:val="22"/>
          <w:szCs w:val="22"/>
        </w:rPr>
        <w:t xml:space="preserve">Les faits observes</w:t>
      </w:r>
      <w:r>
        <w:rPr>
          <w:rFonts w:ascii="Calibri" w:cs="Calibri" w:eastAsia="Calibri" w:hAnsi="Calibri"/>
          <w:color w:val="2E211B"/>
          <w:sz w:val="22"/>
          <w:szCs w:val="22"/>
        </w:rPr>
        <w:t xml:space="preserve"> : fonctionnalites reellement presentes dans le code, prix reellement configures, architecture reellement deployee. Ils sont signales par des encadres « Fait observe dans le projet ».</w:t>
      </w:r>
    </w:p>
    <w:p>
      <w:pPr>
        <w:pStyle w:val="ListParagraph"/>
        <w:numPr>
          <w:ilvl w:val="0"/>
          <w:numId w:val="2"/>
        </w:numPr>
        <w:spacing w:after="80" w:line="264"/>
      </w:pPr>
      <w:r>
        <w:rPr>
          <w:rFonts w:ascii="Calibri" w:cs="Calibri" w:eastAsia="Calibri" w:hAnsi="Calibri"/>
          <w:b/>
          <w:bCs/>
          <w:color w:val="2E211B"/>
          <w:sz w:val="22"/>
          <w:szCs w:val="22"/>
        </w:rPr>
        <w:t xml:space="preserve">Les hypotheses</w:t>
      </w:r>
      <w:r>
        <w:rPr>
          <w:rFonts w:ascii="Calibri" w:cs="Calibri" w:eastAsia="Calibri" w:hAnsi="Calibri"/>
          <w:color w:val="2E211B"/>
          <w:sz w:val="22"/>
          <w:szCs w:val="22"/>
        </w:rPr>
        <w:t xml:space="preserve"> : donnees de marche, projections d'utilisateurs et de revenus, estimations de couts. Elles sont signalees par des encadres « Hypothese » et leur mode de calcul est explique. Aucun chiffre projete n'est presente comme un fait.</w:t>
      </w:r>
    </w:p>
    <w:p>
      <w:pPr>
        <w:spacing w:after="160" w:line="276"/>
      </w:pPr>
      <w:r>
        <w:rPr>
          <w:rFonts w:ascii="Calibri" w:cs="Calibri" w:eastAsia="Calibri" w:hAnsi="Calibri"/>
          <w:color w:val="2E211B"/>
          <w:sz w:val="22"/>
          <w:szCs w:val="22"/>
        </w:rPr>
        <w:t xml:space="preserve">Les donnees macroeconomiques sur la RDC (population, penetration mobile, mobile money) proviennent de connaissances generales de marche et devront etre confirmees par des sources officielles (Banque mondiale, ARPTC, GSMA) avant toute presentation a un investisseur institutionnel.</w:t>
      </w:r>
    </w:p>
    <w:p>
      <w:r>
        <w:br w:type="page"/>
      </w:r>
    </w:p>
    <w:p>
      <w:pPr>
        <w:pStyle w:val="Heading1"/>
        <w:spacing w:after="200" w:before="360"/>
      </w:pPr>
      <w:r>
        <w:rPr>
          <w:rFonts w:ascii="Calibri" w:cs="Calibri" w:eastAsia="Calibri" w:hAnsi="Calibri"/>
          <w:b/>
          <w:bCs/>
          <w:color w:val="C0533E"/>
          <w:sz w:val="34"/>
          <w:szCs w:val="34"/>
        </w:rPr>
        <w:t xml:space="preserve">Sommaire</w:t>
      </w:r>
    </w:p>
    <w:p>
      <w:pPr>
        <w:pStyle w:val="ListParagraph"/>
        <w:numPr>
          <w:ilvl w:val="0"/>
          <w:numId w:val="2"/>
        </w:numPr>
        <w:spacing w:after="80" w:line="264"/>
      </w:pPr>
      <w:r>
        <w:rPr>
          <w:rFonts w:ascii="Calibri" w:cs="Calibri" w:eastAsia="Calibri" w:hAnsi="Calibri"/>
          <w:color w:val="2E211B"/>
          <w:sz w:val="22"/>
          <w:szCs w:val="22"/>
        </w:rPr>
        <w:t xml:space="preserve">1. Comprehension du produit</w:t>
      </w:r>
    </w:p>
    <w:p>
      <w:pPr>
        <w:pStyle w:val="ListParagraph"/>
        <w:numPr>
          <w:ilvl w:val="0"/>
          <w:numId w:val="2"/>
        </w:numPr>
        <w:spacing w:after="80" w:line="264"/>
      </w:pPr>
      <w:r>
        <w:rPr>
          <w:rFonts w:ascii="Calibri" w:cs="Calibri" w:eastAsia="Calibri" w:hAnsi="Calibri"/>
          <w:color w:val="2E211B"/>
          <w:sz w:val="22"/>
          <w:szCs w:val="22"/>
        </w:rPr>
        <w:t xml:space="preserve">2. Presentation de l'entreprise et du projet</w:t>
      </w:r>
    </w:p>
    <w:p>
      <w:pPr>
        <w:pStyle w:val="ListParagraph"/>
        <w:numPr>
          <w:ilvl w:val="0"/>
          <w:numId w:val="2"/>
        </w:numPr>
        <w:spacing w:after="80" w:line="264"/>
      </w:pPr>
      <w:r>
        <w:rPr>
          <w:rFonts w:ascii="Calibri" w:cs="Calibri" w:eastAsia="Calibri" w:hAnsi="Calibri"/>
          <w:color w:val="2E211B"/>
          <w:sz w:val="22"/>
          <w:szCs w:val="22"/>
        </w:rPr>
        <w:t xml:space="preserve">3. Analyse du probleme et du marche</w:t>
      </w:r>
    </w:p>
    <w:p>
      <w:pPr>
        <w:pStyle w:val="ListParagraph"/>
        <w:numPr>
          <w:ilvl w:val="0"/>
          <w:numId w:val="2"/>
        </w:numPr>
        <w:spacing w:after="80" w:line="264"/>
      </w:pPr>
      <w:r>
        <w:rPr>
          <w:rFonts w:ascii="Calibri" w:cs="Calibri" w:eastAsia="Calibri" w:hAnsi="Calibri"/>
          <w:color w:val="2E211B"/>
          <w:sz w:val="22"/>
          <w:szCs w:val="22"/>
        </w:rPr>
        <w:t xml:space="preserve">4. Modele economique</w:t>
      </w:r>
    </w:p>
    <w:p>
      <w:pPr>
        <w:pStyle w:val="ListParagraph"/>
        <w:numPr>
          <w:ilvl w:val="0"/>
          <w:numId w:val="2"/>
        </w:numPr>
        <w:spacing w:after="80" w:line="264"/>
      </w:pPr>
      <w:r>
        <w:rPr>
          <w:rFonts w:ascii="Calibri" w:cs="Calibri" w:eastAsia="Calibri" w:hAnsi="Calibri"/>
          <w:color w:val="2E211B"/>
          <w:sz w:val="22"/>
          <w:szCs w:val="22"/>
        </w:rPr>
        <w:t xml:space="preserve">5. Analyse de la concurrence</w:t>
      </w:r>
    </w:p>
    <w:p>
      <w:pPr>
        <w:pStyle w:val="ListParagraph"/>
        <w:numPr>
          <w:ilvl w:val="0"/>
          <w:numId w:val="2"/>
        </w:numPr>
        <w:spacing w:after="80" w:line="264"/>
      </w:pPr>
      <w:r>
        <w:rPr>
          <w:rFonts w:ascii="Calibri" w:cs="Calibri" w:eastAsia="Calibri" w:hAnsi="Calibri"/>
          <w:color w:val="2E211B"/>
          <w:sz w:val="22"/>
          <w:szCs w:val="22"/>
        </w:rPr>
        <w:t xml:space="preserve">6. Strategie commerciale et marketing</w:t>
      </w:r>
    </w:p>
    <w:p>
      <w:pPr>
        <w:pStyle w:val="ListParagraph"/>
        <w:numPr>
          <w:ilvl w:val="0"/>
          <w:numId w:val="2"/>
        </w:numPr>
        <w:spacing w:after="80" w:line="264"/>
      </w:pPr>
      <w:r>
        <w:rPr>
          <w:rFonts w:ascii="Calibri" w:cs="Calibri" w:eastAsia="Calibri" w:hAnsi="Calibri"/>
          <w:color w:val="2E211B"/>
          <w:sz w:val="22"/>
          <w:szCs w:val="22"/>
        </w:rPr>
        <w:t xml:space="preserve">7. Strategie de developpement produit</w:t>
      </w:r>
    </w:p>
    <w:p>
      <w:pPr>
        <w:pStyle w:val="ListParagraph"/>
        <w:numPr>
          <w:ilvl w:val="0"/>
          <w:numId w:val="2"/>
        </w:numPr>
        <w:spacing w:after="80" w:line="264"/>
      </w:pPr>
      <w:r>
        <w:rPr>
          <w:rFonts w:ascii="Calibri" w:cs="Calibri" w:eastAsia="Calibri" w:hAnsi="Calibri"/>
          <w:color w:val="2E211B"/>
          <w:sz w:val="22"/>
          <w:szCs w:val="22"/>
        </w:rPr>
        <w:t xml:space="preserve">8. Plan financier</w:t>
      </w:r>
    </w:p>
    <w:p>
      <w:pPr>
        <w:pStyle w:val="ListParagraph"/>
        <w:numPr>
          <w:ilvl w:val="0"/>
          <w:numId w:val="2"/>
        </w:numPr>
        <w:spacing w:after="80" w:line="264"/>
      </w:pPr>
      <w:r>
        <w:rPr>
          <w:rFonts w:ascii="Calibri" w:cs="Calibri" w:eastAsia="Calibri" w:hAnsi="Calibri"/>
          <w:color w:val="2E211B"/>
          <w:sz w:val="22"/>
          <w:szCs w:val="22"/>
        </w:rPr>
        <w:t xml:space="preserve">9. Besoin de financement</w:t>
      </w:r>
    </w:p>
    <w:p>
      <w:pPr>
        <w:pStyle w:val="ListParagraph"/>
        <w:numPr>
          <w:ilvl w:val="0"/>
          <w:numId w:val="2"/>
        </w:numPr>
        <w:spacing w:after="80" w:line="264"/>
      </w:pPr>
      <w:r>
        <w:rPr>
          <w:rFonts w:ascii="Calibri" w:cs="Calibri" w:eastAsia="Calibri" w:hAnsi="Calibri"/>
          <w:color w:val="2E211B"/>
          <w:sz w:val="22"/>
          <w:szCs w:val="22"/>
        </w:rPr>
        <w:t xml:space="preserve">10. Analyse SWOT</w:t>
      </w:r>
    </w:p>
    <w:p>
      <w:pPr>
        <w:pStyle w:val="ListParagraph"/>
        <w:numPr>
          <w:ilvl w:val="0"/>
          <w:numId w:val="2"/>
        </w:numPr>
        <w:spacing w:after="80" w:line="264"/>
      </w:pPr>
      <w:r>
        <w:rPr>
          <w:rFonts w:ascii="Calibri" w:cs="Calibri" w:eastAsia="Calibri" w:hAnsi="Calibri"/>
          <w:color w:val="2E211B"/>
          <w:sz w:val="22"/>
          <w:szCs w:val="22"/>
        </w:rPr>
        <w:t xml:space="preserve">11. Risques et strategies de mitigation</w:t>
      </w:r>
    </w:p>
    <w:p>
      <w:pPr>
        <w:pStyle w:val="ListParagraph"/>
        <w:numPr>
          <w:ilvl w:val="0"/>
          <w:numId w:val="2"/>
        </w:numPr>
        <w:spacing w:after="80" w:line="264"/>
      </w:pPr>
      <w:r>
        <w:rPr>
          <w:rFonts w:ascii="Calibri" w:cs="Calibri" w:eastAsia="Calibri" w:hAnsi="Calibri"/>
          <w:color w:val="2E211B"/>
          <w:sz w:val="22"/>
          <w:szCs w:val="22"/>
        </w:rPr>
        <w:t xml:space="preserve">12. Indicateurs de performance (KPI)</w:t>
      </w:r>
    </w:p>
    <w:p>
      <w:pPr>
        <w:pStyle w:val="ListParagraph"/>
        <w:numPr>
          <w:ilvl w:val="0"/>
          <w:numId w:val="2"/>
        </w:numPr>
        <w:spacing w:after="80" w:line="264"/>
      </w:pPr>
      <w:r>
        <w:rPr>
          <w:rFonts w:ascii="Calibri" w:cs="Calibri" w:eastAsia="Calibri" w:hAnsi="Calibri"/>
          <w:color w:val="2E211B"/>
          <w:sz w:val="22"/>
          <w:szCs w:val="22"/>
        </w:rPr>
        <w:t xml:space="preserve">13. Roadmap business sur 36 mois</w:t>
      </w:r>
    </w:p>
    <w:p>
      <w:pPr>
        <w:pStyle w:val="ListParagraph"/>
        <w:numPr>
          <w:ilvl w:val="0"/>
          <w:numId w:val="2"/>
        </w:numPr>
        <w:spacing w:after="80" w:line="264"/>
      </w:pPr>
      <w:r>
        <w:rPr>
          <w:rFonts w:ascii="Calibri" w:cs="Calibri" w:eastAsia="Calibri" w:hAnsi="Calibri"/>
          <w:color w:val="2E211B"/>
          <w:sz w:val="22"/>
          <w:szCs w:val="22"/>
        </w:rPr>
        <w:t xml:space="preserve">14. Resume executif</w:t>
      </w:r>
    </w:p>
    <w:p>
      <w:pPr>
        <w:pStyle w:val="ListParagraph"/>
        <w:numPr>
          <w:ilvl w:val="0"/>
          <w:numId w:val="2"/>
        </w:numPr>
        <w:spacing w:after="80" w:line="264"/>
      </w:pPr>
      <w:r>
        <w:rPr>
          <w:rFonts w:ascii="Calibri" w:cs="Calibri" w:eastAsia="Calibri" w:hAnsi="Calibri"/>
          <w:color w:val="2E211B"/>
          <w:sz w:val="22"/>
          <w:szCs w:val="22"/>
        </w:rPr>
        <w:t xml:space="preserve">15. Plan d’action des 90 prochains jours</w:t>
      </w:r>
    </w:p>
    <w:p>
      <w:r>
        <w:br w:type="page"/>
      </w:r>
    </w:p>
    <w:p>
      <w:pPr>
        <w:pStyle w:val="Heading1"/>
        <w:spacing w:after="200" w:before="360"/>
      </w:pPr>
      <w:r>
        <w:rPr>
          <w:rFonts w:ascii="Calibri" w:cs="Calibri" w:eastAsia="Calibri" w:hAnsi="Calibri"/>
          <w:b/>
          <w:bCs/>
          <w:color w:val="C0533E"/>
          <w:sz w:val="34"/>
          <w:szCs w:val="34"/>
        </w:rPr>
        <w:t xml:space="preserve">1. Comprehension du produit</w:t>
      </w:r>
    </w:p>
    <w:p>
      <w:pPr>
        <w:pStyle w:val="Heading2"/>
        <w:spacing w:after="160" w:before="280"/>
      </w:pPr>
      <w:r>
        <w:rPr>
          <w:rFonts w:ascii="Calibri" w:cs="Calibri" w:eastAsia="Calibri" w:hAnsi="Calibri"/>
          <w:b/>
          <w:bCs/>
          <w:color w:val="2E211B"/>
          <w:sz w:val="27"/>
          <w:szCs w:val="27"/>
        </w:rPr>
        <w:t xml:space="preserve">1.1 Ce que fait exactement l’application</w:t>
      </w:r>
    </w:p>
    <w:p>
      <w:pPr>
        <w:spacing w:after="160" w:line="276"/>
      </w:pPr>
      <w:r>
        <w:rPr>
          <w:rFonts w:ascii="Calibri" w:cs="Calibri" w:eastAsia="Calibri" w:hAnsi="Calibri"/>
          <w:color w:val="2E211B"/>
          <w:sz w:val="22"/>
          <w:szCs w:val="22"/>
        </w:rPr>
        <w:t xml:space="preserve">Dowe est une application mobile de rencontre (iOS et Android) concue specifiquement pour la Republique democratique du Congo. Elle est entierement en francais, fonctionne par ville (26 villes congolaises pre-enregistrees, Kinshasa en tete) et non par geolocalisation continue, et integre les realites locales : paiement par Mobile Money (Airtel Money, Orange Money, M-Pesa Vodacom), prix affiches en francs congolais, et un pont vers la vie reelle grace a un systeme de soirees physiques a entree payante par QR code.</w:t>
      </w:r>
    </w:p>
    <w:p>
      <w:pPr>
        <w:spacing w:after="160" w:line="276"/>
      </w:pPr>
      <w:r>
        <w:rPr>
          <w:rFonts w:ascii="Calibri" w:cs="Calibri" w:eastAsia="Calibri" w:hAnsi="Calibri"/>
          <w:color w:val="2E211B"/>
          <w:sz w:val="22"/>
          <w:szCs w:val="22"/>
        </w:rPr>
        <w:t xml:space="preserve">Le coeur du produit est classique et eprouve : un fil de decouverte de profils (swipe), des matchs mutuels gratuits, une messagerie temps reel riche (texte, notes vocales, photos, videos, reactions, accuses de lecture), et une economie de micro-transactions par monnaie interne (les « pieces ») pour les actions premium.</w:t>
      </w:r>
    </w:p>
    <w:p>
      <w:pPr>
        <w:pBdr>
          <w:left w:val="single" w:color="8A6D1D" w:sz="18"/>
        </w:pBdr>
        <w:shd w:fill="FBF7F1" w:val="clear"/>
        <w:spacing w:after="160" w:line="264"/>
        <w:ind w:left="200"/>
      </w:pPr>
      <w:r>
        <w:rPr>
          <w:rFonts w:ascii="Calibri" w:cs="Calibri" w:eastAsia="Calibri" w:hAnsi="Calibri"/>
          <w:b/>
          <w:bCs/>
          <w:color w:val="8A6D1D"/>
          <w:sz w:val="21"/>
          <w:szCs w:val="21"/>
        </w:rPr>
        <w:t xml:space="preserve">Fait observe dans le projet : </w:t>
      </w:r>
      <w:r>
        <w:rPr>
          <w:rFonts w:ascii="Calibri" w:cs="Calibri" w:eastAsia="Calibri" w:hAnsi="Calibri"/>
          <w:color w:val="2E211B"/>
          <w:sz w:val="21"/>
          <w:szCs w:val="21"/>
        </w:rPr>
        <w:t xml:space="preserve">L'application est complete et fonctionnelle en environnement de test : 30 ecrans mobiles, backoffice d'administration et de moderation de 12 sections, site vitrine avec blog et pages legales, 51 migrations de base de donnees appliquees. Elle n'est pas encore publiee sur les stores.</w:t>
      </w:r>
    </w:p>
    <w:p>
      <w:pPr>
        <w:pStyle w:val="Heading2"/>
        <w:spacing w:after="160" w:before="280"/>
      </w:pPr>
      <w:r>
        <w:rPr>
          <w:rFonts w:ascii="Calibri" w:cs="Calibri" w:eastAsia="Calibri" w:hAnsi="Calibri"/>
          <w:b/>
          <w:bCs/>
          <w:color w:val="2E211B"/>
          <w:sz w:val="27"/>
          <w:szCs w:val="27"/>
        </w:rPr>
        <w:t xml:space="preserve">1.2 Le probleme resolu</w:t>
      </w:r>
    </w:p>
    <w:p>
      <w:pPr>
        <w:spacing w:after="160" w:line="276"/>
      </w:pPr>
      <w:r>
        <w:rPr>
          <w:rFonts w:ascii="Calibri" w:cs="Calibri" w:eastAsia="Calibri" w:hAnsi="Calibri"/>
          <w:color w:val="2E211B"/>
          <w:sz w:val="22"/>
          <w:szCs w:val="22"/>
        </w:rPr>
        <w:t xml:space="preserve">En RDC, les celibataires urbains n'ont pas d'outil de rencontre pense pour eux. Les applications mondiales (Tinder, Badoo) sont en anglais ou mal localisees, exigent une carte bancaire pour les fonctions payantes (rare en RDC), utilisent le GPS (couteux en donnees et peu pertinent dans des villes immenses), et n'ont aucune moderation adaptee au contexte local. Les rencontres passent donc par les reseaux sociaux generalistes (Facebook, WhatsApp), sans verification d'identite, avec un risque eleve de faux profils et d'arnaques.</w:t>
      </w:r>
    </w:p>
    <w:p>
      <w:pPr>
        <w:pStyle w:val="Heading2"/>
        <w:spacing w:after="160" w:before="280"/>
      </w:pPr>
      <w:r>
        <w:rPr>
          <w:rFonts w:ascii="Calibri" w:cs="Calibri" w:eastAsia="Calibri" w:hAnsi="Calibri"/>
          <w:b/>
          <w:bCs/>
          <w:color w:val="2E211B"/>
          <w:sz w:val="27"/>
          <w:szCs w:val="27"/>
        </w:rPr>
        <w:t xml:space="preserve">1.3 Fonctionnalites actuellement disponibles (observees dans le code)</w:t>
      </w:r>
    </w:p>
    <w:p>
      <w:pPr>
        <w:pStyle w:val="Heading3"/>
        <w:spacing w:after="120" w:before="220"/>
      </w:pPr>
      <w:r>
        <w:rPr>
          <w:rFonts w:ascii="Calibri" w:cs="Calibri" w:eastAsia="Calibri" w:hAnsi="Calibri"/>
          <w:b/>
          <w:bCs/>
          <w:color w:val="6B5B51"/>
          <w:sz w:val="23"/>
          <w:szCs w:val="23"/>
        </w:rPr>
        <w:t xml:space="preserve">Rencontre et decouverte</w:t>
      </w:r>
    </w:p>
    <w:p>
      <w:pPr>
        <w:pStyle w:val="ListParagraph"/>
        <w:numPr>
          <w:ilvl w:val="0"/>
          <w:numId w:val="2"/>
        </w:numPr>
        <w:spacing w:after="80" w:line="264"/>
      </w:pPr>
      <w:r>
        <w:rPr>
          <w:rFonts w:ascii="Calibri" w:cs="Calibri" w:eastAsia="Calibri" w:hAnsi="Calibri"/>
          <w:color w:val="2E211B"/>
          <w:sz w:val="22"/>
          <w:szCs w:val="22"/>
        </w:rPr>
        <w:t xml:space="preserve">Fil de decouverte par ville avec preferences croisees (genre, age), profils detailles (metier, etudes, taille, religion, langues, centres d'interet, intention de relation, tabac, alcool, enfants)</w:t>
      </w:r>
    </w:p>
    <w:p>
      <w:pPr>
        <w:pStyle w:val="ListParagraph"/>
        <w:numPr>
          <w:ilvl w:val="0"/>
          <w:numId w:val="2"/>
        </w:numPr>
        <w:spacing w:after="80" w:line="264"/>
      </w:pPr>
      <w:r>
        <w:rPr>
          <w:rFonts w:ascii="Calibri" w:cs="Calibri" w:eastAsia="Calibri" w:hAnsi="Calibri"/>
          <w:color w:val="2E211B"/>
          <w:sz w:val="22"/>
          <w:szCs w:val="22"/>
        </w:rPr>
        <w:t xml:space="preserve">Quota de 30 likes par jour pour les comptes non verifies ; likes illimites pour les comptes verifies (mecanisme anti faux profils applique cote serveur)</w:t>
      </w:r>
    </w:p>
    <w:p>
      <w:pPr>
        <w:pStyle w:val="ListParagraph"/>
        <w:numPr>
          <w:ilvl w:val="0"/>
          <w:numId w:val="2"/>
        </w:numPr>
        <w:spacing w:after="80" w:line="264"/>
      </w:pPr>
      <w:r>
        <w:rPr>
          <w:rFonts w:ascii="Calibri" w:cs="Calibri" w:eastAsia="Calibri" w:hAnsi="Calibri"/>
          <w:color w:val="2E211B"/>
          <w:sz w:val="22"/>
          <w:szCs w:val="22"/>
        </w:rPr>
        <w:t xml:space="preserve">Match mutuel gratuit ; onglet Activite regroupant Demandes de message, Likes recus, Vues du profil (24 h) et Favoris (maximum 10)</w:t>
      </w:r>
    </w:p>
    <w:p>
      <w:pPr>
        <w:pStyle w:val="ListParagraph"/>
        <w:numPr>
          <w:ilvl w:val="0"/>
          <w:numId w:val="2"/>
        </w:numPr>
        <w:spacing w:after="80" w:line="264"/>
      </w:pPr>
      <w:r>
        <w:rPr>
          <w:rFonts w:ascii="Calibri" w:cs="Calibri" w:eastAsia="Calibri" w:hAnsi="Calibri"/>
          <w:color w:val="2E211B"/>
          <w:sz w:val="22"/>
          <w:szCs w:val="22"/>
        </w:rPr>
        <w:t xml:space="preserve">Historique des profils passes avec seconde chance gratuite ; filtres de recherche avances, dont certains payants</w:t>
      </w:r>
    </w:p>
    <w:p>
      <w:pPr>
        <w:pStyle w:val="Heading3"/>
        <w:spacing w:after="120" w:before="220"/>
      </w:pPr>
      <w:r>
        <w:rPr>
          <w:rFonts w:ascii="Calibri" w:cs="Calibri" w:eastAsia="Calibri" w:hAnsi="Calibri"/>
          <w:b/>
          <w:bCs/>
          <w:color w:val="6B5B51"/>
          <w:sz w:val="23"/>
          <w:szCs w:val="23"/>
        </w:rPr>
        <w:t xml:space="preserve">Messagerie</w:t>
      </w:r>
    </w:p>
    <w:p>
      <w:pPr>
        <w:pStyle w:val="ListParagraph"/>
        <w:numPr>
          <w:ilvl w:val="0"/>
          <w:numId w:val="2"/>
        </w:numPr>
        <w:spacing w:after="80" w:line="264"/>
      </w:pPr>
      <w:r>
        <w:rPr>
          <w:rFonts w:ascii="Calibri" w:cs="Calibri" w:eastAsia="Calibri" w:hAnsi="Calibri"/>
          <w:color w:val="2E211B"/>
          <w:sz w:val="22"/>
          <w:szCs w:val="22"/>
        </w:rPr>
        <w:t xml:space="preserve">Chat temps reel : texte, notes vocales, photos, videos, reactions emoji, suppression de message, statuts Distribue / Lu, indicateur En ligne</w:t>
      </w:r>
    </w:p>
    <w:p>
      <w:pPr>
        <w:pStyle w:val="ListParagraph"/>
        <w:numPr>
          <w:ilvl w:val="0"/>
          <w:numId w:val="2"/>
        </w:numPr>
        <w:spacing w:after="80" w:line="264"/>
      </w:pPr>
      <w:r>
        <w:rPr>
          <w:rFonts w:ascii="Calibri" w:cs="Calibri" w:eastAsia="Calibri" w:hAnsi="Calibri"/>
          <w:color w:val="2E211B"/>
          <w:sz w:val="22"/>
          <w:szCs w:val="22"/>
        </w:rPr>
        <w:t xml:space="preserve">Message direct sans match (payant apres 5 messages offerts) : celui qui ecrit paie, repondre est gratuit et cree le match</w:t>
      </w:r>
    </w:p>
    <w:p>
      <w:pPr>
        <w:pStyle w:val="ListParagraph"/>
        <w:numPr>
          <w:ilvl w:val="0"/>
          <w:numId w:val="2"/>
        </w:numPr>
        <w:spacing w:after="80" w:line="264"/>
      </w:pPr>
      <w:r>
        <w:rPr>
          <w:rFonts w:ascii="Calibri" w:cs="Calibri" w:eastAsia="Calibri" w:hAnsi="Calibri"/>
          <w:color w:val="2E211B"/>
          <w:sz w:val="22"/>
          <w:szCs w:val="22"/>
        </w:rPr>
        <w:t xml:space="preserve">Archivage de conversations, blocage et signalement accessibles depuis toute fiche profil</w:t>
      </w:r>
    </w:p>
    <w:p>
      <w:pPr>
        <w:pStyle w:val="Heading3"/>
        <w:spacing w:after="120" w:before="220"/>
      </w:pPr>
      <w:r>
        <w:rPr>
          <w:rFonts w:ascii="Calibri" w:cs="Calibri" w:eastAsia="Calibri" w:hAnsi="Calibri"/>
          <w:b/>
          <w:bCs/>
          <w:color w:val="6B5B51"/>
          <w:sz w:val="23"/>
          <w:szCs w:val="23"/>
        </w:rPr>
        <w:t xml:space="preserve">Confiance et securite</w:t>
      </w:r>
    </w:p>
    <w:p>
      <w:pPr>
        <w:pStyle w:val="ListParagraph"/>
        <w:numPr>
          <w:ilvl w:val="0"/>
          <w:numId w:val="2"/>
        </w:numPr>
        <w:spacing w:after="80" w:line="264"/>
      </w:pPr>
      <w:r>
        <w:rPr>
          <w:rFonts w:ascii="Calibri" w:cs="Calibri" w:eastAsia="Calibri" w:hAnsi="Calibri"/>
          <w:color w:val="2E211B"/>
          <w:sz w:val="22"/>
          <w:szCs w:val="22"/>
        </w:rPr>
        <w:t xml:space="preserve">Verification de profil par selfie reproduisant un geste tire au sort par le serveur (8 gestes possibles), validee par un moderateur humain</w:t>
      </w:r>
    </w:p>
    <w:p>
      <w:pPr>
        <w:pStyle w:val="ListParagraph"/>
        <w:numPr>
          <w:ilvl w:val="0"/>
          <w:numId w:val="2"/>
        </w:numPr>
        <w:spacing w:after="80" w:line="264"/>
      </w:pPr>
      <w:r>
        <w:rPr>
          <w:rFonts w:ascii="Calibri" w:cs="Calibri" w:eastAsia="Calibri" w:hAnsi="Calibri"/>
          <w:color w:val="2E211B"/>
          <w:sz w:val="22"/>
          <w:szCs w:val="22"/>
        </w:rPr>
        <w:t xml:space="preserve">Backoffice de moderation complet : files de signalements tries par gravite, file dediee protection des mineurs avec delai de traitement d’une heure, echelle de sanctions (avertissement, shadowban, suspension, bannissement), journal d’audit, guide de moderation redige</w:t>
      </w:r>
    </w:p>
    <w:p>
      <w:pPr>
        <w:pStyle w:val="ListParagraph"/>
        <w:numPr>
          <w:ilvl w:val="0"/>
          <w:numId w:val="2"/>
        </w:numPr>
        <w:spacing w:after="80" w:line="264"/>
      </w:pPr>
      <w:r>
        <w:rPr>
          <w:rFonts w:ascii="Calibri" w:cs="Calibri" w:eastAsia="Calibri" w:hAnsi="Calibri"/>
          <w:color w:val="2E211B"/>
          <w:sz w:val="22"/>
          <w:szCs w:val="22"/>
        </w:rPr>
        <w:t xml:space="preserve">Securite technique : Row Level Security sur 100 % des tables, logique metier cote serveur impossible a contourner depuis le client, verrouillage local de l’app par code a 4 chiffres</w:t>
      </w:r>
    </w:p>
    <w:p>
      <w:pPr>
        <w:pStyle w:val="Heading3"/>
        <w:spacing w:after="120" w:before="220"/>
      </w:pPr>
      <w:r>
        <w:rPr>
          <w:rFonts w:ascii="Calibri" w:cs="Calibri" w:eastAsia="Calibri" w:hAnsi="Calibri"/>
          <w:b/>
          <w:bCs/>
          <w:color w:val="6B5B51"/>
          <w:sz w:val="23"/>
          <w:szCs w:val="23"/>
        </w:rPr>
        <w:t xml:space="preserve">Monetisation (deja codee)</w:t>
      </w:r>
    </w:p>
    <w:p>
      <w:pPr>
        <w:pStyle w:val="ListParagraph"/>
        <w:numPr>
          <w:ilvl w:val="0"/>
          <w:numId w:val="2"/>
        </w:numPr>
        <w:spacing w:after="80" w:line="264"/>
      </w:pPr>
      <w:r>
        <w:rPr>
          <w:rFonts w:ascii="Calibri" w:cs="Calibri" w:eastAsia="Calibri" w:hAnsi="Calibri"/>
          <w:color w:val="2E211B"/>
          <w:sz w:val="22"/>
          <w:szCs w:val="22"/>
        </w:rPr>
        <w:t xml:space="preserve">Economie de pieces avec 4 packs (800 a 20 000 pieces, de 4 500 a 44 300 CDF), pieces du pack Prestige perissables sous 30 jours</w:t>
      </w:r>
    </w:p>
    <w:p>
      <w:pPr>
        <w:pStyle w:val="ListParagraph"/>
        <w:numPr>
          <w:ilvl w:val="0"/>
          <w:numId w:val="2"/>
        </w:numPr>
        <w:spacing w:after="80" w:line="264"/>
      </w:pPr>
      <w:r>
        <w:rPr>
          <w:rFonts w:ascii="Calibri" w:cs="Calibri" w:eastAsia="Calibri" w:hAnsi="Calibri"/>
          <w:color w:val="2E211B"/>
          <w:sz w:val="22"/>
          <w:szCs w:val="22"/>
        </w:rPr>
        <w:t xml:space="preserve">Abonnement Incognito 3 / 6 / 12 mois (110 900 / 177 400 / 287 700 CDF) : profil invisible dans les fils, visites non enregistrees, verrou par code</w:t>
      </w:r>
    </w:p>
    <w:p>
      <w:pPr>
        <w:pStyle w:val="ListParagraph"/>
        <w:numPr>
          <w:ilvl w:val="0"/>
          <w:numId w:val="2"/>
        </w:numPr>
        <w:spacing w:after="80" w:line="264"/>
      </w:pPr>
      <w:r>
        <w:rPr>
          <w:rFonts w:ascii="Calibri" w:cs="Calibri" w:eastAsia="Calibri" w:hAnsi="Calibri"/>
          <w:color w:val="2E211B"/>
          <w:sz w:val="22"/>
          <w:szCs w:val="22"/>
        </w:rPr>
        <w:t xml:space="preserve">Filtres premium payants en pieces ; entree en soiree payee en francs via Mobile Money apres scan du QR code</w:t>
      </w:r>
    </w:p>
    <w:p>
      <w:pPr>
        <w:pStyle w:val="ListParagraph"/>
        <w:numPr>
          <w:ilvl w:val="0"/>
          <w:numId w:val="2"/>
        </w:numPr>
        <w:spacing w:after="80" w:line="264"/>
      </w:pPr>
      <w:r>
        <w:rPr>
          <w:rFonts w:ascii="Calibri" w:cs="Calibri" w:eastAsia="Calibri" w:hAnsi="Calibri"/>
          <w:color w:val="2E211B"/>
          <w:sz w:val="22"/>
          <w:szCs w:val="22"/>
        </w:rPr>
        <w:t xml:space="preserve">Programme de recompenses : 400 pieces de bienvenue, 400 pour la verification, 200 pour le partage, parrainage (600 pour le parrain, 200 pour le filleul, credites uniquement a la verification humaine du filleul)</w:t>
      </w:r>
    </w:p>
    <w:p>
      <w:pPr>
        <w:pStyle w:val="Heading3"/>
        <w:spacing w:after="120" w:before="220"/>
      </w:pPr>
      <w:r>
        <w:rPr>
          <w:rFonts w:ascii="Calibri" w:cs="Calibri" w:eastAsia="Calibri" w:hAnsi="Calibri"/>
          <w:b/>
          <w:bCs/>
          <w:color w:val="6B5B51"/>
          <w:sz w:val="23"/>
          <w:szCs w:val="23"/>
        </w:rPr>
        <w:t xml:space="preserve">Evenementiel (pont online-to-offline)</w:t>
      </w:r>
    </w:p>
    <w:p>
      <w:pPr>
        <w:pStyle w:val="ListParagraph"/>
        <w:numPr>
          <w:ilvl w:val="0"/>
          <w:numId w:val="2"/>
        </w:numPr>
        <w:spacing w:after="80" w:line="264"/>
      </w:pPr>
      <w:r>
        <w:rPr>
          <w:rFonts w:ascii="Calibri" w:cs="Calibri" w:eastAsia="Calibri" w:hAnsi="Calibri"/>
          <w:color w:val="2E211B"/>
          <w:sz w:val="22"/>
          <w:szCs w:val="22"/>
        </w:rPr>
        <w:t xml:space="preserve">Soirees physiques gerees depuis le backoffice (QR code, prix d’entree en CDF, fenetre d’acces) ; le scan du QR ouvre le paiement Mobile Money, puis un fil de decouverte reserve aux personnes presentes a la soiree</w:t>
      </w:r>
    </w:p>
    <w:p>
      <w:pPr>
        <w:pStyle w:val="Heading2"/>
        <w:spacing w:after="160" w:before="280"/>
      </w:pPr>
      <w:r>
        <w:rPr>
          <w:rFonts w:ascii="Calibri" w:cs="Calibri" w:eastAsia="Calibri" w:hAnsi="Calibri"/>
          <w:b/>
          <w:bCs/>
          <w:color w:val="2E211B"/>
          <w:sz w:val="27"/>
          <w:szCs w:val="27"/>
        </w:rPr>
        <w:t xml:space="preserve">1.4 Fonctionnalites prevues mais non terminees (observees dans le code ou la documentation interne)</w:t>
      </w:r>
    </w:p>
    <w:tbl>
      <w:tblPr>
        <w:tblW w:type="dxa" w:w="9600"/>
        <w:tblBorders>
          <w:top w:val="single" w:color="CBB9AC" w:sz="4"/>
          <w:left w:val="single" w:color="CBB9AC" w:sz="4"/>
          <w:bottom w:val="single" w:color="CBB9AC" w:sz="4"/>
          <w:right w:val="single" w:color="CBB9AC" w:sz="4"/>
          <w:insideH w:val="single" w:color="CBB9AC" w:sz="4"/>
          <w:insideV w:val="single" w:color="CBB9AC" w:sz="4"/>
        </w:tblBorders>
      </w:tblPr>
      <w:tblGrid>
        <w:gridCol w:w="4800"/>
        <w:gridCol w:w="4800"/>
      </w:tblGrid>
      <w:tr>
        <w:tc>
          <w:tcPr>
            <w:tcW w:type="dxa" w:w="48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Element</w:t>
            </w:r>
          </w:p>
        </w:tc>
        <w:tc>
          <w:tcPr>
            <w:tcW w:type="dxa" w:w="48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Etat observe</w:t>
            </w:r>
          </w:p>
        </w:tc>
      </w:tr>
      <w:tr>
        <w:tc>
          <w:tcPr>
            <w:tcW w:type="dxa" w:w="4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Paiement Mobile Money en production</w:t>
            </w:r>
          </w:p>
        </w:tc>
        <w:tc>
          <w:tcPr>
            <w:tcW w:type="dxa" w:w="4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Integration MultiPay (Interswitch) complete et validee en environnement de test ; en production, echec systematique cote Interswitch (provisioning des canaux Mobile Money du marchand incomplet, ticket support ouvert). Personne ne peut payer en conditions reelles aujourd’hui.</w:t>
            </w:r>
          </w:p>
        </w:tc>
      </w:tr>
      <w:tr>
        <w:tc>
          <w:tcPr>
            <w:tcW w:type="dxa" w:w="48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Paiement international (App Store / Google Play)</w:t>
            </w:r>
          </w:p>
        </w:tc>
        <w:tc>
          <w:tcPr>
            <w:tcW w:type="dxa" w:w="48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Ecrans et prix en USD prets, SDK RevenueCat prevu par l’architecture mais non branche.</w:t>
            </w:r>
          </w:p>
        </w:tc>
      </w:tr>
      <w:tr>
        <w:tc>
          <w:tcPr>
            <w:tcW w:type="dxa" w:w="4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Notifications push</w:t>
            </w:r>
          </w:p>
        </w:tc>
        <w:tc>
          <w:tcPr>
            <w:tcW w:type="dxa" w:w="4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Chaine serveur complete et testee ; non testee sur appareil reel (identifiant de projet EAS manquant).</w:t>
            </w:r>
          </w:p>
        </w:tc>
      </w:tr>
      <w:tr>
        <w:tc>
          <w:tcPr>
            <w:tcW w:type="dxa" w:w="48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Connexion Google / Apple</w:t>
            </w:r>
          </w:p>
        </w:tc>
        <w:tc>
          <w:tcPr>
            <w:tcW w:type="dxa" w:w="48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Prevue dans l’architecture et l’interface ; identifiants OAuth non configures.</w:t>
            </w:r>
          </w:p>
        </w:tc>
      </w:tr>
      <w:tr>
        <w:tc>
          <w:tcPr>
            <w:tcW w:type="dxa" w:w="4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Publication sur les stores</w:t>
            </w:r>
          </w:p>
        </w:tc>
        <w:tc>
          <w:tcPr>
            <w:tcW w:type="dxa" w:w="4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Comptes developpeur Apple et Google non crees ; icones et ecran de demarrage definitifs a produire ; nom definitif a choisir.</w:t>
            </w:r>
          </w:p>
        </w:tc>
      </w:tr>
      <w:tr>
        <w:tc>
          <w:tcPr>
            <w:tcW w:type="dxa" w:w="48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E-mails transactionnels a l’echelle</w:t>
            </w:r>
          </w:p>
        </w:tc>
        <w:tc>
          <w:tcPr>
            <w:tcW w:type="dxa" w:w="48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SMTP Brevo operationnel mais limite a 300 e-mails/jour (offre gratuite) et sans domaine propre.</w:t>
            </w:r>
          </w:p>
        </w:tc>
      </w:tr>
      <w:tr>
        <w:tc>
          <w:tcPr>
            <w:tcW w:type="dxa" w:w="4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Boite support</w:t>
            </w:r>
          </w:p>
        </w:tc>
        <w:tc>
          <w:tcPr>
            <w:tcW w:type="dxa" w:w="4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L’adresse support@dowe.app figure dans les documents legaux mais la boite n’est pas encore creee.</w:t>
            </w:r>
          </w:p>
        </w:tc>
      </w:tr>
    </w:tbl>
    <w:p>
      <w:pPr>
        <w:spacing w:after="200"/>
      </w:pPr>
    </w:p>
    <w:p>
      <w:pPr>
        <w:pStyle w:val="Heading2"/>
        <w:spacing w:after="160" w:before="280"/>
      </w:pPr>
      <w:r>
        <w:rPr>
          <w:rFonts w:ascii="Calibri" w:cs="Calibri" w:eastAsia="Calibri" w:hAnsi="Calibri"/>
          <w:b/>
          <w:bCs/>
          <w:color w:val="2E211B"/>
          <w:sz w:val="27"/>
          <w:szCs w:val="27"/>
        </w:rPr>
        <w:t xml:space="preserve">1.5 Types d’utilisateurs et parcours</w:t>
      </w:r>
    </w:p>
    <w:p>
      <w:pPr>
        <w:pStyle w:val="ListParagraph"/>
        <w:numPr>
          <w:ilvl w:val="0"/>
          <w:numId w:val="2"/>
        </w:numPr>
        <w:spacing w:after="80" w:line="264"/>
      </w:pPr>
      <w:r>
        <w:rPr>
          <w:rFonts w:ascii="Calibri" w:cs="Calibri" w:eastAsia="Calibri" w:hAnsi="Calibri"/>
          <w:b/>
          <w:bCs/>
          <w:color w:val="2E211B"/>
          <w:sz w:val="22"/>
          <w:szCs w:val="22"/>
        </w:rPr>
        <w:t xml:space="preserve">Membre gratuit</w:t>
      </w:r>
      <w:r>
        <w:rPr>
          <w:rFonts w:ascii="Calibri" w:cs="Calibri" w:eastAsia="Calibri" w:hAnsi="Calibri"/>
          <w:color w:val="2E211B"/>
          <w:sz w:val="22"/>
          <w:szCs w:val="22"/>
        </w:rPr>
        <w:t xml:space="preserve"> : s’inscrit par e-mail (code a 6 chiffres), complete un onboarding en 12 etapes (identite, intention, ville verifiee par GPS local, photos, style de vie), swipe (30 likes/jour), matche gratuitement, discute sans limite avec ses matchs, dispose de 5 messages directs offerts.</w:t>
      </w:r>
    </w:p>
    <w:p>
      <w:pPr>
        <w:pStyle w:val="ListParagraph"/>
        <w:numPr>
          <w:ilvl w:val="0"/>
          <w:numId w:val="2"/>
        </w:numPr>
        <w:spacing w:after="80" w:line="264"/>
      </w:pPr>
      <w:r>
        <w:rPr>
          <w:rFonts w:ascii="Calibri" w:cs="Calibri" w:eastAsia="Calibri" w:hAnsi="Calibri"/>
          <w:b/>
          <w:bCs/>
          <w:color w:val="2E211B"/>
          <w:sz w:val="22"/>
          <w:szCs w:val="22"/>
        </w:rPr>
        <w:t xml:space="preserve">Membre verifie</w:t>
      </w:r>
      <w:r>
        <w:rPr>
          <w:rFonts w:ascii="Calibri" w:cs="Calibri" w:eastAsia="Calibri" w:hAnsi="Calibri"/>
          <w:color w:val="2E211B"/>
          <w:sz w:val="22"/>
          <w:szCs w:val="22"/>
        </w:rPr>
        <w:t xml:space="preserve"> : a fait valider un selfie avec geste ; likes illimites, badge bleu, acces au filtre « profils certifies ». La verification est le levier central : elle reduit les faux profils et debloque le confort.</w:t>
      </w:r>
    </w:p>
    <w:p>
      <w:pPr>
        <w:pStyle w:val="ListParagraph"/>
        <w:numPr>
          <w:ilvl w:val="0"/>
          <w:numId w:val="2"/>
        </w:numPr>
        <w:spacing w:after="80" w:line="264"/>
      </w:pPr>
      <w:r>
        <w:rPr>
          <w:rFonts w:ascii="Calibri" w:cs="Calibri" w:eastAsia="Calibri" w:hAnsi="Calibri"/>
          <w:b/>
          <w:bCs/>
          <w:color w:val="2E211B"/>
          <w:sz w:val="22"/>
          <w:szCs w:val="22"/>
        </w:rPr>
        <w:t xml:space="preserve">Membre payeur</w:t>
      </w:r>
      <w:r>
        <w:rPr>
          <w:rFonts w:ascii="Calibri" w:cs="Calibri" w:eastAsia="Calibri" w:hAnsi="Calibri"/>
          <w:color w:val="2E211B"/>
          <w:sz w:val="22"/>
          <w:szCs w:val="22"/>
        </w:rPr>
        <w:t xml:space="preserve"> : achete des pieces par Mobile Money pour les messages directs (200 pieces), le like retour immediat (400 pieces), les filtres premium ; peut s’abonner a l’Incognito ; paie l’entree des soirees en francs.</w:t>
      </w:r>
    </w:p>
    <w:p>
      <w:pPr>
        <w:pStyle w:val="ListParagraph"/>
        <w:numPr>
          <w:ilvl w:val="0"/>
          <w:numId w:val="2"/>
        </w:numPr>
        <w:spacing w:after="80" w:line="264"/>
      </w:pPr>
      <w:r>
        <w:rPr>
          <w:rFonts w:ascii="Calibri" w:cs="Calibri" w:eastAsia="Calibri" w:hAnsi="Calibri"/>
          <w:b/>
          <w:bCs/>
          <w:color w:val="2E211B"/>
          <w:sz w:val="22"/>
          <w:szCs w:val="22"/>
        </w:rPr>
        <w:t xml:space="preserve">Participant de soiree</w:t>
      </w:r>
      <w:r>
        <w:rPr>
          <w:rFonts w:ascii="Calibri" w:cs="Calibri" w:eastAsia="Calibri" w:hAnsi="Calibri"/>
          <w:color w:val="2E211B"/>
          <w:sz w:val="22"/>
          <w:szCs w:val="22"/>
        </w:rPr>
        <w:t xml:space="preserve"> : scanne le QR a l’entree d’un evenement partenaire, paie l’entree par Mobile Money, accede au fil des personnes presentes.</w:t>
      </w:r>
    </w:p>
    <w:p>
      <w:pPr>
        <w:pStyle w:val="ListParagraph"/>
        <w:numPr>
          <w:ilvl w:val="0"/>
          <w:numId w:val="2"/>
        </w:numPr>
        <w:spacing w:after="80" w:line="264"/>
      </w:pPr>
      <w:r>
        <w:rPr>
          <w:rFonts w:ascii="Calibri" w:cs="Calibri" w:eastAsia="Calibri" w:hAnsi="Calibri"/>
          <w:b/>
          <w:bCs/>
          <w:color w:val="2E211B"/>
          <w:sz w:val="22"/>
          <w:szCs w:val="22"/>
        </w:rPr>
        <w:t xml:space="preserve">Equipe de moderation</w:t>
      </w:r>
      <w:r>
        <w:rPr>
          <w:rFonts w:ascii="Calibri" w:cs="Calibri" w:eastAsia="Calibri" w:hAnsi="Calibri"/>
          <w:color w:val="2E211B"/>
          <w:sz w:val="22"/>
          <w:szCs w:val="22"/>
        </w:rPr>
        <w:t xml:space="preserve"> : trois roles (proprietaire, administrateur, moderateur) sur un backoffice utilisable au telephone, avec journal d’audit et procedures ecrites.</w:t>
      </w:r>
    </w:p>
    <w:p>
      <w:pPr>
        <w:pStyle w:val="Heading2"/>
        <w:spacing w:after="160" w:before="280"/>
      </w:pPr>
      <w:r>
        <w:rPr>
          <w:rFonts w:ascii="Calibri" w:cs="Calibri" w:eastAsia="Calibri" w:hAnsi="Calibri"/>
          <w:b/>
          <w:bCs/>
          <w:color w:val="2E211B"/>
          <w:sz w:val="27"/>
          <w:szCs w:val="27"/>
        </w:rPr>
        <w:t xml:space="preserve">1.6 Technologies et architecture</w:t>
      </w:r>
    </w:p>
    <w:tbl>
      <w:tblPr>
        <w:tblW w:type="dxa" w:w="9600"/>
        <w:tblBorders>
          <w:top w:val="single" w:color="CBB9AC" w:sz="4"/>
          <w:left w:val="single" w:color="CBB9AC" w:sz="4"/>
          <w:bottom w:val="single" w:color="CBB9AC" w:sz="4"/>
          <w:right w:val="single" w:color="CBB9AC" w:sz="4"/>
          <w:insideH w:val="single" w:color="CBB9AC" w:sz="4"/>
          <w:insideV w:val="single" w:color="CBB9AC" w:sz="4"/>
        </w:tblBorders>
      </w:tblPr>
      <w:tblGrid>
        <w:gridCol w:w="3200"/>
        <w:gridCol w:w="6400"/>
      </w:tblGrid>
      <w:tr>
        <w:tc>
          <w:tcPr>
            <w:tcW w:type="dxa" w:w="32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Couche</w:t>
            </w:r>
          </w:p>
        </w:tc>
        <w:tc>
          <w:tcPr>
            <w:tcW w:type="dxa" w:w="64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Choix technique</w:t>
            </w:r>
          </w:p>
        </w:tc>
      </w:tr>
      <w:tr>
        <w:tc>
          <w:tcPr>
            <w:tcW w:type="dxa" w:w="3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Application mobile</w:t>
            </w:r>
          </w:p>
        </w:tc>
        <w:tc>
          <w:tcPr>
            <w:tcW w:type="dxa" w:w="64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Expo / React Native / TypeScript, une seule base de code iOS + Android, design adaptatif (verre iOS, Material 3 Android), identite visuelle propre « Velours »</w:t>
            </w:r>
          </w:p>
        </w:tc>
      </w:tr>
      <w:tr>
        <w:tc>
          <w:tcPr>
            <w:tcW w:type="dxa" w:w="3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Backend</w:t>
            </w:r>
          </w:p>
        </w:tc>
        <w:tc>
          <w:tcPr>
            <w:tcW w:type="dxa" w:w="64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Supabase (Postgres manage, region eu-west-1) : authentification, base de donnees avec RLS, temps reel, stockage photos/audio/video, fonctions Edge</w:t>
            </w:r>
          </w:p>
        </w:tc>
      </w:tr>
      <w:tr>
        <w:tc>
          <w:tcPr>
            <w:tcW w:type="dxa" w:w="3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Paiements</w:t>
            </w:r>
          </w:p>
        </w:tc>
        <w:tc>
          <w:tcPr>
            <w:tcW w:type="dxa" w:w="64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MultiPay / Interswitch (Mobile Money RDC : Airtel, Orange, M-Pesa) ; RevenueCat prevu pour les achats integres internationaux</w:t>
            </w:r>
          </w:p>
        </w:tc>
      </w:tr>
      <w:tr>
        <w:tc>
          <w:tcPr>
            <w:tcW w:type="dxa" w:w="3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Web</w:t>
            </w:r>
          </w:p>
        </w:tc>
        <w:tc>
          <w:tcPr>
            <w:tcW w:type="dxa" w:w="64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Site vitrine statique sur Vercel (landing, blog, pages legales, backoffice), geobloque hors RDC sauf pages legales</w:t>
            </w:r>
          </w:p>
        </w:tc>
      </w:tr>
      <w:tr>
        <w:tc>
          <w:tcPr>
            <w:tcW w:type="dxa" w:w="3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E-mails</w:t>
            </w:r>
          </w:p>
        </w:tc>
        <w:tc>
          <w:tcPr>
            <w:tcW w:type="dxa" w:w="64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Brevo (SMTP) pour les codes de connexion</w:t>
            </w:r>
          </w:p>
        </w:tc>
      </w:tr>
    </w:tbl>
    <w:p>
      <w:pPr>
        <w:spacing w:after="200"/>
      </w:pPr>
    </w:p>
    <w:p>
      <w:pPr>
        <w:pBdr>
          <w:left w:val="single" w:color="8A6D1D" w:sz="18"/>
        </w:pBdr>
        <w:shd w:fill="FBF7F1" w:val="clear"/>
        <w:spacing w:after="160" w:line="264"/>
        <w:ind w:left="200"/>
      </w:pPr>
      <w:r>
        <w:rPr>
          <w:rFonts w:ascii="Calibri" w:cs="Calibri" w:eastAsia="Calibri" w:hAnsi="Calibri"/>
          <w:b/>
          <w:bCs/>
          <w:color w:val="8A6D1D"/>
          <w:sz w:val="21"/>
          <w:szCs w:val="21"/>
        </w:rPr>
        <w:t xml:space="preserve">Fait observe dans le projet : </w:t>
      </w:r>
      <w:r>
        <w:rPr>
          <w:rFonts w:ascii="Calibri" w:cs="Calibri" w:eastAsia="Calibri" w:hAnsi="Calibri"/>
          <w:color w:val="2E211B"/>
          <w:sz w:val="21"/>
          <w:szCs w:val="21"/>
        </w:rPr>
        <w:t xml:space="preserve">Architecture « zero serveur a gerer » : le cout d'infrastructure est quasi nul au demarrage et croit lineairement avec l'usage. Le schema de donnees est concu pour supporter des millions de lignes (index, partitionnement prevu pour les tables de forte volumetrie).</w:t>
      </w:r>
    </w:p>
    <w:p>
      <w:pPr>
        <w:spacing w:after="160" w:line="276"/>
      </w:pPr>
      <w:r>
        <w:rPr>
          <w:rFonts w:ascii="Calibri" w:cs="Calibri" w:eastAsia="Calibri" w:hAnsi="Calibri"/>
          <w:color w:val="2E211B"/>
          <w:sz w:val="22"/>
          <w:szCs w:val="22"/>
        </w:rPr>
        <w:t xml:space="preserve">Toute la logique sensible (swipe, match, quotas, debits de pieces, credits de paiement) vit cote serveur dans des fonctions Postgres protegees : le client mobile ne peut pas tricher, et les credits de solde ne proviennent que de webhooks de paiement verifies. C'est un niveau de rigueur rare pour un projet a ce stade.</w:t>
      </w:r>
    </w:p>
    <w:p>
      <w:pPr>
        <w:pStyle w:val="Heading2"/>
        <w:spacing w:after="160" w:before="280"/>
      </w:pPr>
      <w:r>
        <w:rPr>
          <w:rFonts w:ascii="Calibri" w:cs="Calibri" w:eastAsia="Calibri" w:hAnsi="Calibri"/>
          <w:b/>
          <w:bCs/>
          <w:color w:val="2E211B"/>
          <w:sz w:val="27"/>
          <w:szCs w:val="27"/>
        </w:rPr>
        <w:t xml:space="preserve">1.7 Donnees utilisees et leur role</w:t>
      </w:r>
    </w:p>
    <w:p>
      <w:pPr>
        <w:pStyle w:val="ListParagraph"/>
        <w:numPr>
          <w:ilvl w:val="0"/>
          <w:numId w:val="2"/>
        </w:numPr>
        <w:spacing w:after="80" w:line="264"/>
      </w:pPr>
      <w:r>
        <w:rPr>
          <w:rFonts w:ascii="Calibri" w:cs="Calibri" w:eastAsia="Calibri" w:hAnsi="Calibri"/>
          <w:color w:val="2E211B"/>
          <w:sz w:val="22"/>
          <w:szCs w:val="22"/>
        </w:rPr>
        <w:t xml:space="preserve">Profils declaratifs (ville, age, intention, style de vie) : alimentent le matching par ville et les filtres ; pas de suivi GPS continu, la position ne sert qu’a verifier la ville a l’inscription, en local</w:t>
      </w:r>
    </w:p>
    <w:p>
      <w:pPr>
        <w:pStyle w:val="ListParagraph"/>
        <w:numPr>
          <w:ilvl w:val="0"/>
          <w:numId w:val="2"/>
        </w:numPr>
        <w:spacing w:after="80" w:line="264"/>
      </w:pPr>
      <w:r>
        <w:rPr>
          <w:rFonts w:ascii="Calibri" w:cs="Calibri" w:eastAsia="Calibri" w:hAnsi="Calibri"/>
          <w:color w:val="2E211B"/>
          <w:sz w:val="22"/>
          <w:szCs w:val="22"/>
        </w:rPr>
        <w:t xml:space="preserve">Swipes, matchs, messages : coeur relationnel, temps reel ; tables concues pour la volumetrie</w:t>
      </w:r>
    </w:p>
    <w:p>
      <w:pPr>
        <w:pStyle w:val="ListParagraph"/>
        <w:numPr>
          <w:ilvl w:val="0"/>
          <w:numId w:val="2"/>
        </w:numPr>
        <w:spacing w:after="80" w:line="264"/>
      </w:pPr>
      <w:r>
        <w:rPr>
          <w:rFonts w:ascii="Calibri" w:cs="Calibri" w:eastAsia="Calibri" w:hAnsi="Calibri"/>
          <w:color w:val="2E211B"/>
          <w:sz w:val="22"/>
          <w:szCs w:val="22"/>
        </w:rPr>
        <w:t xml:space="preserve">Portefeuille de pieces et transactions : traçabilite complete de chaque credit et debit, source de verite des tarifs en base</w:t>
      </w:r>
    </w:p>
    <w:p>
      <w:pPr>
        <w:pStyle w:val="ListParagraph"/>
        <w:numPr>
          <w:ilvl w:val="0"/>
          <w:numId w:val="2"/>
        </w:numPr>
        <w:spacing w:after="80" w:line="264"/>
      </w:pPr>
      <w:r>
        <w:rPr>
          <w:rFonts w:ascii="Calibri" w:cs="Calibri" w:eastAsia="Calibri" w:hAnsi="Calibri"/>
          <w:color w:val="2E211B"/>
          <w:sz w:val="22"/>
          <w:szCs w:val="22"/>
        </w:rPr>
        <w:t xml:space="preserve">Signalements, sanctions, verifications : donnees de moderation, visibles uniquement du backoffice, journalisees</w:t>
      </w:r>
    </w:p>
    <w:p>
      <w:pPr>
        <w:pStyle w:val="ListParagraph"/>
        <w:numPr>
          <w:ilvl w:val="0"/>
          <w:numId w:val="2"/>
        </w:numPr>
        <w:spacing w:after="80" w:line="264"/>
      </w:pPr>
      <w:r>
        <w:rPr>
          <w:rFonts w:ascii="Calibri" w:cs="Calibri" w:eastAsia="Calibri" w:hAnsi="Calibri"/>
          <w:color w:val="2E211B"/>
          <w:sz w:val="22"/>
          <w:szCs w:val="22"/>
        </w:rPr>
        <w:t xml:space="preserve">Donnees personnelles : politique de confidentialite alignee UK GDPR, suppression complete du compte disponible dans l’app (exigence Apple)</w:t>
      </w:r>
    </w:p>
    <w:p>
      <w:pPr>
        <w:pStyle w:val="Heading2"/>
        <w:spacing w:after="160" w:before="280"/>
      </w:pPr>
      <w:r>
        <w:rPr>
          <w:rFonts w:ascii="Calibri" w:cs="Calibri" w:eastAsia="Calibri" w:hAnsi="Calibri"/>
          <w:b/>
          <w:bCs/>
          <w:color w:val="2E211B"/>
          <w:sz w:val="27"/>
          <w:szCs w:val="27"/>
        </w:rPr>
        <w:t xml:space="preserve">1.8 Avantages concurrentiels identifiables</w:t>
      </w:r>
    </w:p>
    <w:p>
      <w:pPr>
        <w:pStyle w:val="ListParagraph"/>
        <w:numPr>
          <w:ilvl w:val="0"/>
          <w:numId w:val="2"/>
        </w:numPr>
        <w:spacing w:after="80" w:line="264"/>
      </w:pPr>
      <w:r>
        <w:rPr>
          <w:rFonts w:ascii="Calibri" w:cs="Calibri" w:eastAsia="Calibri" w:hAnsi="Calibri"/>
          <w:color w:val="2E211B"/>
          <w:sz w:val="22"/>
          <w:szCs w:val="22"/>
        </w:rPr>
        <w:t xml:space="preserve">Paiement 100 % Mobile Money local, sans carte bancaire, dans la monnaie locale : la barriere numero un des apps mondiales en RDC tombe</w:t>
      </w:r>
    </w:p>
    <w:p>
      <w:pPr>
        <w:pStyle w:val="ListParagraph"/>
        <w:numPr>
          <w:ilvl w:val="0"/>
          <w:numId w:val="2"/>
        </w:numPr>
        <w:spacing w:after="80" w:line="264"/>
      </w:pPr>
      <w:r>
        <w:rPr>
          <w:rFonts w:ascii="Calibri" w:cs="Calibri" w:eastAsia="Calibri" w:hAnsi="Calibri"/>
          <w:color w:val="2E211B"/>
          <w:sz w:val="22"/>
          <w:szCs w:val="22"/>
        </w:rPr>
        <w:t xml:space="preserve">Prix cales environ 7 % sous le concurrent local de reference a quantite d’action egale, avec une grille qui absorbe deja la commission de paiement de 3 %</w:t>
      </w:r>
    </w:p>
    <w:p>
      <w:pPr>
        <w:pStyle w:val="ListParagraph"/>
        <w:numPr>
          <w:ilvl w:val="0"/>
          <w:numId w:val="2"/>
        </w:numPr>
        <w:spacing w:after="80" w:line="264"/>
      </w:pPr>
      <w:r>
        <w:rPr>
          <w:rFonts w:ascii="Calibri" w:cs="Calibri" w:eastAsia="Calibri" w:hAnsi="Calibri"/>
          <w:color w:val="2E211B"/>
          <w:sz w:val="22"/>
          <w:szCs w:val="22"/>
        </w:rPr>
        <w:t xml:space="preserve">Verification humaine des profils qui debloque les likes illimites : l’incitation pousse vers moins de faux profils, la ou les concurrents vendent la levee de quota sans rien verifier</w:t>
      </w:r>
    </w:p>
    <w:p>
      <w:pPr>
        <w:pStyle w:val="ListParagraph"/>
        <w:numPr>
          <w:ilvl w:val="0"/>
          <w:numId w:val="2"/>
        </w:numPr>
        <w:spacing w:after="80" w:line="264"/>
      </w:pPr>
      <w:r>
        <w:rPr>
          <w:rFonts w:ascii="Calibri" w:cs="Calibri" w:eastAsia="Calibri" w:hAnsi="Calibri"/>
          <w:color w:val="2E211B"/>
          <w:sz w:val="22"/>
          <w:szCs w:val="22"/>
        </w:rPr>
        <w:t xml:space="preserve">Soirees physiques a QR code : un canal de revenus, d’acquisition et de differenciation que les apps mondiales n’operent pas localement</w:t>
      </w:r>
    </w:p>
    <w:p>
      <w:pPr>
        <w:pStyle w:val="ListParagraph"/>
        <w:numPr>
          <w:ilvl w:val="0"/>
          <w:numId w:val="2"/>
        </w:numPr>
        <w:spacing w:after="80" w:line="264"/>
      </w:pPr>
      <w:r>
        <w:rPr>
          <w:rFonts w:ascii="Calibri" w:cs="Calibri" w:eastAsia="Calibri" w:hAnsi="Calibri"/>
          <w:color w:val="2E211B"/>
          <w:sz w:val="22"/>
          <w:szCs w:val="22"/>
        </w:rPr>
        <w:t xml:space="preserve">Moderation et protection des mineurs de niveau professionnel des le premier jour (procedures ecrites, delai d’une heure sur les dossiers mineurs) : un argument decisif face aux stores et aux autorites</w:t>
      </w:r>
    </w:p>
    <w:p>
      <w:pPr>
        <w:pStyle w:val="ListParagraph"/>
        <w:numPr>
          <w:ilvl w:val="0"/>
          <w:numId w:val="2"/>
        </w:numPr>
        <w:spacing w:after="80" w:line="264"/>
      </w:pPr>
      <w:r>
        <w:rPr>
          <w:rFonts w:ascii="Calibri" w:cs="Calibri" w:eastAsia="Calibri" w:hAnsi="Calibri"/>
          <w:color w:val="2E211B"/>
          <w:sz w:val="22"/>
          <w:szCs w:val="22"/>
        </w:rPr>
        <w:t xml:space="preserve">Structure de couts minimale (serverless, une seule base de code) qui permet de tenir longtemps avec peu de capital</w:t>
      </w:r>
    </w:p>
    <w:p>
      <w:r>
        <w:br w:type="page"/>
      </w:r>
    </w:p>
    <w:p>
      <w:pPr>
        <w:pStyle w:val="Heading1"/>
        <w:spacing w:after="200" w:before="360"/>
      </w:pPr>
      <w:r>
        <w:rPr>
          <w:rFonts w:ascii="Calibri" w:cs="Calibri" w:eastAsia="Calibri" w:hAnsi="Calibri"/>
          <w:b/>
          <w:bCs/>
          <w:color w:val="C0533E"/>
          <w:sz w:val="34"/>
          <w:szCs w:val="34"/>
        </w:rPr>
        <w:t xml:space="preserve">2. Presentation de l’entreprise et du projet</w:t>
      </w:r>
    </w:p>
    <w:p>
      <w:pPr>
        <w:pStyle w:val="Heading2"/>
        <w:spacing w:after="160" w:before="280"/>
      </w:pPr>
      <w:r>
        <w:rPr>
          <w:rFonts w:ascii="Calibri" w:cs="Calibri" w:eastAsia="Calibri" w:hAnsi="Calibri"/>
          <w:b/>
          <w:bCs/>
          <w:color w:val="2E211B"/>
          <w:sz w:val="27"/>
          <w:szCs w:val="27"/>
        </w:rPr>
        <w:t xml:space="preserve">2.1 Fiche d’identite</w:t>
      </w:r>
    </w:p>
    <w:tbl>
      <w:tblPr>
        <w:tblW w:type="dxa" w:w="9600"/>
        <w:tblBorders>
          <w:top w:val="single" w:color="CBB9AC" w:sz="4"/>
          <w:left w:val="single" w:color="CBB9AC" w:sz="4"/>
          <w:bottom w:val="single" w:color="CBB9AC" w:sz="4"/>
          <w:right w:val="single" w:color="CBB9AC" w:sz="4"/>
          <w:insideH w:val="single" w:color="CBB9AC" w:sz="4"/>
          <w:insideV w:val="single" w:color="CBB9AC" w:sz="4"/>
        </w:tblBorders>
      </w:tblPr>
      <w:tblGrid>
        <w:gridCol w:w="3200"/>
        <w:gridCol w:w="6400"/>
      </w:tblGrid>
      <w:tr>
        <w:tc>
          <w:tcPr>
            <w:tcW w:type="dxa" w:w="32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Element</w:t>
            </w:r>
          </w:p>
        </w:tc>
        <w:tc>
          <w:tcPr>
            <w:tcW w:type="dxa" w:w="64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Detail</w:t>
            </w:r>
          </w:p>
        </w:tc>
      </w:tr>
      <w:tr>
        <w:tc>
          <w:tcPr>
            <w:tcW w:type="dxa" w:w="3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Nom du produit</w:t>
            </w:r>
          </w:p>
        </w:tc>
        <w:tc>
          <w:tcPr>
            <w:tcW w:type="dxa" w:w="64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Dowe (nom provisoire ; le code est concu pour un renommage simple)</w:t>
            </w:r>
          </w:p>
        </w:tc>
      </w:tr>
      <w:tr>
        <w:tc>
          <w:tcPr>
            <w:tcW w:type="dxa" w:w="3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Editeur</w:t>
            </w:r>
          </w:p>
        </w:tc>
        <w:tc>
          <w:tcPr>
            <w:tcW w:type="dxa" w:w="64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Goblaire Ltd, societe de droit anglais, immatriculation 16239328, constituee le 10 fevrier 2025</w:t>
            </w:r>
          </w:p>
        </w:tc>
      </w:tr>
      <w:tr>
        <w:tc>
          <w:tcPr>
            <w:tcW w:type="dxa" w:w="3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Siege</w:t>
            </w:r>
          </w:p>
        </w:tc>
        <w:tc>
          <w:tcPr>
            <w:tcW w:type="dxa" w:w="64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20 Wenlock Road, Londres N1 7GU, Angleterre</w:t>
            </w:r>
          </w:p>
        </w:tc>
      </w:tr>
      <w:tr>
        <w:tc>
          <w:tcPr>
            <w:tcW w:type="dxa" w:w="3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Marche vise</w:t>
            </w:r>
          </w:p>
        </w:tc>
        <w:tc>
          <w:tcPr>
            <w:tcW w:type="dxa" w:w="64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Republique democratique du Congo, en priorite Kinshasa puis les grandes villes</w:t>
            </w:r>
          </w:p>
        </w:tc>
      </w:tr>
      <w:tr>
        <w:tc>
          <w:tcPr>
            <w:tcW w:type="dxa" w:w="3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Produit</w:t>
            </w:r>
          </w:p>
        </w:tc>
        <w:tc>
          <w:tcPr>
            <w:tcW w:type="dxa" w:w="64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Application mobile de rencontre iOS + Android, en francais, avec site vitrine et backoffice</w:t>
            </w:r>
          </w:p>
        </w:tc>
      </w:tr>
      <w:tr>
        <w:tc>
          <w:tcPr>
            <w:tcW w:type="dxa" w:w="3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Stade</w:t>
            </w:r>
          </w:p>
        </w:tc>
        <w:tc>
          <w:tcPr>
            <w:tcW w:type="dxa" w:w="64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Produit complet en pre-lancement : fonctionnel en test, non publie sur les stores</w:t>
            </w:r>
          </w:p>
        </w:tc>
      </w:tr>
    </w:tbl>
    <w:p>
      <w:pPr>
        <w:spacing w:after="200"/>
      </w:pPr>
    </w:p>
    <w:p>
      <w:pPr>
        <w:pBdr>
          <w:left w:val="single" w:color="C0533E" w:sz="18"/>
        </w:pBdr>
        <w:shd w:fill="FBF7F1" w:val="clear"/>
        <w:spacing w:after="160" w:line="264"/>
        <w:ind w:left="200"/>
      </w:pPr>
      <w:r>
        <w:rPr>
          <w:rFonts w:ascii="Calibri" w:cs="Calibri" w:eastAsia="Calibri" w:hAnsi="Calibri"/>
          <w:b/>
          <w:bCs/>
          <w:color w:val="C0533E"/>
          <w:sz w:val="21"/>
          <w:szCs w:val="21"/>
        </w:rPr>
        <w:t xml:space="preserve">Point de vigilance : </w:t>
      </w:r>
      <w:r>
        <w:rPr>
          <w:rFonts w:ascii="Calibri" w:cs="Calibri" w:eastAsia="Calibri" w:hAnsi="Calibri"/>
          <w:color w:val="2E211B"/>
          <w:sz w:val="21"/>
          <w:szCs w:val="21"/>
        </w:rPr>
        <w:t xml:space="preserve">Une procedure de radiation d'office de Goblaire Ltd etait en cours en juillet 2026. Une radiation aboutie bloquerait les comptes developpeur Apple et Google. La regularisation de la societe (ou la creation d'une structure de remplacement, par exemple en RDC) est un prealable absolu au lancement.</w:t>
      </w:r>
    </w:p>
    <w:p>
      <w:pPr>
        <w:pStyle w:val="Heading2"/>
        <w:spacing w:after="160" w:before="280"/>
      </w:pPr>
      <w:r>
        <w:rPr>
          <w:rFonts w:ascii="Calibri" w:cs="Calibri" w:eastAsia="Calibri" w:hAnsi="Calibri"/>
          <w:b/>
          <w:bCs/>
          <w:color w:val="2E211B"/>
          <w:sz w:val="27"/>
          <w:szCs w:val="27"/>
        </w:rPr>
        <w:t xml:space="preserve">2.2 Vision</w:t>
      </w:r>
    </w:p>
    <w:p>
      <w:pPr>
        <w:spacing w:after="160" w:line="276"/>
      </w:pPr>
      <w:r>
        <w:rPr>
          <w:rFonts w:ascii="Calibri" w:cs="Calibri" w:eastAsia="Calibri" w:hAnsi="Calibri"/>
          <w:color w:val="2E211B"/>
          <w:sz w:val="22"/>
          <w:szCs w:val="22"/>
        </w:rPr>
        <w:t xml:space="preserve">Devenir le reflexe de la rencontre serieuse et sure en Afrique francophone, en commencant par la RDC : une plateforme ou l'on paie dans sa monnaie, ou les profils sont verifies par des humains, et ou la rencontre en ligne debouche sur la vraie vie.</w:t>
      </w:r>
    </w:p>
    <w:p>
      <w:pPr>
        <w:pStyle w:val="Heading2"/>
        <w:spacing w:after="160" w:before="280"/>
      </w:pPr>
      <w:r>
        <w:rPr>
          <w:rFonts w:ascii="Calibri" w:cs="Calibri" w:eastAsia="Calibri" w:hAnsi="Calibri"/>
          <w:b/>
          <w:bCs/>
          <w:color w:val="2E211B"/>
          <w:sz w:val="27"/>
          <w:szCs w:val="27"/>
        </w:rPr>
        <w:t xml:space="preserve">2.3 Mission</w:t>
      </w:r>
    </w:p>
    <w:p>
      <w:pPr>
        <w:spacing w:after="160" w:line="276"/>
      </w:pPr>
      <w:r>
        <w:rPr>
          <w:rFonts w:ascii="Calibri" w:cs="Calibri" w:eastAsia="Calibri" w:hAnsi="Calibri"/>
          <w:color w:val="2E211B"/>
          <w:sz w:val="22"/>
          <w:szCs w:val="22"/>
        </w:rPr>
        <w:t xml:space="preserve">Permettre aux celibataires congolais de se rencontrer en confiance : une application en francais, pensee pour les villes congolaises, payable par Mobile Money, moderee serieusement, et connectee a des evenements physiques.</w:t>
      </w:r>
    </w:p>
    <w:p>
      <w:pPr>
        <w:pStyle w:val="Heading2"/>
        <w:spacing w:after="160" w:before="280"/>
      </w:pPr>
      <w:r>
        <w:rPr>
          <w:rFonts w:ascii="Calibri" w:cs="Calibri" w:eastAsia="Calibri" w:hAnsi="Calibri"/>
          <w:b/>
          <w:bCs/>
          <w:color w:val="2E211B"/>
          <w:sz w:val="27"/>
          <w:szCs w:val="27"/>
        </w:rPr>
        <w:t xml:space="preserve">2.4 Proposition de valeur</w:t>
      </w:r>
    </w:p>
    <w:p>
      <w:pPr>
        <w:pStyle w:val="ListParagraph"/>
        <w:numPr>
          <w:ilvl w:val="0"/>
          <w:numId w:val="2"/>
        </w:numPr>
        <w:spacing w:after="80" w:line="264"/>
      </w:pPr>
      <w:r>
        <w:rPr>
          <w:rFonts w:ascii="Calibri" w:cs="Calibri" w:eastAsia="Calibri" w:hAnsi="Calibri"/>
          <w:color w:val="2E211B"/>
          <w:sz w:val="22"/>
          <w:szCs w:val="22"/>
        </w:rPr>
        <w:t xml:space="preserve">Pour les membres : des profils verifies, des prix locaux honnetes, un chat riche, et des soirees pour se rencontrer en vrai</w:t>
      </w:r>
    </w:p>
    <w:p>
      <w:pPr>
        <w:pStyle w:val="ListParagraph"/>
        <w:numPr>
          <w:ilvl w:val="0"/>
          <w:numId w:val="2"/>
        </w:numPr>
        <w:spacing w:after="80" w:line="264"/>
      </w:pPr>
      <w:r>
        <w:rPr>
          <w:rFonts w:ascii="Calibri" w:cs="Calibri" w:eastAsia="Calibri" w:hAnsi="Calibri"/>
          <w:color w:val="2E211B"/>
          <w:sz w:val="22"/>
          <w:szCs w:val="22"/>
        </w:rPr>
        <w:t xml:space="preserve">Pour les organisateurs de soirees : une billetterie QR simple avec paiement Mobile Money et une audience qualifiee de celibataires</w:t>
      </w:r>
    </w:p>
    <w:p>
      <w:pPr>
        <w:pStyle w:val="ListParagraph"/>
        <w:numPr>
          <w:ilvl w:val="0"/>
          <w:numId w:val="2"/>
        </w:numPr>
        <w:spacing w:after="80" w:line="264"/>
      </w:pPr>
      <w:r>
        <w:rPr>
          <w:rFonts w:ascii="Calibri" w:cs="Calibri" w:eastAsia="Calibri" w:hAnsi="Calibri"/>
          <w:color w:val="2E211B"/>
          <w:sz w:val="22"/>
          <w:szCs w:val="22"/>
        </w:rPr>
        <w:t xml:space="preserve">Pour l’ecosysteme : une plateforme qui prend la protection des utilisateurs (et des mineurs) au serieux, la ou l’informel domine</w:t>
      </w:r>
    </w:p>
    <w:p>
      <w:pPr>
        <w:pStyle w:val="Heading2"/>
        <w:spacing w:after="160" w:before="280"/>
      </w:pPr>
      <w:r>
        <w:rPr>
          <w:rFonts w:ascii="Calibri" w:cs="Calibri" w:eastAsia="Calibri" w:hAnsi="Calibri"/>
          <w:b/>
          <w:bCs/>
          <w:color w:val="2E211B"/>
          <w:sz w:val="27"/>
          <w:szCs w:val="27"/>
        </w:rPr>
        <w:t xml:space="preserve">2.5 Positionnement</w:t>
      </w:r>
    </w:p>
    <w:p>
      <w:pPr>
        <w:spacing w:after="160" w:line="276"/>
      </w:pPr>
      <w:r>
        <w:rPr>
          <w:rFonts w:ascii="Calibri" w:cs="Calibri" w:eastAsia="Calibri" w:hAnsi="Calibri"/>
          <w:color w:val="2E211B"/>
          <w:sz w:val="22"/>
          <w:szCs w:val="22"/>
        </w:rPr>
        <w:t xml:space="preserve">Challenger local premium-accessible : memes mecaniques que le leader local (Heyama), execution plus soignee, prix environ 7 % inferieurs a action egale, et un differenciateur structurel (soirees physiques, verification humaine incitative).</w:t>
      </w:r>
    </w:p>
    <w:p>
      <w:pPr>
        <w:pStyle w:val="Heading2"/>
        <w:spacing w:after="160" w:before="280"/>
      </w:pPr>
      <w:r>
        <w:rPr>
          <w:rFonts w:ascii="Calibri" w:cs="Calibri" w:eastAsia="Calibri" w:hAnsi="Calibri"/>
          <w:b/>
          <w:bCs/>
          <w:color w:val="2E211B"/>
          <w:sz w:val="27"/>
          <w:szCs w:val="27"/>
        </w:rPr>
        <w:t xml:space="preserve">2.6 Objectifs</w:t>
      </w:r>
    </w:p>
    <w:tbl>
      <w:tblPr>
        <w:tblW w:type="dxa" w:w="9600"/>
        <w:tblBorders>
          <w:top w:val="single" w:color="CBB9AC" w:sz="4"/>
          <w:left w:val="single" w:color="CBB9AC" w:sz="4"/>
          <w:bottom w:val="single" w:color="CBB9AC" w:sz="4"/>
          <w:right w:val="single" w:color="CBB9AC" w:sz="4"/>
          <w:insideH w:val="single" w:color="CBB9AC" w:sz="4"/>
          <w:insideV w:val="single" w:color="CBB9AC" w:sz="4"/>
        </w:tblBorders>
      </w:tblPr>
      <w:tblGrid>
        <w:gridCol w:w="2400"/>
        <w:gridCol w:w="7200"/>
      </w:tblGrid>
      <w:tr>
        <w:tc>
          <w:tcPr>
            <w:tcW w:type="dxa" w:w="24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Horizon</w:t>
            </w:r>
          </w:p>
        </w:tc>
        <w:tc>
          <w:tcPr>
            <w:tcW w:type="dxa" w:w="72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Objectifs</w:t>
            </w:r>
          </w:p>
        </w:tc>
      </w:tr>
      <w:tr>
        <w:tc>
          <w:tcPr>
            <w:tcW w:type="dxa" w:w="24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Court terme (0 a 6 mois)</w:t>
            </w:r>
          </w:p>
        </w:tc>
        <w:tc>
          <w:tcPr>
            <w:tcW w:type="dxa" w:w="7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Regulariser la societe ; debloquer le paiement Mobile Money en production ; publier sur Google Play puis l’App Store ; lancer a Kinshasa ; premieres soirees partenaires ; 10 000 telechargements</w:t>
            </w:r>
          </w:p>
        </w:tc>
      </w:tr>
      <w:tr>
        <w:tc>
          <w:tcPr>
            <w:tcW w:type="dxa" w:w="24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Moyen terme (6 a 18 mois)</w:t>
            </w:r>
          </w:p>
        </w:tc>
        <w:tc>
          <w:tcPr>
            <w:tcW w:type="dxa" w:w="7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Atteindre 50 000 a 100 000 utilisateurs actifs mensuels ; brancher le rail de paiement international ; equilibre operationnel ; extension a Lubumbashi, Goma, Kisangani, Matadi</w:t>
            </w:r>
          </w:p>
        </w:tc>
      </w:tr>
      <w:tr>
        <w:tc>
          <w:tcPr>
            <w:tcW w:type="dxa" w:w="24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Long terme (18 a 36 mois)</w:t>
            </w:r>
          </w:p>
        </w:tc>
        <w:tc>
          <w:tcPr>
            <w:tcW w:type="dxa" w:w="7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Leadership RDC ; extension a l’Afrique francophone voisine (Congo-Brazzaville, Cameroun, Cote d’Ivoire) ; diversification des revenus evenementiels ; rentabilite solide</w:t>
            </w:r>
          </w:p>
        </w:tc>
      </w:tr>
    </w:tbl>
    <w:p>
      <w:r>
        <w:br w:type="page"/>
      </w:r>
    </w:p>
    <w:p>
      <w:pPr>
        <w:pStyle w:val="Heading1"/>
        <w:spacing w:after="200" w:before="360"/>
      </w:pPr>
      <w:r>
        <w:rPr>
          <w:rFonts w:ascii="Calibri" w:cs="Calibri" w:eastAsia="Calibri" w:hAnsi="Calibri"/>
          <w:b/>
          <w:bCs/>
          <w:color w:val="C0533E"/>
          <w:sz w:val="34"/>
          <w:szCs w:val="34"/>
        </w:rPr>
        <w:t xml:space="preserve">3. Analyse du probleme et du marche</w:t>
      </w:r>
    </w:p>
    <w:p>
      <w:pPr>
        <w:pStyle w:val="Heading2"/>
        <w:spacing w:after="160" w:before="280"/>
      </w:pPr>
      <w:r>
        <w:rPr>
          <w:rFonts w:ascii="Calibri" w:cs="Calibri" w:eastAsia="Calibri" w:hAnsi="Calibri"/>
          <w:b/>
          <w:bCs/>
          <w:color w:val="2E211B"/>
          <w:sz w:val="27"/>
          <w:szCs w:val="27"/>
        </w:rPr>
        <w:t xml:space="preserve">3.1 Le probleme</w:t>
      </w:r>
    </w:p>
    <w:p>
      <w:pPr>
        <w:spacing w:after="160" w:line="276"/>
      </w:pPr>
      <w:r>
        <w:rPr>
          <w:rFonts w:ascii="Calibri" w:cs="Calibri" w:eastAsia="Calibri" w:hAnsi="Calibri"/>
          <w:color w:val="2E211B"/>
          <w:sz w:val="22"/>
          <w:szCs w:val="22"/>
        </w:rPr>
        <w:t xml:space="preserve">Rencontrer quelqu'un de serieux en ville, en RDC, repose aujourd'hui sur les cercles sociaux, les reseaux generalistes et le hasard. Les outils dedies mondiaux echouent localement pour quatre raisons : le paiement (carte bancaire exigee, alors que le Mobile Money est le standard local), la langue et la culture (interfaces mal traduites, references inadaptees), la confiance (faux profils, arnaques sentimentales, aucune verification), et la pertinence (matching GPS inadapte, faible densite d'utilisateurs locaux).</w:t>
      </w:r>
    </w:p>
    <w:p>
      <w:pPr>
        <w:spacing w:after="160" w:line="276"/>
      </w:pPr>
      <w:r>
        <w:rPr>
          <w:rFonts w:ascii="Calibri" w:cs="Calibri" w:eastAsia="Calibri" w:hAnsi="Calibri"/>
          <w:color w:val="2E211B"/>
          <w:sz w:val="22"/>
          <w:szCs w:val="22"/>
        </w:rPr>
        <w:t xml:space="preserve">Ce probleme est important parce qu'il touche un besoin universel (rencontrer un partenaire) dans le pays francophone le plus peuple du monde, avec une population tres jeune et urbanisee, et qu'il existe une preuve de marche : un acteur local (Heyama) opere deja avec un modele payant a ces prix, ce qui demontre une disposition a payer reelle.</w:t>
      </w:r>
    </w:p>
    <w:p>
      <w:pPr>
        <w:pStyle w:val="Heading2"/>
        <w:spacing w:after="160" w:before="280"/>
      </w:pPr>
      <w:r>
        <w:rPr>
          <w:rFonts w:ascii="Calibri" w:cs="Calibri" w:eastAsia="Calibri" w:hAnsi="Calibri"/>
          <w:b/>
          <w:bCs/>
          <w:color w:val="2E211B"/>
          <w:sz w:val="27"/>
          <w:szCs w:val="27"/>
        </w:rPr>
        <w:t xml:space="preserve">3.2 Clients potentiels et segments</w:t>
      </w:r>
    </w:p>
    <w:tbl>
      <w:tblPr>
        <w:tblW w:type="dxa" w:w="9600"/>
        <w:tblBorders>
          <w:top w:val="single" w:color="CBB9AC" w:sz="4"/>
          <w:left w:val="single" w:color="CBB9AC" w:sz="4"/>
          <w:bottom w:val="single" w:color="CBB9AC" w:sz="4"/>
          <w:right w:val="single" w:color="CBB9AC" w:sz="4"/>
          <w:insideH w:val="single" w:color="CBB9AC" w:sz="4"/>
          <w:insideV w:val="single" w:color="CBB9AC" w:sz="4"/>
        </w:tblBorders>
      </w:tblPr>
      <w:tblGrid>
        <w:gridCol w:w="3000"/>
        <w:gridCol w:w="6600"/>
      </w:tblGrid>
      <w:tr>
        <w:tc>
          <w:tcPr>
            <w:tcW w:type="dxa" w:w="30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Segment</w:t>
            </w:r>
          </w:p>
        </w:tc>
        <w:tc>
          <w:tcPr>
            <w:tcW w:type="dxa" w:w="66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Description</w:t>
            </w:r>
          </w:p>
        </w:tc>
      </w:tr>
      <w:tr>
        <w:tc>
          <w:tcPr>
            <w:tcW w:type="dxa" w:w="30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Coeur de cible</w:t>
            </w:r>
          </w:p>
        </w:tc>
        <w:tc>
          <w:tcPr>
            <w:tcW w:type="dxa" w:w="66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Celibataires urbains de 18 a 35 ans, smartphone Android, utilisateurs de Mobile Money, a Kinshasa d’abord (agglomeration de plus de 15 millions d’habitants)</w:t>
            </w:r>
          </w:p>
        </w:tc>
      </w:tr>
      <w:tr>
        <w:tc>
          <w:tcPr>
            <w:tcW w:type="dxa" w:w="30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Cible secondaire</w:t>
            </w:r>
          </w:p>
        </w:tc>
        <w:tc>
          <w:tcPr>
            <w:tcW w:type="dxa" w:w="66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Celibataires de 35 a 50 ans en recherche de relation serieuse, plus solvables, sensibles a la verification des profils et a la discretion (Incognito)</w:t>
            </w:r>
          </w:p>
        </w:tc>
      </w:tr>
      <w:tr>
        <w:tc>
          <w:tcPr>
            <w:tcW w:type="dxa" w:w="30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Diaspora (plus tard)</w:t>
            </w:r>
          </w:p>
        </w:tc>
        <w:tc>
          <w:tcPr>
            <w:tcW w:type="dxa" w:w="66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Congolais de l’etranger cherchant une relation au pays ; paieront par le rail international (stores) une fois branche</w:t>
            </w:r>
          </w:p>
        </w:tc>
      </w:tr>
      <w:tr>
        <w:tc>
          <w:tcPr>
            <w:tcW w:type="dxa" w:w="30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B2B evenementiel</w:t>
            </w:r>
          </w:p>
        </w:tc>
        <w:tc>
          <w:tcPr>
            <w:tcW w:type="dxa" w:w="66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Bars, clubs, organisateurs de soirees et d’evenements a Kinshasa cherchant billetterie et audience</w:t>
            </w:r>
          </w:p>
        </w:tc>
      </w:tr>
    </w:tbl>
    <w:p>
      <w:pPr>
        <w:spacing w:after="200"/>
      </w:pPr>
    </w:p>
    <w:p>
      <w:pPr>
        <w:pStyle w:val="Heading2"/>
        <w:spacing w:after="160" w:before="280"/>
      </w:pPr>
      <w:r>
        <w:rPr>
          <w:rFonts w:ascii="Calibri" w:cs="Calibri" w:eastAsia="Calibri" w:hAnsi="Calibri"/>
          <w:b/>
          <w:bCs/>
          <w:color w:val="2E211B"/>
          <w:sz w:val="27"/>
          <w:szCs w:val="27"/>
        </w:rPr>
        <w:t xml:space="preserve">3.3 Taille de marche</w:t>
      </w:r>
    </w:p>
    <w:p>
      <w:pPr>
        <w:pBdr>
          <w:left w:val="single" w:color="C0533E" w:sz="18"/>
        </w:pBdr>
        <w:shd w:fill="FBF7F1" w:val="clear"/>
        <w:spacing w:after="160" w:line="264"/>
        <w:ind w:left="200"/>
      </w:pPr>
      <w:r>
        <w:rPr>
          <w:rFonts w:ascii="Calibri" w:cs="Calibri" w:eastAsia="Calibri" w:hAnsi="Calibri"/>
          <w:b/>
          <w:bCs/>
          <w:color w:val="C0533E"/>
          <w:sz w:val="21"/>
          <w:szCs w:val="21"/>
        </w:rPr>
        <w:t xml:space="preserve">Hypothese : </w:t>
      </w:r>
      <w:r>
        <w:rPr>
          <w:rFonts w:ascii="Calibri" w:cs="Calibri" w:eastAsia="Calibri" w:hAnsi="Calibri"/>
          <w:color w:val="2E211B"/>
          <w:sz w:val="21"/>
          <w:szCs w:val="21"/>
        </w:rPr>
        <w:t xml:space="preserve">Chiffres a confirmer par des sources officielles. Ordres de grandeur generalement admis : RDC environ 105 a 110 millions d'habitants, mediane d'age sous 20 ans ; environ 25 a 30 millions d'utilisateurs d'internet mobile ; le Mobile Money est le moyen de paiement numerique dominant (dizaines de millions de comptes actifs entre Airtel Money, Orange Money et M-Pesa). Kinshasa depasse a elle seule 15 millions d'habitants.</w:t>
      </w:r>
    </w:p>
    <w:p>
      <w:pPr>
        <w:pBdr>
          <w:left w:val="single" w:color="C0533E" w:sz="18"/>
        </w:pBdr>
        <w:shd w:fill="FBF7F1" w:val="clear"/>
        <w:spacing w:after="160" w:line="264"/>
        <w:ind w:left="200"/>
      </w:pPr>
      <w:r>
        <w:rPr>
          <w:rFonts w:ascii="Calibri" w:cs="Calibri" w:eastAsia="Calibri" w:hAnsi="Calibri"/>
          <w:b/>
          <w:bCs/>
          <w:color w:val="C0533E"/>
          <w:sz w:val="21"/>
          <w:szCs w:val="21"/>
        </w:rPr>
        <w:t xml:space="preserve">Hypothese : </w:t>
      </w:r>
      <w:r>
        <w:rPr>
          <w:rFonts w:ascii="Calibri" w:cs="Calibri" w:eastAsia="Calibri" w:hAnsi="Calibri"/>
          <w:color w:val="2E211B"/>
          <w:sz w:val="21"/>
          <w:szCs w:val="21"/>
        </w:rPr>
        <w:t xml:space="preserve">Estimation d'entonnoir : sur environ 8 a 12 millions d'urbains de 18 a 40 ans connectes, si 5 a 10 % sont ouverts a la rencontre en ligne, le marche adressable immediat est de l'ordre de 400 000 a 1 200 000 personnes. Une penetration de 10 a 25 % de ce marche a 3 ans correspond aux scenarios du plan financier.</w:t>
      </w:r>
    </w:p>
    <w:p>
      <w:pPr>
        <w:pStyle w:val="Heading2"/>
        <w:spacing w:after="160" w:before="280"/>
      </w:pPr>
      <w:r>
        <w:rPr>
          <w:rFonts w:ascii="Calibri" w:cs="Calibri" w:eastAsia="Calibri" w:hAnsi="Calibri"/>
          <w:b/>
          <w:bCs/>
          <w:color w:val="2E211B"/>
          <w:sz w:val="27"/>
          <w:szCs w:val="27"/>
        </w:rPr>
        <w:t xml:space="preserve">3.4 Besoins utilisateurs et tendances</w:t>
      </w:r>
    </w:p>
    <w:p>
      <w:pPr>
        <w:pStyle w:val="ListParagraph"/>
        <w:numPr>
          <w:ilvl w:val="0"/>
          <w:numId w:val="2"/>
        </w:numPr>
        <w:spacing w:after="80" w:line="264"/>
      </w:pPr>
      <w:r>
        <w:rPr>
          <w:rFonts w:ascii="Calibri" w:cs="Calibri" w:eastAsia="Calibri" w:hAnsi="Calibri"/>
          <w:color w:val="2E211B"/>
          <w:sz w:val="22"/>
          <w:szCs w:val="22"/>
        </w:rPr>
        <w:t xml:space="preserve">Confiance avant tout : verification des profils, moderation reactive, blocage et signalement simples</w:t>
      </w:r>
    </w:p>
    <w:p>
      <w:pPr>
        <w:pStyle w:val="ListParagraph"/>
        <w:numPr>
          <w:ilvl w:val="0"/>
          <w:numId w:val="2"/>
        </w:numPr>
        <w:spacing w:after="80" w:line="264"/>
      </w:pPr>
      <w:r>
        <w:rPr>
          <w:rFonts w:ascii="Calibri" w:cs="Calibri" w:eastAsia="Calibri" w:hAnsi="Calibri"/>
          <w:color w:val="2E211B"/>
          <w:sz w:val="22"/>
          <w:szCs w:val="22"/>
        </w:rPr>
        <w:t xml:space="preserve">Payer sans carte : Mobile Money en francs congolais, montants saisissables</w:t>
      </w:r>
    </w:p>
    <w:p>
      <w:pPr>
        <w:pStyle w:val="ListParagraph"/>
        <w:numPr>
          <w:ilvl w:val="0"/>
          <w:numId w:val="2"/>
        </w:numPr>
        <w:spacing w:after="80" w:line="264"/>
      </w:pPr>
      <w:r>
        <w:rPr>
          <w:rFonts w:ascii="Calibri" w:cs="Calibri" w:eastAsia="Calibri" w:hAnsi="Calibri"/>
          <w:color w:val="2E211B"/>
          <w:sz w:val="22"/>
          <w:szCs w:val="22"/>
        </w:rPr>
        <w:t xml:space="preserve">Sobriete en donnees : app legere, pas de GPS continu, cache local (deja implemente)</w:t>
      </w:r>
    </w:p>
    <w:p>
      <w:pPr>
        <w:pStyle w:val="ListParagraph"/>
        <w:numPr>
          <w:ilvl w:val="0"/>
          <w:numId w:val="2"/>
        </w:numPr>
        <w:spacing w:after="80" w:line="264"/>
      </w:pPr>
      <w:r>
        <w:rPr>
          <w:rFonts w:ascii="Calibri" w:cs="Calibri" w:eastAsia="Calibri" w:hAnsi="Calibri"/>
          <w:color w:val="2E211B"/>
          <w:sz w:val="22"/>
          <w:szCs w:val="22"/>
        </w:rPr>
        <w:t xml:space="preserve">Tendances favorables : croissance rapide des smartphones et du Mobile Money en RDC, normalisation culturelle de la rencontre en ligne portee par les acteurs locaux, urbanisation acceleree</w:t>
      </w:r>
    </w:p>
    <w:p>
      <w:pPr>
        <w:pStyle w:val="Heading2"/>
        <w:spacing w:after="160" w:before="280"/>
      </w:pPr>
      <w:r>
        <w:rPr>
          <w:rFonts w:ascii="Calibri" w:cs="Calibri" w:eastAsia="Calibri" w:hAnsi="Calibri"/>
          <w:b/>
          <w:bCs/>
          <w:color w:val="2E211B"/>
          <w:sz w:val="27"/>
          <w:szCs w:val="27"/>
        </w:rPr>
        <w:t xml:space="preserve">3.5 Opportunites de croissance</w:t>
      </w:r>
    </w:p>
    <w:p>
      <w:pPr>
        <w:pStyle w:val="ListParagraph"/>
        <w:numPr>
          <w:ilvl w:val="0"/>
          <w:numId w:val="2"/>
        </w:numPr>
        <w:spacing w:after="80" w:line="264"/>
      </w:pPr>
      <w:r>
        <w:rPr>
          <w:rFonts w:ascii="Calibri" w:cs="Calibri" w:eastAsia="Calibri" w:hAnsi="Calibri"/>
          <w:color w:val="2E211B"/>
          <w:sz w:val="22"/>
          <w:szCs w:val="22"/>
        </w:rPr>
        <w:t xml:space="preserve">Marche quasi monopolistique cote offre locale : un seul concurrent direct significatif</w:t>
      </w:r>
    </w:p>
    <w:p>
      <w:pPr>
        <w:pStyle w:val="ListParagraph"/>
        <w:numPr>
          <w:ilvl w:val="0"/>
          <w:numId w:val="2"/>
        </w:numPr>
        <w:spacing w:after="80" w:line="264"/>
      </w:pPr>
      <w:r>
        <w:rPr>
          <w:rFonts w:ascii="Calibri" w:cs="Calibri" w:eastAsia="Calibri" w:hAnsi="Calibri"/>
          <w:color w:val="2E211B"/>
          <w:sz w:val="22"/>
          <w:szCs w:val="22"/>
        </w:rPr>
        <w:t xml:space="preserve">Evenementiel : la billetterie QR peut devenir une plateforme a part entiere (concerts, festivals), au-dela des soirees de rencontre</w:t>
      </w:r>
    </w:p>
    <w:p>
      <w:pPr>
        <w:pStyle w:val="ListParagraph"/>
        <w:numPr>
          <w:ilvl w:val="0"/>
          <w:numId w:val="2"/>
        </w:numPr>
        <w:spacing w:after="80" w:line="264"/>
      </w:pPr>
      <w:r>
        <w:rPr>
          <w:rFonts w:ascii="Calibri" w:cs="Calibri" w:eastAsia="Calibri" w:hAnsi="Calibri"/>
          <w:color w:val="2E211B"/>
          <w:sz w:val="22"/>
          <w:szCs w:val="22"/>
        </w:rPr>
        <w:t xml:space="preserve">Afrique francophone : le produit (francais, villes, Mobile Money) se transpose avec peu d’adaptations ; Interswitch et les operateurs couvrent plusieurs pays</w:t>
      </w:r>
    </w:p>
    <w:p>
      <w:pPr>
        <w:pStyle w:val="ListParagraph"/>
        <w:numPr>
          <w:ilvl w:val="0"/>
          <w:numId w:val="2"/>
        </w:numPr>
        <w:spacing w:after="80" w:line="264"/>
      </w:pPr>
      <w:r>
        <w:rPr>
          <w:rFonts w:ascii="Calibri" w:cs="Calibri" w:eastAsia="Calibri" w:hAnsi="Calibri"/>
          <w:color w:val="2E211B"/>
          <w:sz w:val="22"/>
          <w:szCs w:val="22"/>
        </w:rPr>
        <w:t xml:space="preserve">Diaspora : forte disposition a payer, rail de paiement international deja prevu par l’architecture</w:t>
      </w:r>
    </w:p>
    <w:p>
      <w:r>
        <w:br w:type="page"/>
      </w:r>
    </w:p>
    <w:p>
      <w:pPr>
        <w:pStyle w:val="Heading1"/>
        <w:spacing w:after="200" w:before="360"/>
      </w:pPr>
      <w:r>
        <w:rPr>
          <w:rFonts w:ascii="Calibri" w:cs="Calibri" w:eastAsia="Calibri" w:hAnsi="Calibri"/>
          <w:b/>
          <w:bCs/>
          <w:color w:val="C0533E"/>
          <w:sz w:val="34"/>
          <w:szCs w:val="34"/>
        </w:rPr>
        <w:t xml:space="preserve">4. Modele economique</w:t>
      </w:r>
    </w:p>
    <w:p>
      <w:pPr>
        <w:spacing w:after="160" w:line="276"/>
      </w:pPr>
      <w:r>
        <w:rPr>
          <w:rFonts w:ascii="Calibri" w:cs="Calibri" w:eastAsia="Calibri" w:hAnsi="Calibri"/>
          <w:color w:val="2E211B"/>
          <w:sz w:val="22"/>
          <w:szCs w:val="22"/>
        </w:rPr>
        <w:t xml:space="preserve">Le modele est deja code et configure dans le produit : c'est un freemium a micro-transactions, complete par un abonnement de discretion et des revenus evenementiels. Il est directement inspire du modele valide localement par le concurrent de reference, avec des prix inferieurs d'environ 7 % a action egale.</w:t>
      </w:r>
    </w:p>
    <w:p>
      <w:pPr>
        <w:pStyle w:val="Heading2"/>
        <w:spacing w:after="160" w:before="280"/>
      </w:pPr>
      <w:r>
        <w:rPr>
          <w:rFonts w:ascii="Calibri" w:cs="Calibri" w:eastAsia="Calibri" w:hAnsi="Calibri"/>
          <w:b/>
          <w:bCs/>
          <w:color w:val="2E211B"/>
          <w:sz w:val="27"/>
          <w:szCs w:val="27"/>
        </w:rPr>
        <w:t xml:space="preserve">4.1 Sources de revenus en place (observees dans le code)</w:t>
      </w:r>
    </w:p>
    <w:tbl>
      <w:tblPr>
        <w:tblW w:type="dxa" w:w="9600"/>
        <w:tblBorders>
          <w:top w:val="single" w:color="CBB9AC" w:sz="4"/>
          <w:left w:val="single" w:color="CBB9AC" w:sz="4"/>
          <w:bottom w:val="single" w:color="CBB9AC" w:sz="4"/>
          <w:right w:val="single" w:color="CBB9AC" w:sz="4"/>
          <w:insideH w:val="single" w:color="CBB9AC" w:sz="4"/>
          <w:insideV w:val="single" w:color="CBB9AC" w:sz="4"/>
        </w:tblBorders>
      </w:tblPr>
      <w:tblGrid>
        <w:gridCol w:w="2600"/>
        <w:gridCol w:w="4200"/>
        <w:gridCol w:w="2800"/>
      </w:tblGrid>
      <w:tr>
        <w:tc>
          <w:tcPr>
            <w:tcW w:type="dxa" w:w="26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Source</w:t>
            </w:r>
          </w:p>
        </w:tc>
        <w:tc>
          <w:tcPr>
            <w:tcW w:type="dxa" w:w="42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Mecanisme</w:t>
            </w:r>
          </w:p>
        </w:tc>
        <w:tc>
          <w:tcPr>
            <w:tcW w:type="dxa" w:w="28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Prix configures</w:t>
            </w:r>
          </w:p>
        </w:tc>
      </w:tr>
      <w:tr>
        <w:tc>
          <w:tcPr>
            <w:tcW w:type="dxa" w:w="26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Packs de pieces</w:t>
            </w:r>
          </w:p>
        </w:tc>
        <w:tc>
          <w:tcPr>
            <w:tcW w:type="dxa" w:w="4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Monnaie interne consommee par les actions premium : message direct sans match (200 pieces), like retour immediat (400), filtres premium (8 000 a 16 000)</w:t>
            </w:r>
          </w:p>
        </w:tc>
        <w:tc>
          <w:tcPr>
            <w:tcW w:type="dxa" w:w="2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Decouverte 800 pieces / 4 500 CDF ; Elan 3 000 / 13 300 CDF ; Envol 6 500 / 22 200 CDF ; Prestige 20 000 / 44 300 CDF (perissable 30 jours)</w:t>
            </w:r>
          </w:p>
        </w:tc>
      </w:tr>
      <w:tr>
        <w:tc>
          <w:tcPr>
            <w:tcW w:type="dxa" w:w="26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Abonnement Incognito</w:t>
            </w:r>
          </w:p>
        </w:tc>
        <w:tc>
          <w:tcPr>
            <w:tcW w:type="dxa" w:w="4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Invisibilite dans les fils, visites non enregistrees, verrou par code ; vendu a la duree</w:t>
            </w:r>
          </w:p>
        </w:tc>
        <w:tc>
          <w:tcPr>
            <w:tcW w:type="dxa" w:w="28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3 mois 110 900 CDF ; 6 mois 177 400 CDF ; 12 mois 287 700 CDF</w:t>
            </w:r>
          </w:p>
        </w:tc>
      </w:tr>
      <w:tr>
        <w:tc>
          <w:tcPr>
            <w:tcW w:type="dxa" w:w="26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Entrees de soirees</w:t>
            </w:r>
          </w:p>
        </w:tc>
        <w:tc>
          <w:tcPr>
            <w:tcW w:type="dxa" w:w="4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Billetterie QR payee en francs par Mobile Money, hors achat integre des stores (service physique)</w:t>
            </w:r>
          </w:p>
        </w:tc>
        <w:tc>
          <w:tcPr>
            <w:tcW w:type="dxa" w:w="2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Prix libre par evenement, fixe au backoffice</w:t>
            </w:r>
          </w:p>
        </w:tc>
      </w:tr>
      <w:tr>
        <w:tc>
          <w:tcPr>
            <w:tcW w:type="dxa" w:w="26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Rail international (a brancher)</w:t>
            </w:r>
          </w:p>
        </w:tc>
        <w:tc>
          <w:tcPr>
            <w:tcW w:type="dxa" w:w="4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Achats integres App Store / Google Play via RevenueCat pour la diaspora</w:t>
            </w:r>
          </w:p>
        </w:tc>
        <w:tc>
          <w:tcPr>
            <w:tcW w:type="dxa" w:w="28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Packs de 1,79 a 17,99 USD ; Incognito de 44,99 a 116,99 USD</w:t>
            </w:r>
          </w:p>
        </w:tc>
      </w:tr>
    </w:tbl>
    <w:p>
      <w:pPr>
        <w:spacing w:after="200"/>
      </w:pPr>
    </w:p>
    <w:p>
      <w:pPr>
        <w:pBdr>
          <w:left w:val="single" w:color="8A6D1D" w:sz="18"/>
        </w:pBdr>
        <w:shd w:fill="FBF7F1" w:val="clear"/>
        <w:spacing w:after="160" w:line="264"/>
        <w:ind w:left="200"/>
      </w:pPr>
      <w:r>
        <w:rPr>
          <w:rFonts w:ascii="Calibri" w:cs="Calibri" w:eastAsia="Calibri" w:hAnsi="Calibri"/>
          <w:b/>
          <w:bCs/>
          <w:color w:val="8A6D1D"/>
          <w:sz w:val="21"/>
          <w:szCs w:val="21"/>
        </w:rPr>
        <w:t xml:space="preserve">Fait observe dans le projet : </w:t>
      </w:r>
      <w:r>
        <w:rPr>
          <w:rFonts w:ascii="Calibri" w:cs="Calibri" w:eastAsia="Calibri" w:hAnsi="Calibri"/>
          <w:color w:val="2E211B"/>
          <w:sz w:val="21"/>
          <w:szCs w:val="21"/>
        </w:rPr>
        <w:t xml:space="preserve">La conception economique est saine : les pieces perissables du pack Prestige creent de la recurrence ; le paywall porte sur l'action (ecrire en premier, matcher immediatement) et jamais sur la securite ni sur la visibilite des likes ; repondre est toujours gratuit, ce qui protege l'experience des non-payeurs (souvent les femmes) et donc la liquidite du marche.</w:t>
      </w:r>
    </w:p>
    <w:p>
      <w:pPr>
        <w:pStyle w:val="Heading2"/>
        <w:spacing w:after="160" w:before="280"/>
      </w:pPr>
      <w:r>
        <w:rPr>
          <w:rFonts w:ascii="Calibri" w:cs="Calibri" w:eastAsia="Calibri" w:hAnsi="Calibri"/>
          <w:b/>
          <w:bCs/>
          <w:color w:val="2E211B"/>
          <w:sz w:val="27"/>
          <w:szCs w:val="27"/>
        </w:rPr>
        <w:t xml:space="preserve">4.2 Modeles complementaires envisageables (recommandations)</w:t>
      </w:r>
    </w:p>
    <w:tbl>
      <w:tblPr>
        <w:tblW w:type="dxa" w:w="9600"/>
        <w:tblBorders>
          <w:top w:val="single" w:color="CBB9AC" w:sz="4"/>
          <w:left w:val="single" w:color="CBB9AC" w:sz="4"/>
          <w:bottom w:val="single" w:color="CBB9AC" w:sz="4"/>
          <w:right w:val="single" w:color="CBB9AC" w:sz="4"/>
          <w:insideH w:val="single" w:color="CBB9AC" w:sz="4"/>
          <w:insideV w:val="single" w:color="CBB9AC" w:sz="4"/>
        </w:tblBorders>
      </w:tblPr>
      <w:tblGrid>
        <w:gridCol w:w="2800"/>
        <w:gridCol w:w="4600"/>
        <w:gridCol w:w="2200"/>
      </w:tblGrid>
      <w:tr>
        <w:tc>
          <w:tcPr>
            <w:tcW w:type="dxa" w:w="28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Modele</w:t>
            </w:r>
          </w:p>
        </w:tc>
        <w:tc>
          <w:tcPr>
            <w:tcW w:type="dxa" w:w="46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Pourquoi il peut fonctionner</w:t>
            </w:r>
          </w:p>
        </w:tc>
        <w:tc>
          <w:tcPr>
            <w:tcW w:type="dxa" w:w="22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Pertinence</w:t>
            </w:r>
          </w:p>
        </w:tc>
      </w:tr>
      <w:tr>
        <w:tc>
          <w:tcPr>
            <w:tcW w:type="dxa" w:w="2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Commission billetterie B2B</w:t>
            </w:r>
          </w:p>
        </w:tc>
        <w:tc>
          <w:tcPr>
            <w:tcW w:type="dxa" w:w="46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Les soirees tierces (bars, clubs) paient 10 a 20 % de commission sur les entrees vendues via le QR Dowe : infrastructure deja construite</w:t>
            </w:r>
          </w:p>
        </w:tc>
        <w:tc>
          <w:tcPr>
            <w:tcW w:type="dxa" w:w="2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Elevee, des l’annee 1</w:t>
            </w:r>
          </w:p>
        </w:tc>
      </w:tr>
      <w:tr>
        <w:tc>
          <w:tcPr>
            <w:tcW w:type="dxa" w:w="28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Boosts de visibilite</w:t>
            </w:r>
          </w:p>
        </w:tc>
        <w:tc>
          <w:tcPr>
            <w:tcW w:type="dxa" w:w="46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Mise en avant temporaire du profil dans le fil, payee en pieces : classique du secteur, s’insere dans l’economie existante</w:t>
            </w:r>
          </w:p>
        </w:tc>
        <w:tc>
          <w:tcPr>
            <w:tcW w:type="dxa" w:w="2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Elevee, annee 2</w:t>
            </w:r>
          </w:p>
        </w:tc>
      </w:tr>
      <w:tr>
        <w:tc>
          <w:tcPr>
            <w:tcW w:type="dxa" w:w="2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Publicite locale</w:t>
            </w:r>
          </w:p>
        </w:tc>
        <w:tc>
          <w:tcPr>
            <w:tcW w:type="dxa" w:w="46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Marques locales (boissons, telecoms) sur les surfaces evenementielles et le blog ; a eviter dans le coeur de l’app au debut (experience)</w:t>
            </w:r>
          </w:p>
        </w:tc>
        <w:tc>
          <w:tcPr>
            <w:tcW w:type="dxa" w:w="2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Moyenne, annee 2 ou 3</w:t>
            </w:r>
          </w:p>
        </w:tc>
      </w:tr>
      <w:tr>
        <w:tc>
          <w:tcPr>
            <w:tcW w:type="dxa" w:w="28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Partenariats operateurs</w:t>
            </w:r>
          </w:p>
        </w:tc>
        <w:tc>
          <w:tcPr>
            <w:tcW w:type="dxa" w:w="46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Offres conjointes avec Airtel / Orange / Vodacom (pieces offertes contre recharge, visibilite mutuelle)</w:t>
            </w:r>
          </w:p>
        </w:tc>
        <w:tc>
          <w:tcPr>
            <w:tcW w:type="dxa" w:w="2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Moyenne a elevee, des que la traction est prouvee</w:t>
            </w:r>
          </w:p>
        </w:tc>
      </w:tr>
      <w:tr>
        <w:tc>
          <w:tcPr>
            <w:tcW w:type="dxa" w:w="2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Abonnement premium global</w:t>
            </w:r>
          </w:p>
        </w:tc>
        <w:tc>
          <w:tcPr>
            <w:tcW w:type="dxa" w:w="46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Un « Dowe+ » agregant des avantages existe en reserve dans le schema, mais la strategie actuelle (pieces + Incognito) est plus adaptee au pouvoir d’achat local</w:t>
            </w:r>
          </w:p>
        </w:tc>
        <w:tc>
          <w:tcPr>
            <w:tcW w:type="dxa" w:w="2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Faible a court terme, option annee 3</w:t>
            </w:r>
          </w:p>
        </w:tc>
      </w:tr>
    </w:tbl>
    <w:p>
      <w:pPr>
        <w:spacing w:after="200"/>
      </w:pPr>
    </w:p>
    <w:p>
      <w:pPr>
        <w:spacing w:after="160" w:line="276"/>
      </w:pPr>
      <w:r>
        <w:rPr>
          <w:rFonts w:ascii="Calibri" w:cs="Calibri" w:eastAsia="Calibri" w:hAnsi="Calibri"/>
          <w:color w:val="2E211B"/>
          <w:sz w:val="22"/>
          <w:szCs w:val="22"/>
        </w:rPr>
        <w:t xml:space="preserve">Recommandation : concentrer l'annee 1 sur les trois revenus deja codes (pieces, Incognito, soirees), ajouter la commission billetterie B2B des que les premieres soirees partenaires fonctionnent, et n'introduire boosts et publicite qu'une fois la retention stabilisee.</w:t>
      </w:r>
    </w:p>
    <w:p>
      <w:r>
        <w:br w:type="page"/>
      </w:r>
    </w:p>
    <w:p>
      <w:pPr>
        <w:pStyle w:val="Heading1"/>
        <w:spacing w:after="200" w:before="360"/>
      </w:pPr>
      <w:r>
        <w:rPr>
          <w:rFonts w:ascii="Calibri" w:cs="Calibri" w:eastAsia="Calibri" w:hAnsi="Calibri"/>
          <w:b/>
          <w:bCs/>
          <w:color w:val="C0533E"/>
          <w:sz w:val="34"/>
          <w:szCs w:val="34"/>
        </w:rPr>
        <w:t xml:space="preserve">5. Analyse de la concurrence</w:t>
      </w:r>
    </w:p>
    <w:p>
      <w:pPr>
        <w:pStyle w:val="Heading2"/>
        <w:spacing w:after="160" w:before="280"/>
      </w:pPr>
      <w:r>
        <w:rPr>
          <w:rFonts w:ascii="Calibri" w:cs="Calibri" w:eastAsia="Calibri" w:hAnsi="Calibri"/>
          <w:b/>
          <w:bCs/>
          <w:color w:val="2E211B"/>
          <w:sz w:val="27"/>
          <w:szCs w:val="27"/>
        </w:rPr>
        <w:t xml:space="preserve">5.1 Concurrent direct : Heyama</w:t>
      </w:r>
    </w:p>
    <w:p>
      <w:pPr>
        <w:spacing w:after="160" w:line="276"/>
      </w:pPr>
      <w:r>
        <w:rPr>
          <w:rFonts w:ascii="Calibri" w:cs="Calibri" w:eastAsia="Calibri" w:hAnsi="Calibri"/>
          <w:color w:val="2E211B"/>
          <w:sz w:val="22"/>
          <w:szCs w:val="22"/>
        </w:rPr>
        <w:t xml:space="preserve">Heyama (heyamapp.com) est l'application de rencontre congolaise de reference et le comparateur explicite du projet : l'echelle de prix de Dowe est calee sur la sienne (un message direct a 200 pieces, packs a quantites identiques).</w:t>
      </w:r>
    </w:p>
    <w:tbl>
      <w:tblPr>
        <w:tblW w:type="dxa" w:w="9600"/>
        <w:tblBorders>
          <w:top w:val="single" w:color="CBB9AC" w:sz="4"/>
          <w:left w:val="single" w:color="CBB9AC" w:sz="4"/>
          <w:bottom w:val="single" w:color="CBB9AC" w:sz="4"/>
          <w:right w:val="single" w:color="CBB9AC" w:sz="4"/>
          <w:insideH w:val="single" w:color="CBB9AC" w:sz="4"/>
          <w:insideV w:val="single" w:color="CBB9AC" w:sz="4"/>
        </w:tblBorders>
      </w:tblPr>
      <w:tblGrid>
        <w:gridCol w:w="2600"/>
        <w:gridCol w:w="3400"/>
        <w:gridCol w:w="3600"/>
      </w:tblGrid>
      <w:tr>
        <w:tc>
          <w:tcPr>
            <w:tcW w:type="dxa" w:w="26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Critere</w:t>
            </w:r>
          </w:p>
        </w:tc>
        <w:tc>
          <w:tcPr>
            <w:tcW w:type="dxa" w:w="34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Heyama</w:t>
            </w:r>
          </w:p>
        </w:tc>
        <w:tc>
          <w:tcPr>
            <w:tcW w:type="dxa" w:w="36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Dowe</w:t>
            </w:r>
          </w:p>
        </w:tc>
      </w:tr>
      <w:tr>
        <w:tc>
          <w:tcPr>
            <w:tcW w:type="dxa" w:w="26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Produit</w:t>
            </w:r>
          </w:p>
        </w:tc>
        <w:tc>
          <w:tcPr>
            <w:tcW w:type="dxa" w:w="34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App de rencontre RDC etablie, notoriete locale, base installee</w:t>
            </w:r>
          </w:p>
        </w:tc>
        <w:tc>
          <w:tcPr>
            <w:tcW w:type="dxa" w:w="36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Produit complet mais non lance, zero notoriete</w:t>
            </w:r>
          </w:p>
        </w:tc>
      </w:tr>
      <w:tr>
        <w:tc>
          <w:tcPr>
            <w:tcW w:type="dxa" w:w="26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Prix</w:t>
            </w:r>
          </w:p>
        </w:tc>
        <w:tc>
          <w:tcPr>
            <w:tcW w:type="dxa" w:w="34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Reference du marche</w:t>
            </w:r>
          </w:p>
        </w:tc>
        <w:tc>
          <w:tcPr>
            <w:tcW w:type="dxa" w:w="36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Environ 7 % moins cher a quantite egale sur chaque palier</w:t>
            </w:r>
          </w:p>
        </w:tc>
      </w:tr>
      <w:tr>
        <w:tc>
          <w:tcPr>
            <w:tcW w:type="dxa" w:w="26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Fonctionnalites</w:t>
            </w:r>
          </w:p>
        </w:tc>
        <w:tc>
          <w:tcPr>
            <w:tcW w:type="dxa" w:w="34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Swipe, DM payant, packs, certification</w:t>
            </w:r>
          </w:p>
        </w:tc>
        <w:tc>
          <w:tcPr>
            <w:tcW w:type="dxa" w:w="36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Perimetre equivalent, plus : soirees QR payantes, Incognito a duree, filtres premium, verification qui debloque les likes illimites</w:t>
            </w:r>
          </w:p>
        </w:tc>
      </w:tr>
      <w:tr>
        <w:tc>
          <w:tcPr>
            <w:tcW w:type="dxa" w:w="26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Moderation</w:t>
            </w:r>
          </w:p>
        </w:tc>
        <w:tc>
          <w:tcPr>
            <w:tcW w:type="dxa" w:w="34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Non observable de l’exterieur</w:t>
            </w:r>
          </w:p>
        </w:tc>
        <w:tc>
          <w:tcPr>
            <w:tcW w:type="dxa" w:w="36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Backoffice complet, procedures ecrites, protection des mineurs avec delai d’une heure</w:t>
            </w:r>
          </w:p>
        </w:tc>
      </w:tr>
      <w:tr>
        <w:tc>
          <w:tcPr>
            <w:tcW w:type="dxa" w:w="26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Forces</w:t>
            </w:r>
          </w:p>
        </w:tc>
        <w:tc>
          <w:tcPr>
            <w:tcW w:type="dxa" w:w="34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Anteriorite, bouche a oreille, liquidite existante</w:t>
            </w:r>
          </w:p>
        </w:tc>
        <w:tc>
          <w:tcPr>
            <w:tcW w:type="dxa" w:w="36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Execution technique, structure de couts, differenciateurs produit</w:t>
            </w:r>
          </w:p>
        </w:tc>
      </w:tr>
      <w:tr>
        <w:tc>
          <w:tcPr>
            <w:tcW w:type="dxa" w:w="26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Faiblesses</w:t>
            </w:r>
          </w:p>
        </w:tc>
        <w:tc>
          <w:tcPr>
            <w:tcW w:type="dxa" w:w="34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Prix plus eleves ; pas d’evenementiel integre connu</w:t>
            </w:r>
          </w:p>
        </w:tc>
        <w:tc>
          <w:tcPr>
            <w:tcW w:type="dxa" w:w="36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Doit construire sa base utilisateurs de zero (probleme de l’oeuf et de la poule)</w:t>
            </w:r>
          </w:p>
        </w:tc>
      </w:tr>
    </w:tbl>
    <w:p>
      <w:pPr>
        <w:spacing w:after="200"/>
      </w:pPr>
    </w:p>
    <w:p>
      <w:pPr>
        <w:pBdr>
          <w:left w:val="single" w:color="C0533E" w:sz="18"/>
        </w:pBdr>
        <w:shd w:fill="FBF7F1" w:val="clear"/>
        <w:spacing w:after="160" w:line="264"/>
        <w:ind w:left="200"/>
      </w:pPr>
      <w:r>
        <w:rPr>
          <w:rFonts w:ascii="Calibri" w:cs="Calibri" w:eastAsia="Calibri" w:hAnsi="Calibri"/>
          <w:b/>
          <w:bCs/>
          <w:color w:val="C0533E"/>
          <w:sz w:val="21"/>
          <w:szCs w:val="21"/>
        </w:rPr>
        <w:t xml:space="preserve">Information manquante : </w:t>
      </w:r>
      <w:r>
        <w:rPr>
          <w:rFonts w:ascii="Calibri" w:cs="Calibri" w:eastAsia="Calibri" w:hAnsi="Calibri"/>
          <w:color w:val="2E211B"/>
          <w:sz w:val="21"/>
          <w:szCs w:val="21"/>
        </w:rPr>
        <w:t xml:space="preserve">Les chiffres d'audience, de revenus et la structure de Heyama ne sont pas presents dans le projet et n'ont pas pu etre verifies. Une etude terrain (telechargements estimes, avis stores, presence evenementielle) est recommandee avant le lancement.</w:t>
      </w:r>
    </w:p>
    <w:p>
      <w:pPr>
        <w:pStyle w:val="Heading2"/>
        <w:spacing w:after="160" w:before="280"/>
      </w:pPr>
      <w:r>
        <w:rPr>
          <w:rFonts w:ascii="Calibri" w:cs="Calibri" w:eastAsia="Calibri" w:hAnsi="Calibri"/>
          <w:b/>
          <w:bCs/>
          <w:color w:val="2E211B"/>
          <w:sz w:val="27"/>
          <w:szCs w:val="27"/>
        </w:rPr>
        <w:t xml:space="preserve">5.2 Concurrents indirects</w:t>
      </w:r>
    </w:p>
    <w:tbl>
      <w:tblPr>
        <w:tblW w:type="dxa" w:w="9600"/>
        <w:tblBorders>
          <w:top w:val="single" w:color="CBB9AC" w:sz="4"/>
          <w:left w:val="single" w:color="CBB9AC" w:sz="4"/>
          <w:bottom w:val="single" w:color="CBB9AC" w:sz="4"/>
          <w:right w:val="single" w:color="CBB9AC" w:sz="4"/>
          <w:insideH w:val="single" w:color="CBB9AC" w:sz="4"/>
          <w:insideV w:val="single" w:color="CBB9AC" w:sz="4"/>
        </w:tblBorders>
      </w:tblPr>
      <w:tblGrid>
        <w:gridCol w:w="2800"/>
        <w:gridCol w:w="6800"/>
      </w:tblGrid>
      <w:tr>
        <w:tc>
          <w:tcPr>
            <w:tcW w:type="dxa" w:w="28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Acteur</w:t>
            </w:r>
          </w:p>
        </w:tc>
        <w:tc>
          <w:tcPr>
            <w:tcW w:type="dxa" w:w="68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Analyse</w:t>
            </w:r>
          </w:p>
        </w:tc>
      </w:tr>
      <w:tr>
        <w:tc>
          <w:tcPr>
            <w:tcW w:type="dxa" w:w="2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Tinder, Badoo, Bumble</w:t>
            </w:r>
          </w:p>
        </w:tc>
        <w:tc>
          <w:tcPr>
            <w:tcW w:type="dxa" w:w="6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Notoriete mondiale mais localisation faible, paiement par carte ou stores uniquement, peu de densite locale, aucune presence terrain. Menace reelle seulement s’ils investissent le marche, ce qui est peu probable a court terme.</w:t>
            </w:r>
          </w:p>
        </w:tc>
      </w:tr>
      <w:tr>
        <w:tc>
          <w:tcPr>
            <w:tcW w:type="dxa" w:w="28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Facebook Dating</w:t>
            </w:r>
          </w:p>
        </w:tc>
        <w:tc>
          <w:tcPr>
            <w:tcW w:type="dxa" w:w="68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Gratuit et integre a Facebook (tres utilise en RDC) : le concurrent indirect le plus serieux en volume. Faiblesses : pas de verification, experience generique, pas d’evenementiel, confiance faible.</w:t>
            </w:r>
          </w:p>
        </w:tc>
      </w:tr>
      <w:tr>
        <w:tc>
          <w:tcPr>
            <w:tcW w:type="dxa" w:w="2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WhatsApp / reseaux informels</w:t>
            </w:r>
          </w:p>
        </w:tc>
        <w:tc>
          <w:tcPr>
            <w:tcW w:type="dxa" w:w="6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Le statu quo. Gratuit mais sans decouverte organisee ni securite ; c’est le comportement a convertir, pas un produit a battre.</w:t>
            </w:r>
          </w:p>
        </w:tc>
      </w:tr>
    </w:tbl>
    <w:p>
      <w:pPr>
        <w:spacing w:after="200"/>
      </w:pPr>
    </w:p>
    <w:p>
      <w:pPr>
        <w:pStyle w:val="Heading2"/>
        <w:spacing w:after="160" w:before="280"/>
      </w:pPr>
      <w:r>
        <w:rPr>
          <w:rFonts w:ascii="Calibri" w:cs="Calibri" w:eastAsia="Calibri" w:hAnsi="Calibri"/>
          <w:b/>
          <w:bCs/>
          <w:color w:val="2E211B"/>
          <w:sz w:val="27"/>
          <w:szCs w:val="27"/>
        </w:rPr>
        <w:t xml:space="preserve">5.3 Differenciation</w:t>
      </w:r>
    </w:p>
    <w:p>
      <w:pPr>
        <w:pStyle w:val="ListParagraph"/>
        <w:numPr>
          <w:ilvl w:val="0"/>
          <w:numId w:val="2"/>
        </w:numPr>
        <w:spacing w:after="80" w:line="264"/>
      </w:pPr>
      <w:r>
        <w:rPr>
          <w:rFonts w:ascii="Calibri" w:cs="Calibri" w:eastAsia="Calibri" w:hAnsi="Calibri"/>
          <w:color w:val="2E211B"/>
          <w:sz w:val="22"/>
          <w:szCs w:val="22"/>
        </w:rPr>
        <w:t xml:space="preserve">Se battre sur la confiance (verification humaine, moderation visible) plutot que sur le seul prix</w:t>
      </w:r>
    </w:p>
    <w:p>
      <w:pPr>
        <w:pStyle w:val="ListParagraph"/>
        <w:numPr>
          <w:ilvl w:val="0"/>
          <w:numId w:val="2"/>
        </w:numPr>
        <w:spacing w:after="80" w:line="264"/>
      </w:pPr>
      <w:r>
        <w:rPr>
          <w:rFonts w:ascii="Calibri" w:cs="Calibri" w:eastAsia="Calibri" w:hAnsi="Calibri"/>
          <w:color w:val="2E211B"/>
          <w:sz w:val="22"/>
          <w:szCs w:val="22"/>
        </w:rPr>
        <w:t xml:space="preserve">Faire des soirees le fer de lance marketing : aucun concurrent ne relie l’app a des evenements physiques payables par Mobile Money</w:t>
      </w:r>
    </w:p>
    <w:p>
      <w:pPr>
        <w:pStyle w:val="ListParagraph"/>
        <w:numPr>
          <w:ilvl w:val="0"/>
          <w:numId w:val="2"/>
        </w:numPr>
        <w:spacing w:after="80" w:line="264"/>
      </w:pPr>
      <w:r>
        <w:rPr>
          <w:rFonts w:ascii="Calibri" w:cs="Calibri" w:eastAsia="Calibri" w:hAnsi="Calibri"/>
          <w:color w:val="2E211B"/>
          <w:sz w:val="22"/>
          <w:szCs w:val="22"/>
        </w:rPr>
        <w:t xml:space="preserve">Rester structurellement moins cher grace a une base de couts quasi nulle (serverless, equipe reduite)</w:t>
      </w:r>
    </w:p>
    <w:p>
      <w:r>
        <w:br w:type="page"/>
      </w:r>
    </w:p>
    <w:p>
      <w:pPr>
        <w:pStyle w:val="Heading1"/>
        <w:spacing w:after="200" w:before="360"/>
      </w:pPr>
      <w:r>
        <w:rPr>
          <w:rFonts w:ascii="Calibri" w:cs="Calibri" w:eastAsia="Calibri" w:hAnsi="Calibri"/>
          <w:b/>
          <w:bCs/>
          <w:color w:val="C0533E"/>
          <w:sz w:val="34"/>
          <w:szCs w:val="34"/>
        </w:rPr>
        <w:t xml:space="preserve">6. Strategie commerciale et marketing</w:t>
      </w:r>
    </w:p>
    <w:p>
      <w:pPr>
        <w:pStyle w:val="Heading2"/>
        <w:spacing w:after="160" w:before="280"/>
      </w:pPr>
      <w:r>
        <w:rPr>
          <w:rFonts w:ascii="Calibri" w:cs="Calibri" w:eastAsia="Calibri" w:hAnsi="Calibri"/>
          <w:b/>
          <w:bCs/>
          <w:color w:val="2E211B"/>
          <w:sz w:val="27"/>
          <w:szCs w:val="27"/>
        </w:rPr>
        <w:t xml:space="preserve">6.1 Le probleme central : la liquidite</w:t>
      </w:r>
    </w:p>
    <w:p>
      <w:pPr>
        <w:spacing w:after="160" w:line="276"/>
      </w:pPr>
      <w:r>
        <w:rPr>
          <w:rFonts w:ascii="Calibri" w:cs="Calibri" w:eastAsia="Calibri" w:hAnsi="Calibri"/>
          <w:color w:val="2E211B"/>
          <w:sz w:val="22"/>
          <w:szCs w:val="22"/>
        </w:rPr>
        <w:t xml:space="preserve">Une app de rencontre ne vaut que par la densite de profils actifs dans une ville donnee, avec un equilibre hommes-femmes acceptable. Toute la strategie de lancement doit donc se concentrer sur une seule ville (Kinshasa), voire sur quelques communes, avant toute expansion.</w:t>
      </w:r>
    </w:p>
    <w:p>
      <w:pPr>
        <w:pStyle w:val="Heading2"/>
        <w:spacing w:after="160" w:before="280"/>
      </w:pPr>
      <w:r>
        <w:rPr>
          <w:rFonts w:ascii="Calibri" w:cs="Calibri" w:eastAsia="Calibri" w:hAnsi="Calibri"/>
          <w:b/>
          <w:bCs/>
          <w:color w:val="2E211B"/>
          <w:sz w:val="27"/>
          <w:szCs w:val="27"/>
        </w:rPr>
        <w:t xml:space="preserve">6.2 Plan de lancement par etapes</w:t>
      </w:r>
    </w:p>
    <w:tbl>
      <w:tblPr>
        <w:tblW w:type="dxa" w:w="9600"/>
        <w:tblBorders>
          <w:top w:val="single" w:color="CBB9AC" w:sz="4"/>
          <w:left w:val="single" w:color="CBB9AC" w:sz="4"/>
          <w:bottom w:val="single" w:color="CBB9AC" w:sz="4"/>
          <w:right w:val="single" w:color="CBB9AC" w:sz="4"/>
          <w:insideH w:val="single" w:color="CBB9AC" w:sz="4"/>
          <w:insideV w:val="single" w:color="CBB9AC" w:sz="4"/>
        </w:tblBorders>
      </w:tblPr>
      <w:tblGrid>
        <w:gridCol w:w="2200"/>
        <w:gridCol w:w="7400"/>
      </w:tblGrid>
      <w:tr>
        <w:tc>
          <w:tcPr>
            <w:tcW w:type="dxa" w:w="22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Phase</w:t>
            </w:r>
          </w:p>
        </w:tc>
        <w:tc>
          <w:tcPr>
            <w:tcW w:type="dxa" w:w="74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Actions</w:t>
            </w:r>
          </w:p>
        </w:tc>
      </w:tr>
      <w:tr>
        <w:tc>
          <w:tcPr>
            <w:tcW w:type="dxa" w:w="2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Phase 0 : preparation (mois 1)</w:t>
            </w:r>
          </w:p>
        </w:tc>
        <w:tc>
          <w:tcPr>
            <w:tcW w:type="dxa" w:w="74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Regularisation de la societe ; deblocage du paiement en production ; comptes stores ; nom et branding definitifs ; boite support ; domaine e-mail propre ; conformite stores (politique enfants deja prete)</w:t>
            </w:r>
          </w:p>
        </w:tc>
      </w:tr>
      <w:tr>
        <w:tc>
          <w:tcPr>
            <w:tcW w:type="dxa" w:w="2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Phase 1 : amorcage prive (mois 2)</w:t>
            </w:r>
          </w:p>
        </w:tc>
        <w:tc>
          <w:tcPr>
            <w:tcW w:type="dxa" w:w="74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Beta fermee a Kinshasa via influenceurs micro-locaux et cercles etudiants ; objectif 2 000 a 5 000 profils avec un ratio femmes credible ; recrutement d’ambassadeurs de campus ; le programme de parrainage code (600 + 200 pieces, credite a la verification humaine) sert d’outil d’amorcage anti-triche</w:t>
            </w:r>
          </w:p>
        </w:tc>
      </w:tr>
      <w:tr>
        <w:tc>
          <w:tcPr>
            <w:tcW w:type="dxa" w:w="2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Phase 2 : lancement public (mois 3 a 4)</w:t>
            </w:r>
          </w:p>
        </w:tc>
        <w:tc>
          <w:tcPr>
            <w:tcW w:type="dxa" w:w="74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Publication stores ; campagne reseaux sociaux (TikTok, Instagram, Facebook) centree sur la verification et les histoires vraies ; premiere soiree Dowe de lancement avec entree par QR ; relations presse locales et radios urbaines</w:t>
            </w:r>
          </w:p>
        </w:tc>
      </w:tr>
      <w:tr>
        <w:tc>
          <w:tcPr>
            <w:tcW w:type="dxa" w:w="2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Phase 3 : installation (mois 5 a 12)</w:t>
            </w:r>
          </w:p>
        </w:tc>
        <w:tc>
          <w:tcPr>
            <w:tcW w:type="dxa" w:w="74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Une soiree partenaire par mois minimum ; partenariats bars et clubs ; contenus blog SEO (le blog est deja en place) ; campagnes d’installation payantes ciblees Kinshasa ; programme ambassadeurs remunere en pieces</w:t>
            </w:r>
          </w:p>
        </w:tc>
      </w:tr>
    </w:tbl>
    <w:p>
      <w:pPr>
        <w:spacing w:after="200"/>
      </w:pPr>
    </w:p>
    <w:p>
      <w:pPr>
        <w:pStyle w:val="Heading2"/>
        <w:spacing w:after="160" w:before="280"/>
      </w:pPr>
      <w:r>
        <w:rPr>
          <w:rFonts w:ascii="Calibri" w:cs="Calibri" w:eastAsia="Calibri" w:hAnsi="Calibri"/>
          <w:b/>
          <w:bCs/>
          <w:color w:val="2E211B"/>
          <w:sz w:val="27"/>
          <w:szCs w:val="27"/>
        </w:rPr>
        <w:t xml:space="preserve">6.3 Canaux d’acquisition</w:t>
      </w:r>
    </w:p>
    <w:p>
      <w:pPr>
        <w:pStyle w:val="ListParagraph"/>
        <w:numPr>
          <w:ilvl w:val="0"/>
          <w:numId w:val="2"/>
        </w:numPr>
        <w:spacing w:after="80" w:line="264"/>
      </w:pPr>
      <w:r>
        <w:rPr>
          <w:rFonts w:ascii="Calibri" w:cs="Calibri" w:eastAsia="Calibri" w:hAnsi="Calibri"/>
          <w:b/>
          <w:bCs/>
          <w:color w:val="2E211B"/>
          <w:sz w:val="22"/>
          <w:szCs w:val="22"/>
        </w:rPr>
        <w:t xml:space="preserve">Evenementiel (signature)</w:t>
      </w:r>
      <w:r>
        <w:rPr>
          <w:rFonts w:ascii="Calibri" w:cs="Calibri" w:eastAsia="Calibri" w:hAnsi="Calibri"/>
          <w:color w:val="2E211B"/>
          <w:sz w:val="22"/>
          <w:szCs w:val="22"/>
        </w:rPr>
        <w:t xml:space="preserve"> : chaque soiree est a la fois un revenu, un argument produit (rencontrer en vrai) et un generateur de contenu social. Objectif : que « la soiree Dowe » devienne une marque a Kinshasa.</w:t>
      </w:r>
    </w:p>
    <w:p>
      <w:pPr>
        <w:pStyle w:val="ListParagraph"/>
        <w:numPr>
          <w:ilvl w:val="0"/>
          <w:numId w:val="2"/>
        </w:numPr>
        <w:spacing w:after="80" w:line="264"/>
      </w:pPr>
      <w:r>
        <w:rPr>
          <w:rFonts w:ascii="Calibri" w:cs="Calibri" w:eastAsia="Calibri" w:hAnsi="Calibri"/>
          <w:b/>
          <w:bCs/>
          <w:color w:val="2E211B"/>
          <w:sz w:val="22"/>
          <w:szCs w:val="22"/>
        </w:rPr>
        <w:t xml:space="preserve">Reseaux sociaux</w:t>
      </w:r>
      <w:r>
        <w:rPr>
          <w:rFonts w:ascii="Calibri" w:cs="Calibri" w:eastAsia="Calibri" w:hAnsi="Calibri"/>
          <w:color w:val="2E211B"/>
          <w:sz w:val="22"/>
          <w:szCs w:val="22"/>
        </w:rPr>
        <w:t xml:space="preserve"> : TikTok et Instagram pour la cible 18-30, Facebook pour la cible 30-50 ; formats temoignages, coulisses des soirees, pedagogie sur la securite.</w:t>
      </w:r>
    </w:p>
    <w:p>
      <w:pPr>
        <w:pStyle w:val="ListParagraph"/>
        <w:numPr>
          <w:ilvl w:val="0"/>
          <w:numId w:val="2"/>
        </w:numPr>
        <w:spacing w:after="80" w:line="264"/>
      </w:pPr>
      <w:r>
        <w:rPr>
          <w:rFonts w:ascii="Calibri" w:cs="Calibri" w:eastAsia="Calibri" w:hAnsi="Calibri"/>
          <w:b/>
          <w:bCs/>
          <w:color w:val="2E211B"/>
          <w:sz w:val="22"/>
          <w:szCs w:val="22"/>
        </w:rPr>
        <w:t xml:space="preserve">Parrainage integre</w:t>
      </w:r>
      <w:r>
        <w:rPr>
          <w:rFonts w:ascii="Calibri" w:cs="Calibri" w:eastAsia="Calibri" w:hAnsi="Calibri"/>
          <w:color w:val="2E211B"/>
          <w:sz w:val="22"/>
          <w:szCs w:val="22"/>
        </w:rPr>
        <w:t xml:space="preserve"> : deja code, avec un garde-fou rare (prime versee seulement quand le filleul est verifie par un humain), ce qui permet de le promouvoir agressivement sans crainte de fraude massive.</w:t>
      </w:r>
    </w:p>
    <w:p>
      <w:pPr>
        <w:pStyle w:val="ListParagraph"/>
        <w:numPr>
          <w:ilvl w:val="0"/>
          <w:numId w:val="2"/>
        </w:numPr>
        <w:spacing w:after="80" w:line="264"/>
      </w:pPr>
      <w:r>
        <w:rPr>
          <w:rFonts w:ascii="Calibri" w:cs="Calibri" w:eastAsia="Calibri" w:hAnsi="Calibri"/>
          <w:b/>
          <w:bCs/>
          <w:color w:val="2E211B"/>
          <w:sz w:val="22"/>
          <w:szCs w:val="22"/>
        </w:rPr>
        <w:t xml:space="preserve">Partenariats operateurs et lieux</w:t>
      </w:r>
      <w:r>
        <w:rPr>
          <w:rFonts w:ascii="Calibri" w:cs="Calibri" w:eastAsia="Calibri" w:hAnsi="Calibri"/>
          <w:color w:val="2E211B"/>
          <w:sz w:val="22"/>
          <w:szCs w:val="22"/>
        </w:rPr>
        <w:t xml:space="preserve"> : co-marketing avec les marques de Mobile Money (elles gagnent du volume de transactions), bars et universites.</w:t>
      </w:r>
    </w:p>
    <w:p>
      <w:pPr>
        <w:pStyle w:val="ListParagraph"/>
        <w:numPr>
          <w:ilvl w:val="0"/>
          <w:numId w:val="2"/>
        </w:numPr>
        <w:spacing w:after="80" w:line="264"/>
      </w:pPr>
      <w:r>
        <w:rPr>
          <w:rFonts w:ascii="Calibri" w:cs="Calibri" w:eastAsia="Calibri" w:hAnsi="Calibri"/>
          <w:b/>
          <w:bCs/>
          <w:color w:val="2E211B"/>
          <w:sz w:val="22"/>
          <w:szCs w:val="22"/>
        </w:rPr>
        <w:t xml:space="preserve">SEO et contenus</w:t>
      </w:r>
      <w:r>
        <w:rPr>
          <w:rFonts w:ascii="Calibri" w:cs="Calibri" w:eastAsia="Calibri" w:hAnsi="Calibri"/>
          <w:color w:val="2E211B"/>
          <w:sz w:val="22"/>
          <w:szCs w:val="22"/>
        </w:rPr>
        <w:t xml:space="preserve"> : blog deja operationnel ; conseils rencontre, securite, culture ; captation de la recherche « rencontre Kinshasa ».</w:t>
      </w:r>
    </w:p>
    <w:p>
      <w:pPr>
        <w:pStyle w:val="Heading2"/>
        <w:spacing w:after="160" w:before="280"/>
      </w:pPr>
      <w:r>
        <w:rPr>
          <w:rFonts w:ascii="Calibri" w:cs="Calibri" w:eastAsia="Calibri" w:hAnsi="Calibri"/>
          <w:b/>
          <w:bCs/>
          <w:color w:val="2E211B"/>
          <w:sz w:val="27"/>
          <w:szCs w:val="27"/>
        </w:rPr>
        <w:t xml:space="preserve">6.4 Retention et fidelisation</w:t>
      </w:r>
    </w:p>
    <w:p>
      <w:pPr>
        <w:pStyle w:val="ListParagraph"/>
        <w:numPr>
          <w:ilvl w:val="0"/>
          <w:numId w:val="2"/>
        </w:numPr>
        <w:spacing w:after="80" w:line="264"/>
      </w:pPr>
      <w:r>
        <w:rPr>
          <w:rFonts w:ascii="Calibri" w:cs="Calibri" w:eastAsia="Calibri" w:hAnsi="Calibri"/>
          <w:color w:val="2E211B"/>
          <w:sz w:val="22"/>
          <w:szCs w:val="22"/>
        </w:rPr>
        <w:t xml:space="preserve">Notifications push (nouveau match, nouveau message) : chaine deja construite, a activer des le lancement</w:t>
      </w:r>
    </w:p>
    <w:p>
      <w:pPr>
        <w:pStyle w:val="ListParagraph"/>
        <w:numPr>
          <w:ilvl w:val="0"/>
          <w:numId w:val="2"/>
        </w:numPr>
        <w:spacing w:after="80" w:line="264"/>
      </w:pPr>
      <w:r>
        <w:rPr>
          <w:rFonts w:ascii="Calibri" w:cs="Calibri" w:eastAsia="Calibri" w:hAnsi="Calibri"/>
          <w:color w:val="2E211B"/>
          <w:sz w:val="22"/>
          <w:szCs w:val="22"/>
        </w:rPr>
        <w:t xml:space="preserve">Boucles produit deja codees : vues du profil sur 24 h, demandes de messages, favoris, recompenses de pieces</w:t>
      </w:r>
    </w:p>
    <w:p>
      <w:pPr>
        <w:pStyle w:val="ListParagraph"/>
        <w:numPr>
          <w:ilvl w:val="0"/>
          <w:numId w:val="2"/>
        </w:numPr>
        <w:spacing w:after="80" w:line="264"/>
      </w:pPr>
      <w:r>
        <w:rPr>
          <w:rFonts w:ascii="Calibri" w:cs="Calibri" w:eastAsia="Calibri" w:hAnsi="Calibri"/>
          <w:color w:val="2E211B"/>
          <w:sz w:val="22"/>
          <w:szCs w:val="22"/>
        </w:rPr>
        <w:t xml:space="preserve">Rendez-vous recurrents : calendrier de soirees mensuel, temps forts (Saint-Valentin, fetes)</w:t>
      </w:r>
    </w:p>
    <w:p>
      <w:pPr>
        <w:pStyle w:val="ListParagraph"/>
        <w:numPr>
          <w:ilvl w:val="0"/>
          <w:numId w:val="2"/>
        </w:numPr>
        <w:spacing w:after="80" w:line="264"/>
      </w:pPr>
      <w:r>
        <w:rPr>
          <w:rFonts w:ascii="Calibri" w:cs="Calibri" w:eastAsia="Calibri" w:hAnsi="Calibri"/>
          <w:color w:val="2E211B"/>
          <w:sz w:val="22"/>
          <w:szCs w:val="22"/>
        </w:rPr>
        <w:t xml:space="preserve">Qualite de la liquidite : moderation rapide des faux profils et badge verifie mis en avant, car la retention se joue sur la confiance</w:t>
      </w:r>
    </w:p>
    <w:p>
      <w:r>
        <w:br w:type="page"/>
      </w:r>
    </w:p>
    <w:p>
      <w:pPr>
        <w:pStyle w:val="Heading1"/>
        <w:spacing w:after="200" w:before="360"/>
      </w:pPr>
      <w:r>
        <w:rPr>
          <w:rFonts w:ascii="Calibri" w:cs="Calibri" w:eastAsia="Calibri" w:hAnsi="Calibri"/>
          <w:b/>
          <w:bCs/>
          <w:color w:val="C0533E"/>
          <w:sz w:val="34"/>
          <w:szCs w:val="34"/>
        </w:rPr>
        <w:t xml:space="preserve">7. Strategie de developpement produit</w:t>
      </w:r>
    </w:p>
    <w:p>
      <w:pPr>
        <w:pStyle w:val="Heading2"/>
        <w:spacing w:after="160" w:before="280"/>
      </w:pPr>
      <w:r>
        <w:rPr>
          <w:rFonts w:ascii="Calibri" w:cs="Calibri" w:eastAsia="Calibri" w:hAnsi="Calibri"/>
          <w:b/>
          <w:bCs/>
          <w:color w:val="2E211B"/>
          <w:sz w:val="27"/>
          <w:szCs w:val="27"/>
        </w:rPr>
        <w:t xml:space="preserve">7.1 Etat actuel : un MVP deja depasse</w:t>
      </w:r>
    </w:p>
    <w:p>
      <w:pPr>
        <w:spacing w:after="160" w:line="276"/>
      </w:pPr>
      <w:r>
        <w:rPr>
          <w:rFonts w:ascii="Calibri" w:cs="Calibri" w:eastAsia="Calibri" w:hAnsi="Calibri"/>
          <w:color w:val="2E211B"/>
          <w:sz w:val="22"/>
          <w:szCs w:val="22"/>
        </w:rPr>
        <w:t xml:space="preserve">Le produit actuel depasse largement un MVP : la quasi-totalite du perimetre fonctionnel d'un acteur etabli est codee, testee et documentee. Le chemin critique n'est pas du developpement de fonctionnalites mais du deblocage operationnel (paiement en production, publication stores).</w:t>
      </w:r>
    </w:p>
    <w:p>
      <w:pPr>
        <w:pStyle w:val="Heading2"/>
        <w:spacing w:after="160" w:before="280"/>
      </w:pPr>
      <w:r>
        <w:rPr>
          <w:rFonts w:ascii="Calibri" w:cs="Calibri" w:eastAsia="Calibri" w:hAnsi="Calibri"/>
          <w:b/>
          <w:bCs/>
          <w:color w:val="2E211B"/>
          <w:sz w:val="27"/>
          <w:szCs w:val="27"/>
        </w:rPr>
        <w:t xml:space="preserve">7.2 Priorites classees par impact business</w:t>
      </w:r>
    </w:p>
    <w:tbl>
      <w:tblPr>
        <w:tblW w:type="dxa" w:w="9600"/>
        <w:tblBorders>
          <w:top w:val="single" w:color="CBB9AC" w:sz="4"/>
          <w:left w:val="single" w:color="CBB9AC" w:sz="4"/>
          <w:bottom w:val="single" w:color="CBB9AC" w:sz="4"/>
          <w:right w:val="single" w:color="CBB9AC" w:sz="4"/>
          <w:insideH w:val="single" w:color="CBB9AC" w:sz="4"/>
          <w:insideV w:val="single" w:color="CBB9AC" w:sz="4"/>
        </w:tblBorders>
      </w:tblPr>
      <w:tblGrid>
        <w:gridCol w:w="1200"/>
        <w:gridCol w:w="5200"/>
        <w:gridCol w:w="3200"/>
      </w:tblGrid>
      <w:tr>
        <w:tc>
          <w:tcPr>
            <w:tcW w:type="dxa" w:w="12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Rang</w:t>
            </w:r>
          </w:p>
        </w:tc>
        <w:tc>
          <w:tcPr>
            <w:tcW w:type="dxa" w:w="52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Chantier</w:t>
            </w:r>
          </w:p>
        </w:tc>
        <w:tc>
          <w:tcPr>
            <w:tcW w:type="dxa" w:w="32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Impact / statut</w:t>
            </w:r>
          </w:p>
        </w:tc>
      </w:tr>
      <w:tr>
        <w:tc>
          <w:tcPr>
            <w:tcW w:type="dxa" w:w="1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P0</w:t>
            </w:r>
          </w:p>
        </w:tc>
        <w:tc>
          <w:tcPr>
            <w:tcW w:type="dxa" w:w="5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Deblocage MultiPay en production (ticket Interswitch), tests de bout en bout reels</w:t>
            </w:r>
          </w:p>
        </w:tc>
        <w:tc>
          <w:tcPr>
            <w:tcW w:type="dxa" w:w="3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Bloquant : aucun revenu possible sans lui</w:t>
            </w:r>
          </w:p>
        </w:tc>
      </w:tr>
      <w:tr>
        <w:tc>
          <w:tcPr>
            <w:tcW w:type="dxa" w:w="1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P0</w:t>
            </w:r>
          </w:p>
        </w:tc>
        <w:tc>
          <w:tcPr>
            <w:tcW w:type="dxa" w:w="5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Publication Google Play puis App Store (comptes, build EAS, branding definitif, nom)</w:t>
            </w:r>
          </w:p>
        </w:tc>
        <w:tc>
          <w:tcPr>
            <w:tcW w:type="dxa" w:w="3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Bloquant : aucune distribution sans lui</w:t>
            </w:r>
          </w:p>
        </w:tc>
      </w:tr>
      <w:tr>
        <w:tc>
          <w:tcPr>
            <w:tcW w:type="dxa" w:w="1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P0</w:t>
            </w:r>
          </w:p>
        </w:tc>
        <w:tc>
          <w:tcPr>
            <w:tcW w:type="dxa" w:w="5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Push notifications testees sur appareils reels</w:t>
            </w:r>
          </w:p>
        </w:tc>
        <w:tc>
          <w:tcPr>
            <w:tcW w:type="dxa" w:w="3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Retention ; chaine deja prete</w:t>
            </w:r>
          </w:p>
        </w:tc>
      </w:tr>
      <w:tr>
        <w:tc>
          <w:tcPr>
            <w:tcW w:type="dxa" w:w="1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P1</w:t>
            </w:r>
          </w:p>
        </w:tc>
        <w:tc>
          <w:tcPr>
            <w:tcW w:type="dxa" w:w="5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Connexion Google / Apple (configuration OAuth)</w:t>
            </w:r>
          </w:p>
        </w:tc>
        <w:tc>
          <w:tcPr>
            <w:tcW w:type="dxa" w:w="3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Reduction de friction a l’inscription ; ecrans prets</w:t>
            </w:r>
          </w:p>
        </w:tc>
      </w:tr>
      <w:tr>
        <w:tc>
          <w:tcPr>
            <w:tcW w:type="dxa" w:w="1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P1</w:t>
            </w:r>
          </w:p>
        </w:tc>
        <w:tc>
          <w:tcPr>
            <w:tcW w:type="dxa" w:w="5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Rail international RevenueCat (diaspora)</w:t>
            </w:r>
          </w:p>
        </w:tc>
        <w:tc>
          <w:tcPr>
            <w:tcW w:type="dxa" w:w="3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Deuxieme source de revenus ; architecture prete</w:t>
            </w:r>
          </w:p>
        </w:tc>
      </w:tr>
      <w:tr>
        <w:tc>
          <w:tcPr>
            <w:tcW w:type="dxa" w:w="1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P1</w:t>
            </w:r>
          </w:p>
        </w:tc>
        <w:tc>
          <w:tcPr>
            <w:tcW w:type="dxa" w:w="5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Domaine et e-mails propres, boite support</w:t>
            </w:r>
          </w:p>
        </w:tc>
        <w:tc>
          <w:tcPr>
            <w:tcW w:type="dxa" w:w="3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Credibilite et conformite</w:t>
            </w:r>
          </w:p>
        </w:tc>
      </w:tr>
      <w:tr>
        <w:tc>
          <w:tcPr>
            <w:tcW w:type="dxa" w:w="1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P2</w:t>
            </w:r>
          </w:p>
        </w:tc>
        <w:tc>
          <w:tcPr>
            <w:tcW w:type="dxa" w:w="5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Commission billetterie pour soirees partenaires (B2B)</w:t>
            </w:r>
          </w:p>
        </w:tc>
        <w:tc>
          <w:tcPr>
            <w:tcW w:type="dxa" w:w="3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Nouveau revenu sur infrastructure existante</w:t>
            </w:r>
          </w:p>
        </w:tc>
      </w:tr>
      <w:tr>
        <w:tc>
          <w:tcPr>
            <w:tcW w:type="dxa" w:w="1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P2</w:t>
            </w:r>
          </w:p>
        </w:tc>
        <w:tc>
          <w:tcPr>
            <w:tcW w:type="dxa" w:w="5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Boosts de visibilite en pieces</w:t>
            </w:r>
          </w:p>
        </w:tc>
        <w:tc>
          <w:tcPr>
            <w:tcW w:type="dxa" w:w="3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ARPU ; s’insere dans l’economie existante</w:t>
            </w:r>
          </w:p>
        </w:tc>
      </w:tr>
      <w:tr>
        <w:tc>
          <w:tcPr>
            <w:tcW w:type="dxa" w:w="1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P2</w:t>
            </w:r>
          </w:p>
        </w:tc>
        <w:tc>
          <w:tcPr>
            <w:tcW w:type="dxa" w:w="5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Tableau de bord analytique (cohortes, conversion, retention)</w:t>
            </w:r>
          </w:p>
        </w:tc>
        <w:tc>
          <w:tcPr>
            <w:tcW w:type="dxa" w:w="3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Pilotage ; le backoffice a deja les courbes de base</w:t>
            </w:r>
          </w:p>
        </w:tc>
      </w:tr>
      <w:tr>
        <w:tc>
          <w:tcPr>
            <w:tcW w:type="dxa" w:w="1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P3</w:t>
            </w:r>
          </w:p>
        </w:tc>
        <w:tc>
          <w:tcPr>
            <w:tcW w:type="dxa" w:w="5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Audio/video call dans le chat, stories, quiz de compatibilite</w:t>
            </w:r>
          </w:p>
        </w:tc>
        <w:tc>
          <w:tcPr>
            <w:tcW w:type="dxa" w:w="3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Differenciation future, non prioritaire</w:t>
            </w:r>
          </w:p>
        </w:tc>
      </w:tr>
    </w:tbl>
    <w:p>
      <w:pPr>
        <w:spacing w:after="200"/>
      </w:pPr>
    </w:p>
    <w:p>
      <w:pPr>
        <w:pStyle w:val="Heading2"/>
        <w:spacing w:after="160" w:before="280"/>
      </w:pPr>
      <w:r>
        <w:rPr>
          <w:rFonts w:ascii="Calibri" w:cs="Calibri" w:eastAsia="Calibri" w:hAnsi="Calibri"/>
          <w:b/>
          <w:bCs/>
          <w:color w:val="2E211B"/>
          <w:sz w:val="27"/>
          <w:szCs w:val="27"/>
        </w:rPr>
        <w:t xml:space="preserve">7.3 Expansion</w:t>
      </w:r>
    </w:p>
    <w:p>
      <w:pPr>
        <w:pStyle w:val="ListParagraph"/>
        <w:numPr>
          <w:ilvl w:val="0"/>
          <w:numId w:val="2"/>
        </w:numPr>
        <w:spacing w:after="80" w:line="264"/>
      </w:pPr>
      <w:r>
        <w:rPr>
          <w:rFonts w:ascii="Calibri" w:cs="Calibri" w:eastAsia="Calibri" w:hAnsi="Calibri"/>
          <w:color w:val="2E211B"/>
          <w:sz w:val="22"/>
          <w:szCs w:val="22"/>
        </w:rPr>
        <w:t xml:space="preserve">Geographique : Kinshasa seule les 6 premiers mois, puis Lubumbashi et Goma (les villes sont deja en base, l’expansion est un acte marketing, pas technique), puis capitales d’Afrique francophone voisines en annee 3</w:t>
      </w:r>
    </w:p>
    <w:p>
      <w:pPr>
        <w:pStyle w:val="ListParagraph"/>
        <w:numPr>
          <w:ilvl w:val="0"/>
          <w:numId w:val="2"/>
        </w:numPr>
        <w:spacing w:after="80" w:line="264"/>
      </w:pPr>
      <w:r>
        <w:rPr>
          <w:rFonts w:ascii="Calibri" w:cs="Calibri" w:eastAsia="Calibri" w:hAnsi="Calibri"/>
          <w:color w:val="2E211B"/>
          <w:sz w:val="22"/>
          <w:szCs w:val="22"/>
        </w:rPr>
        <w:t xml:space="preserve">Segments : diaspora via le rail stores ; B2B evenementiel via la billetterie</w:t>
      </w:r>
    </w:p>
    <w:p>
      <w:pPr>
        <w:pStyle w:val="ListParagraph"/>
        <w:numPr>
          <w:ilvl w:val="0"/>
          <w:numId w:val="2"/>
        </w:numPr>
        <w:spacing w:after="80" w:line="264"/>
      </w:pPr>
      <w:r>
        <w:rPr>
          <w:rFonts w:ascii="Calibri" w:cs="Calibri" w:eastAsia="Calibri" w:hAnsi="Calibri"/>
          <w:color w:val="2E211B"/>
          <w:sz w:val="22"/>
          <w:szCs w:val="22"/>
        </w:rPr>
        <w:t xml:space="preserve">Scalabilite technique : deja anticipee (index de performance, plan de partitionnement des tables volumineuses, replicas de lecture) ; le passage a l’echelle est une operation d’infrastructure documentee, pas une refonte</w:t>
      </w:r>
    </w:p>
    <w:p>
      <w:pPr>
        <w:pStyle w:val="ListParagraph"/>
        <w:numPr>
          <w:ilvl w:val="0"/>
          <w:numId w:val="2"/>
        </w:numPr>
        <w:spacing w:after="80" w:line="264"/>
      </w:pPr>
      <w:r>
        <w:rPr>
          <w:rFonts w:ascii="Calibri" w:cs="Calibri" w:eastAsia="Calibri" w:hAnsi="Calibri"/>
          <w:color w:val="2E211B"/>
          <w:sz w:val="22"/>
          <w:szCs w:val="22"/>
        </w:rPr>
        <w:t xml:space="preserve">Automatisation : la moderation restera humaine sur les decisions (c’est un choix produit assume), mais le tri automatique des signalements par gravite existe deja ; un pre-filtrage photo automatise pourra reduire la charge en annee 2</w:t>
      </w:r>
    </w:p>
    <w:p>
      <w:r>
        <w:br w:type="page"/>
      </w:r>
    </w:p>
    <w:p>
      <w:pPr>
        <w:pStyle w:val="Heading1"/>
        <w:spacing w:after="200" w:before="360"/>
      </w:pPr>
      <w:r>
        <w:rPr>
          <w:rFonts w:ascii="Calibri" w:cs="Calibri" w:eastAsia="Calibri" w:hAnsi="Calibri"/>
          <w:b/>
          <w:bCs/>
          <w:color w:val="C0533E"/>
          <w:sz w:val="34"/>
          <w:szCs w:val="34"/>
        </w:rPr>
        <w:t xml:space="preserve">8. Plan financier</w:t>
      </w:r>
    </w:p>
    <w:p>
      <w:pPr>
        <w:pStyle w:val="Heading2"/>
        <w:spacing w:after="160" w:before="280"/>
      </w:pPr>
      <w:r>
        <w:rPr>
          <w:rFonts w:ascii="Calibri" w:cs="Calibri" w:eastAsia="Calibri" w:hAnsi="Calibri"/>
          <w:b/>
          <w:bCs/>
          <w:color w:val="2E211B"/>
          <w:sz w:val="27"/>
          <w:szCs w:val="27"/>
        </w:rPr>
        <w:t xml:space="preserve">8.1 Hypotheses de construction</w:t>
      </w:r>
    </w:p>
    <w:p>
      <w:pPr>
        <w:pBdr>
          <w:left w:val="single" w:color="C0533E" w:sz="18"/>
        </w:pBdr>
        <w:shd w:fill="FBF7F1" w:val="clear"/>
        <w:spacing w:after="160" w:line="264"/>
        <w:ind w:left="200"/>
      </w:pPr>
      <w:r>
        <w:rPr>
          <w:rFonts w:ascii="Calibri" w:cs="Calibri" w:eastAsia="Calibri" w:hAnsi="Calibri"/>
          <w:b/>
          <w:bCs/>
          <w:color w:val="C0533E"/>
          <w:sz w:val="21"/>
          <w:szCs w:val="21"/>
        </w:rPr>
        <w:t xml:space="preserve">Hypothese : </w:t>
      </w:r>
      <w:r>
        <w:rPr>
          <w:rFonts w:ascii="Calibri" w:cs="Calibri" w:eastAsia="Calibri" w:hAnsi="Calibri"/>
          <w:color w:val="2E211B"/>
          <w:sz w:val="21"/>
          <w:szCs w:val="21"/>
        </w:rPr>
        <w:t xml:space="preserve">Taux de change : 1 USD = 2 800 CDF (a actualiser). Tous les montants USD de cette section sont des conversions indicatives.</w:t>
      </w:r>
    </w:p>
    <w:p>
      <w:pPr>
        <w:pBdr>
          <w:left w:val="single" w:color="C0533E" w:sz="18"/>
        </w:pBdr>
        <w:shd w:fill="FBF7F1" w:val="clear"/>
        <w:spacing w:after="160" w:line="264"/>
        <w:ind w:left="200"/>
      </w:pPr>
      <w:r>
        <w:rPr>
          <w:rFonts w:ascii="Calibri" w:cs="Calibri" w:eastAsia="Calibri" w:hAnsi="Calibri"/>
          <w:b/>
          <w:bCs/>
          <w:color w:val="C0533E"/>
          <w:sz w:val="21"/>
          <w:szCs w:val="21"/>
        </w:rPr>
        <w:t xml:space="preserve">Hypothese : </w:t>
      </w:r>
      <w:r>
        <w:rPr>
          <w:rFonts w:ascii="Calibri" w:cs="Calibri" w:eastAsia="Calibri" w:hAnsi="Calibri"/>
          <w:color w:val="2E211B"/>
          <w:sz w:val="21"/>
          <w:szCs w:val="21"/>
        </w:rPr>
        <w:t xml:space="preserve">Revenu moyen par payeur (ARPPU) : 10 000 CDF par mois et par utilisateur payant, soit environ 3,6 USD. Calcul : un payeur type achete un pack Decouverte (4 500 CDF) ou Elan (13 300 CDF) toutes les 4 a 8 semaines ; les abonnes Incognito (110 900 CDF pour 3 mois, soit environ 37 000 CDF par mois) relevent la moyenne. Cette valeur est coherente avec la grille tarifaire reelle du produit.</w:t>
      </w:r>
    </w:p>
    <w:p>
      <w:pPr>
        <w:pBdr>
          <w:left w:val="single" w:color="C0533E" w:sz="18"/>
        </w:pBdr>
        <w:shd w:fill="FBF7F1" w:val="clear"/>
        <w:spacing w:after="160" w:line="264"/>
        <w:ind w:left="200"/>
      </w:pPr>
      <w:r>
        <w:rPr>
          <w:rFonts w:ascii="Calibri" w:cs="Calibri" w:eastAsia="Calibri" w:hAnsi="Calibri"/>
          <w:b/>
          <w:bCs/>
          <w:color w:val="C0533E"/>
          <w:sz w:val="21"/>
          <w:szCs w:val="21"/>
        </w:rPr>
        <w:t xml:space="preserve">Hypothese : </w:t>
      </w:r>
      <w:r>
        <w:rPr>
          <w:rFonts w:ascii="Calibri" w:cs="Calibri" w:eastAsia="Calibri" w:hAnsi="Calibri"/>
          <w:color w:val="2E211B"/>
          <w:sz w:val="21"/>
          <w:szCs w:val="21"/>
        </w:rPr>
        <w:t xml:space="preserve">Taux de conversion en payeurs : 1,5 a 2 % des actifs mensuels en scenario prudent, 2,5 a 3,5 % en realiste, 3 a 5 % en optimiste. References sectorielles : les apps de rencontre mondiales convertissent 2 a 5 % ; le modele local (paiement a l’action, DM payant) pousse la conversion vers le haut mais le pouvoir d’achat la limite.</w:t>
      </w:r>
    </w:p>
    <w:p>
      <w:pPr>
        <w:pBdr>
          <w:left w:val="single" w:color="C0533E" w:sz="18"/>
        </w:pBdr>
        <w:shd w:fill="FBF7F1" w:val="clear"/>
        <w:spacing w:after="160" w:line="264"/>
        <w:ind w:left="200"/>
      </w:pPr>
      <w:r>
        <w:rPr>
          <w:rFonts w:ascii="Calibri" w:cs="Calibri" w:eastAsia="Calibri" w:hAnsi="Calibri"/>
          <w:b/>
          <w:bCs/>
          <w:color w:val="C0533E"/>
          <w:sz w:val="21"/>
          <w:szCs w:val="21"/>
        </w:rPr>
        <w:t xml:space="preserve">Hypothese : </w:t>
      </w:r>
      <w:r>
        <w:rPr>
          <w:rFonts w:ascii="Calibri" w:cs="Calibri" w:eastAsia="Calibri" w:hAnsi="Calibri"/>
          <w:color w:val="2E211B"/>
          <w:sz w:val="21"/>
          <w:szCs w:val="21"/>
        </w:rPr>
        <w:t xml:space="preserve">Marge sur encaissements : 97 % sur Mobile Money (commission MultiPay de 3 %, deja absorbee par la grille de prix) ; 70 a 85 % sur le futur rail stores. Les projections retiennent 95 % en moyenne ponderee, le Mobile Money restant dominant.</w:t>
      </w:r>
    </w:p>
    <w:p>
      <w:pPr>
        <w:pBdr>
          <w:left w:val="single" w:color="C0533E" w:sz="18"/>
        </w:pBdr>
        <w:shd w:fill="FBF7F1" w:val="clear"/>
        <w:spacing w:after="160" w:line="264"/>
        <w:ind w:left="200"/>
      </w:pPr>
      <w:r>
        <w:rPr>
          <w:rFonts w:ascii="Calibri" w:cs="Calibri" w:eastAsia="Calibri" w:hAnsi="Calibri"/>
          <w:b/>
          <w:bCs/>
          <w:color w:val="C0533E"/>
          <w:sz w:val="21"/>
          <w:szCs w:val="21"/>
        </w:rPr>
        <w:t xml:space="preserve">Hypothese : </w:t>
      </w:r>
      <w:r>
        <w:rPr>
          <w:rFonts w:ascii="Calibri" w:cs="Calibri" w:eastAsia="Calibri" w:hAnsi="Calibri"/>
          <w:color w:val="2E211B"/>
          <w:sz w:val="21"/>
          <w:szCs w:val="21"/>
        </w:rPr>
        <w:t xml:space="preserve">Revenus soirees : 1 a 2 soirees par mois en annee 1 (100 a 300 entrees payantes a 10 000 a 20 000 CDF), montee en charge ensuite avec les commissions B2B. Comptes pour 10 a 15 % du chiffre d’affaires a partir de l’annee 2.</w:t>
      </w:r>
    </w:p>
    <w:p>
      <w:pPr>
        <w:pStyle w:val="Heading2"/>
        <w:spacing w:after="160" w:before="280"/>
      </w:pPr>
      <w:r>
        <w:rPr>
          <w:rFonts w:ascii="Calibri" w:cs="Calibri" w:eastAsia="Calibri" w:hAnsi="Calibri"/>
          <w:b/>
          <w:bCs/>
          <w:color w:val="2E211B"/>
          <w:sz w:val="27"/>
          <w:szCs w:val="27"/>
        </w:rPr>
        <w:t xml:space="preserve">8.2 Structure de couts</w:t>
      </w:r>
    </w:p>
    <w:tbl>
      <w:tblPr>
        <w:tblW w:type="dxa" w:w="9600"/>
        <w:tblBorders>
          <w:top w:val="single" w:color="CBB9AC" w:sz="4"/>
          <w:left w:val="single" w:color="CBB9AC" w:sz="4"/>
          <w:bottom w:val="single" w:color="CBB9AC" w:sz="4"/>
          <w:right w:val="single" w:color="CBB9AC" w:sz="4"/>
          <w:insideH w:val="single" w:color="CBB9AC" w:sz="4"/>
          <w:insideV w:val="single" w:color="CBB9AC" w:sz="4"/>
        </w:tblBorders>
      </w:tblPr>
      <w:tblGrid>
        <w:gridCol w:w="3400"/>
        <w:gridCol w:w="3000"/>
        <w:gridCol w:w="3200"/>
      </w:tblGrid>
      <w:tr>
        <w:tc>
          <w:tcPr>
            <w:tcW w:type="dxa" w:w="34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Poste</w:t>
            </w:r>
          </w:p>
        </w:tc>
        <w:tc>
          <w:tcPr>
            <w:tcW w:type="dxa" w:w="30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Annee 1 (USD)</w:t>
            </w:r>
          </w:p>
        </w:tc>
        <w:tc>
          <w:tcPr>
            <w:tcW w:type="dxa" w:w="32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Commentaire</w:t>
            </w:r>
          </w:p>
        </w:tc>
      </w:tr>
      <w:tr>
        <w:tc>
          <w:tcPr>
            <w:tcW w:type="dxa" w:w="34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Infrastructure (Supabase, Vercel, EAS, domaine)</w:t>
            </w:r>
          </w:p>
        </w:tc>
        <w:tc>
          <w:tcPr>
            <w:tcW w:type="dxa" w:w="30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1 500</w:t>
            </w:r>
          </w:p>
        </w:tc>
        <w:tc>
          <w:tcPr>
            <w:tcW w:type="dxa" w:w="3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Serverless : quasi fixe au demarrage, croit avec l’usage (3 000 a 8 000 en annee 3)</w:t>
            </w:r>
          </w:p>
        </w:tc>
      </w:tr>
      <w:tr>
        <w:tc>
          <w:tcPr>
            <w:tcW w:type="dxa" w:w="34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Services (Brevo, RevenueCat, outils)</w:t>
            </w:r>
          </w:p>
        </w:tc>
        <w:tc>
          <w:tcPr>
            <w:tcW w:type="dxa" w:w="30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800</w:t>
            </w:r>
          </w:p>
        </w:tc>
        <w:tc>
          <w:tcPr>
            <w:tcW w:type="dxa" w:w="3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Brevo payant des le lancement (300 mails/jour ne suffiront pas)</w:t>
            </w:r>
          </w:p>
        </w:tc>
      </w:tr>
      <w:tr>
        <w:tc>
          <w:tcPr>
            <w:tcW w:type="dxa" w:w="34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Comptes stores</w:t>
            </w:r>
          </w:p>
        </w:tc>
        <w:tc>
          <w:tcPr>
            <w:tcW w:type="dxa" w:w="30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125</w:t>
            </w:r>
          </w:p>
        </w:tc>
        <w:tc>
          <w:tcPr>
            <w:tcW w:type="dxa" w:w="3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Apple 99 USD/an, Google 25 USD une fois</w:t>
            </w:r>
          </w:p>
        </w:tc>
      </w:tr>
      <w:tr>
        <w:tc>
          <w:tcPr>
            <w:tcW w:type="dxa" w:w="34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Moderation et support (2 personnes a Kinshasa)</w:t>
            </w:r>
          </w:p>
        </w:tc>
        <w:tc>
          <w:tcPr>
            <w:tcW w:type="dxa" w:w="30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7 200</w:t>
            </w:r>
          </w:p>
        </w:tc>
        <w:tc>
          <w:tcPr>
            <w:tcW w:type="dxa" w:w="3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Hypothese 300 USD/mois par personne ; obligatoire des le premier jour (engagement de traitement des dossiers mineurs en 1 h)</w:t>
            </w:r>
          </w:p>
        </w:tc>
      </w:tr>
      <w:tr>
        <w:tc>
          <w:tcPr>
            <w:tcW w:type="dxa" w:w="34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Marketing et evenementiel</w:t>
            </w:r>
          </w:p>
        </w:tc>
        <w:tc>
          <w:tcPr>
            <w:tcW w:type="dxa" w:w="30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15 000</w:t>
            </w:r>
          </w:p>
        </w:tc>
        <w:tc>
          <w:tcPr>
            <w:tcW w:type="dxa" w:w="3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Poste principal : campagnes sociales, ambassadeurs, organisation des premieres soirees</w:t>
            </w:r>
          </w:p>
        </w:tc>
      </w:tr>
      <w:tr>
        <w:tc>
          <w:tcPr>
            <w:tcW w:type="dxa" w:w="34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Developpement</w:t>
            </w:r>
          </w:p>
        </w:tc>
        <w:tc>
          <w:tcPr>
            <w:tcW w:type="dxa" w:w="30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0 a 24 000</w:t>
            </w:r>
          </w:p>
        </w:tc>
        <w:tc>
          <w:tcPr>
            <w:tcW w:type="dxa" w:w="3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Aujourd’hui assure par le fondateur ; valorise a 2 000 USD/mois s’il faut le remunerer ou recruter</w:t>
            </w:r>
          </w:p>
        </w:tc>
      </w:tr>
      <w:tr>
        <w:tc>
          <w:tcPr>
            <w:tcW w:type="dxa" w:w="34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Administratif et legal (UK + RDC)</w:t>
            </w:r>
          </w:p>
        </w:tc>
        <w:tc>
          <w:tcPr>
            <w:tcW w:type="dxa" w:w="30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2 500</w:t>
            </w:r>
          </w:p>
        </w:tc>
        <w:tc>
          <w:tcPr>
            <w:tcW w:type="dxa" w:w="3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Regularisation societe, comptabilite, protection de marque OAPI/ARIPO</w:t>
            </w:r>
          </w:p>
        </w:tc>
      </w:tr>
      <w:tr>
        <w:tc>
          <w:tcPr>
            <w:tcW w:type="dxa" w:w="34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Divers et imprevus (10 %)</w:t>
            </w:r>
          </w:p>
        </w:tc>
        <w:tc>
          <w:tcPr>
            <w:tcW w:type="dxa" w:w="30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2 700</w:t>
            </w:r>
          </w:p>
        </w:tc>
        <w:tc>
          <w:tcPr>
            <w:tcW w:type="dxa" w:w="3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
            </w:r>
          </w:p>
        </w:tc>
      </w:tr>
    </w:tbl>
    <w:p>
      <w:pPr>
        <w:spacing w:after="200"/>
      </w:pPr>
    </w:p>
    <w:p>
      <w:pPr>
        <w:spacing w:after="160" w:line="276"/>
      </w:pPr>
      <w:r>
        <w:rPr>
          <w:rFonts w:ascii="Calibri" w:cs="Calibri" w:eastAsia="Calibri" w:hAnsi="Calibri"/>
          <w:color w:val="2E211B"/>
          <w:sz w:val="22"/>
          <w:szCs w:val="22"/>
        </w:rPr>
        <w:t xml:space="preserve">Total annee 1 : environ 30 000 USD avec un fondateur non remunere, environ 54 000 USD avec une remuneration de subsistance. Les scenarios ci-dessous retiennent la fourchette selon l'ambition marketing.</w:t>
      </w:r>
    </w:p>
    <w:p>
      <w:pPr>
        <w:pStyle w:val="Heading2"/>
        <w:spacing w:after="160" w:before="280"/>
      </w:pPr>
      <w:r>
        <w:rPr>
          <w:rFonts w:ascii="Calibri" w:cs="Calibri" w:eastAsia="Calibri" w:hAnsi="Calibri"/>
          <w:b/>
          <w:bCs/>
          <w:color w:val="2E211B"/>
          <w:sz w:val="27"/>
          <w:szCs w:val="27"/>
        </w:rPr>
        <w:t xml:space="preserve">8.3 Scenario prudent</w:t>
      </w:r>
    </w:p>
    <w:p>
      <w:pPr>
        <w:pBdr>
          <w:left w:val="single" w:color="C0533E" w:sz="18"/>
        </w:pBdr>
        <w:shd w:fill="FBF7F1" w:val="clear"/>
        <w:spacing w:after="160" w:line="264"/>
        <w:ind w:left="200"/>
      </w:pPr>
      <w:r>
        <w:rPr>
          <w:rFonts w:ascii="Calibri" w:cs="Calibri" w:eastAsia="Calibri" w:hAnsi="Calibri"/>
          <w:b/>
          <w:bCs/>
          <w:color w:val="C0533E"/>
          <w:sz w:val="21"/>
          <w:szCs w:val="21"/>
        </w:rPr>
        <w:t xml:space="preserve">Hypothese : </w:t>
      </w:r>
      <w:r>
        <w:rPr>
          <w:rFonts w:ascii="Calibri" w:cs="Calibri" w:eastAsia="Calibri" w:hAnsi="Calibri"/>
          <w:color w:val="2E211B"/>
          <w:sz w:val="21"/>
          <w:szCs w:val="21"/>
        </w:rPr>
        <w:t xml:space="preserve">Croissance organique seule, marketing minimal (5 000 USD/an), paiement debloque avec retard. Conversion 1,5 a 2 %.</w:t>
      </w:r>
    </w:p>
    <w:tbl>
      <w:tblPr>
        <w:tblW w:type="dxa" w:w="9600"/>
        <w:tblBorders>
          <w:top w:val="single" w:color="CBB9AC" w:sz="4"/>
          <w:left w:val="single" w:color="CBB9AC" w:sz="4"/>
          <w:bottom w:val="single" w:color="CBB9AC" w:sz="4"/>
          <w:right w:val="single" w:color="CBB9AC" w:sz="4"/>
          <w:insideH w:val="single" w:color="CBB9AC" w:sz="4"/>
          <w:insideV w:val="single" w:color="CBB9AC" w:sz="4"/>
        </w:tblBorders>
      </w:tblPr>
      <w:tblGrid>
        <w:gridCol w:w="2300"/>
        <w:gridCol w:w="2400"/>
        <w:gridCol w:w="2400"/>
        <w:gridCol w:w="2500"/>
      </w:tblGrid>
      <w:tr>
        <w:tc>
          <w:tcPr>
            <w:tcW w:type="dxa" w:w="23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Indicateur</w:t>
            </w:r>
          </w:p>
        </w:tc>
        <w:tc>
          <w:tcPr>
            <w:tcW w:type="dxa" w:w="24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Annee 1</w:t>
            </w:r>
          </w:p>
        </w:tc>
        <w:tc>
          <w:tcPr>
            <w:tcW w:type="dxa" w:w="24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Annee 2</w:t>
            </w:r>
          </w:p>
        </w:tc>
        <w:tc>
          <w:tcPr>
            <w:tcW w:type="dxa" w:w="25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Annee 3</w:t>
            </w:r>
          </w:p>
        </w:tc>
      </w:tr>
      <w:tr>
        <w:tc>
          <w:tcPr>
            <w:tcW w:type="dxa" w:w="23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Actifs mensuels (moyenne)</w:t>
            </w:r>
          </w:p>
        </w:tc>
        <w:tc>
          <w:tcPr>
            <w:tcW w:type="dxa" w:w="24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4 000</w:t>
            </w:r>
          </w:p>
        </w:tc>
        <w:tc>
          <w:tcPr>
            <w:tcW w:type="dxa" w:w="24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15 000</w:t>
            </w:r>
          </w:p>
        </w:tc>
        <w:tc>
          <w:tcPr>
            <w:tcW w:type="dxa" w:w="25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40 000</w:t>
            </w:r>
          </w:p>
        </w:tc>
      </w:tr>
      <w:tr>
        <w:tc>
          <w:tcPr>
            <w:tcW w:type="dxa" w:w="23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Payeurs mensuels</w:t>
            </w:r>
          </w:p>
        </w:tc>
        <w:tc>
          <w:tcPr>
            <w:tcW w:type="dxa" w:w="24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60</w:t>
            </w:r>
          </w:p>
        </w:tc>
        <w:tc>
          <w:tcPr>
            <w:tcW w:type="dxa" w:w="24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300</w:t>
            </w:r>
          </w:p>
        </w:tc>
        <w:tc>
          <w:tcPr>
            <w:tcW w:type="dxa" w:w="25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800</w:t>
            </w:r>
          </w:p>
        </w:tc>
      </w:tr>
      <w:tr>
        <w:tc>
          <w:tcPr>
            <w:tcW w:type="dxa" w:w="23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Chiffre d’affaires (CDF)</w:t>
            </w:r>
          </w:p>
        </w:tc>
        <w:tc>
          <w:tcPr>
            <w:tcW w:type="dxa" w:w="24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8,4 M</w:t>
            </w:r>
          </w:p>
        </w:tc>
        <w:tc>
          <w:tcPr>
            <w:tcW w:type="dxa" w:w="24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42 M</w:t>
            </w:r>
          </w:p>
        </w:tc>
        <w:tc>
          <w:tcPr>
            <w:tcW w:type="dxa" w:w="25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112 M</w:t>
            </w:r>
          </w:p>
        </w:tc>
      </w:tr>
      <w:tr>
        <w:tc>
          <w:tcPr>
            <w:tcW w:type="dxa" w:w="23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Chiffre d’affaires (USD)</w:t>
            </w:r>
          </w:p>
        </w:tc>
        <w:tc>
          <w:tcPr>
            <w:tcW w:type="dxa" w:w="24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3 000</w:t>
            </w:r>
          </w:p>
        </w:tc>
        <w:tc>
          <w:tcPr>
            <w:tcW w:type="dxa" w:w="24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15 000</w:t>
            </w:r>
          </w:p>
        </w:tc>
        <w:tc>
          <w:tcPr>
            <w:tcW w:type="dxa" w:w="25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40 000</w:t>
            </w:r>
          </w:p>
        </w:tc>
      </w:tr>
      <w:tr>
        <w:tc>
          <w:tcPr>
            <w:tcW w:type="dxa" w:w="23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Couts (USD)</w:t>
            </w:r>
          </w:p>
        </w:tc>
        <w:tc>
          <w:tcPr>
            <w:tcW w:type="dxa" w:w="24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14 000</w:t>
            </w:r>
          </w:p>
        </w:tc>
        <w:tc>
          <w:tcPr>
            <w:tcW w:type="dxa" w:w="24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26 000</w:t>
            </w:r>
          </w:p>
        </w:tc>
        <w:tc>
          <w:tcPr>
            <w:tcW w:type="dxa" w:w="25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38 000</w:t>
            </w:r>
          </w:p>
        </w:tc>
      </w:tr>
      <w:tr>
        <w:tc>
          <w:tcPr>
            <w:tcW w:type="dxa" w:w="23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Resultat (USD)</w:t>
            </w:r>
          </w:p>
        </w:tc>
        <w:tc>
          <w:tcPr>
            <w:tcW w:type="dxa" w:w="24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-11 000</w:t>
            </w:r>
          </w:p>
        </w:tc>
        <w:tc>
          <w:tcPr>
            <w:tcW w:type="dxa" w:w="24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-11 000</w:t>
            </w:r>
          </w:p>
        </w:tc>
        <w:tc>
          <w:tcPr>
            <w:tcW w:type="dxa" w:w="25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+2 000</w:t>
            </w:r>
          </w:p>
        </w:tc>
      </w:tr>
      <w:tr>
        <w:tc>
          <w:tcPr>
            <w:tcW w:type="dxa" w:w="23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Croissance CA</w:t>
            </w:r>
          </w:p>
        </w:tc>
        <w:tc>
          <w:tcPr>
            <w:tcW w:type="dxa" w:w="24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
            </w:r>
          </w:p>
        </w:tc>
        <w:tc>
          <w:tcPr>
            <w:tcW w:type="dxa" w:w="24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x5</w:t>
            </w:r>
          </w:p>
        </w:tc>
        <w:tc>
          <w:tcPr>
            <w:tcW w:type="dxa" w:w="25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x2,7</w:t>
            </w:r>
          </w:p>
        </w:tc>
      </w:tr>
    </w:tbl>
    <w:p>
      <w:pPr>
        <w:spacing w:after="200"/>
      </w:pPr>
    </w:p>
    <w:p>
      <w:pPr>
        <w:spacing w:after="160" w:line="276"/>
      </w:pPr>
      <w:r>
        <w:rPr>
          <w:rFonts w:ascii="Calibri" w:cs="Calibri" w:eastAsia="Calibri" w:hAnsi="Calibri"/>
          <w:color w:val="2E211B"/>
          <w:sz w:val="22"/>
          <w:szCs w:val="22"/>
        </w:rPr>
        <w:t xml:space="preserve">Lecture : meme sans capital significatif, la structure de couts permet de survivre jusqu'a un equilibre vers la fin de l'annee 3, mais la croissance lente laisse le champ libre au concurrent.</w:t>
      </w:r>
    </w:p>
    <w:p>
      <w:pPr>
        <w:pStyle w:val="Heading2"/>
        <w:spacing w:after="160" w:before="280"/>
      </w:pPr>
      <w:r>
        <w:rPr>
          <w:rFonts w:ascii="Calibri" w:cs="Calibri" w:eastAsia="Calibri" w:hAnsi="Calibri"/>
          <w:b/>
          <w:bCs/>
          <w:color w:val="2E211B"/>
          <w:sz w:val="27"/>
          <w:szCs w:val="27"/>
        </w:rPr>
        <w:t xml:space="preserve">8.4 Scenario realiste</w:t>
      </w:r>
    </w:p>
    <w:p>
      <w:pPr>
        <w:pBdr>
          <w:left w:val="single" w:color="C0533E" w:sz="18"/>
        </w:pBdr>
        <w:shd w:fill="FBF7F1" w:val="clear"/>
        <w:spacing w:after="160" w:line="264"/>
        <w:ind w:left="200"/>
      </w:pPr>
      <w:r>
        <w:rPr>
          <w:rFonts w:ascii="Calibri" w:cs="Calibri" w:eastAsia="Calibri" w:hAnsi="Calibri"/>
          <w:b/>
          <w:bCs/>
          <w:color w:val="C0533E"/>
          <w:sz w:val="21"/>
          <w:szCs w:val="21"/>
        </w:rPr>
        <w:t xml:space="preserve">Hypothese : </w:t>
      </w:r>
      <w:r>
        <w:rPr>
          <w:rFonts w:ascii="Calibri" w:cs="Calibri" w:eastAsia="Calibri" w:hAnsi="Calibri"/>
          <w:color w:val="2E211B"/>
          <w:sz w:val="21"/>
          <w:szCs w:val="21"/>
        </w:rPr>
        <w:t xml:space="preserve">Financement d'amorcage d'environ 75 000 USD, lancement soutenu a Kinshasa, paiement debloque au trimestre 1. Conversion 2,5 a 3,5 %. Marge moyenne 95 %.</w:t>
      </w:r>
    </w:p>
    <w:tbl>
      <w:tblPr>
        <w:tblW w:type="dxa" w:w="9800"/>
        <w:tblBorders>
          <w:top w:val="single" w:color="CBB9AC" w:sz="4"/>
          <w:left w:val="single" w:color="CBB9AC" w:sz="4"/>
          <w:bottom w:val="single" w:color="CBB9AC" w:sz="4"/>
          <w:right w:val="single" w:color="CBB9AC" w:sz="4"/>
          <w:insideH w:val="single" w:color="CBB9AC" w:sz="4"/>
          <w:insideV w:val="single" w:color="CBB9AC" w:sz="4"/>
        </w:tblBorders>
      </w:tblPr>
      <w:tblGrid>
        <w:gridCol w:w="2300"/>
        <w:gridCol w:w="1900"/>
        <w:gridCol w:w="1900"/>
        <w:gridCol w:w="1900"/>
        <w:gridCol w:w="1800"/>
      </w:tblGrid>
      <w:tr>
        <w:tc>
          <w:tcPr>
            <w:tcW w:type="dxa" w:w="23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Indicateur</w:t>
            </w:r>
          </w:p>
        </w:tc>
        <w:tc>
          <w:tcPr>
            <w:tcW w:type="dxa" w:w="19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Annee 1</w:t>
            </w:r>
          </w:p>
        </w:tc>
        <w:tc>
          <w:tcPr>
            <w:tcW w:type="dxa" w:w="19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Annee 2</w:t>
            </w:r>
          </w:p>
        </w:tc>
        <w:tc>
          <w:tcPr>
            <w:tcW w:type="dxa" w:w="19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Annee 3</w:t>
            </w:r>
          </w:p>
        </w:tc>
        <w:tc>
          <w:tcPr>
            <w:tcW w:type="dxa" w:w="18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Annee 4</w:t>
            </w:r>
          </w:p>
        </w:tc>
      </w:tr>
      <w:tr>
        <w:tc>
          <w:tcPr>
            <w:tcW w:type="dxa" w:w="23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Actifs mensuels (moyenne)</w:t>
            </w:r>
          </w:p>
        </w:tc>
        <w:tc>
          <w:tcPr>
            <w:tcW w:type="dxa" w:w="19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10 000</w:t>
            </w:r>
          </w:p>
        </w:tc>
        <w:tc>
          <w:tcPr>
            <w:tcW w:type="dxa" w:w="19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50 000</w:t>
            </w:r>
          </w:p>
        </w:tc>
        <w:tc>
          <w:tcPr>
            <w:tcW w:type="dxa" w:w="19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150 000</w:t>
            </w:r>
          </w:p>
        </w:tc>
        <w:tc>
          <w:tcPr>
            <w:tcW w:type="dxa" w:w="1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300 000</w:t>
            </w:r>
          </w:p>
        </w:tc>
      </w:tr>
      <w:tr>
        <w:tc>
          <w:tcPr>
            <w:tcW w:type="dxa" w:w="23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Payeurs mensuels</w:t>
            </w:r>
          </w:p>
        </w:tc>
        <w:tc>
          <w:tcPr>
            <w:tcW w:type="dxa" w:w="19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250</w:t>
            </w:r>
          </w:p>
        </w:tc>
        <w:tc>
          <w:tcPr>
            <w:tcW w:type="dxa" w:w="19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1 500</w:t>
            </w:r>
          </w:p>
        </w:tc>
        <w:tc>
          <w:tcPr>
            <w:tcW w:type="dxa" w:w="19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5 250</w:t>
            </w:r>
          </w:p>
        </w:tc>
        <w:tc>
          <w:tcPr>
            <w:tcW w:type="dxa" w:w="18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10 500</w:t>
            </w:r>
          </w:p>
        </w:tc>
      </w:tr>
      <w:tr>
        <w:tc>
          <w:tcPr>
            <w:tcW w:type="dxa" w:w="23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CA pieces + Incognito (USD)</w:t>
            </w:r>
          </w:p>
        </w:tc>
        <w:tc>
          <w:tcPr>
            <w:tcW w:type="dxa" w:w="19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10 700</w:t>
            </w:r>
          </w:p>
        </w:tc>
        <w:tc>
          <w:tcPr>
            <w:tcW w:type="dxa" w:w="19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64 300</w:t>
            </w:r>
          </w:p>
        </w:tc>
        <w:tc>
          <w:tcPr>
            <w:tcW w:type="dxa" w:w="19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225 000</w:t>
            </w:r>
          </w:p>
        </w:tc>
        <w:tc>
          <w:tcPr>
            <w:tcW w:type="dxa" w:w="1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450 000</w:t>
            </w:r>
          </w:p>
        </w:tc>
      </w:tr>
      <w:tr>
        <w:tc>
          <w:tcPr>
            <w:tcW w:type="dxa" w:w="23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CA soirees et B2B (USD)</w:t>
            </w:r>
          </w:p>
        </w:tc>
        <w:tc>
          <w:tcPr>
            <w:tcW w:type="dxa" w:w="19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1 800</w:t>
            </w:r>
          </w:p>
        </w:tc>
        <w:tc>
          <w:tcPr>
            <w:tcW w:type="dxa" w:w="19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10 700</w:t>
            </w:r>
          </w:p>
        </w:tc>
        <w:tc>
          <w:tcPr>
            <w:tcW w:type="dxa" w:w="19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40 000</w:t>
            </w:r>
          </w:p>
        </w:tc>
        <w:tc>
          <w:tcPr>
            <w:tcW w:type="dxa" w:w="18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80 000</w:t>
            </w:r>
          </w:p>
        </w:tc>
      </w:tr>
      <w:tr>
        <w:tc>
          <w:tcPr>
            <w:tcW w:type="dxa" w:w="23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CA total (USD)</w:t>
            </w:r>
          </w:p>
        </w:tc>
        <w:tc>
          <w:tcPr>
            <w:tcW w:type="dxa" w:w="19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12 500</w:t>
            </w:r>
          </w:p>
        </w:tc>
        <w:tc>
          <w:tcPr>
            <w:tcW w:type="dxa" w:w="19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75 000</w:t>
            </w:r>
          </w:p>
        </w:tc>
        <w:tc>
          <w:tcPr>
            <w:tcW w:type="dxa" w:w="19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265 000</w:t>
            </w:r>
          </w:p>
        </w:tc>
        <w:tc>
          <w:tcPr>
            <w:tcW w:type="dxa" w:w="1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530 000</w:t>
            </w:r>
          </w:p>
        </w:tc>
      </w:tr>
      <w:tr>
        <w:tc>
          <w:tcPr>
            <w:tcW w:type="dxa" w:w="23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Couts (USD)</w:t>
            </w:r>
          </w:p>
        </w:tc>
        <w:tc>
          <w:tcPr>
            <w:tcW w:type="dxa" w:w="19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30 000</w:t>
            </w:r>
          </w:p>
        </w:tc>
        <w:tc>
          <w:tcPr>
            <w:tcW w:type="dxa" w:w="19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55 000</w:t>
            </w:r>
          </w:p>
        </w:tc>
        <w:tc>
          <w:tcPr>
            <w:tcW w:type="dxa" w:w="19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140 000</w:t>
            </w:r>
          </w:p>
        </w:tc>
        <w:tc>
          <w:tcPr>
            <w:tcW w:type="dxa" w:w="18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280 000</w:t>
            </w:r>
          </w:p>
        </w:tc>
      </w:tr>
      <w:tr>
        <w:tc>
          <w:tcPr>
            <w:tcW w:type="dxa" w:w="23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Resultat (USD)</w:t>
            </w:r>
          </w:p>
        </w:tc>
        <w:tc>
          <w:tcPr>
            <w:tcW w:type="dxa" w:w="19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-17 500</w:t>
            </w:r>
          </w:p>
        </w:tc>
        <w:tc>
          <w:tcPr>
            <w:tcW w:type="dxa" w:w="19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+20 000</w:t>
            </w:r>
          </w:p>
        </w:tc>
        <w:tc>
          <w:tcPr>
            <w:tcW w:type="dxa" w:w="19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+125 000</w:t>
            </w:r>
          </w:p>
        </w:tc>
        <w:tc>
          <w:tcPr>
            <w:tcW w:type="dxa" w:w="1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+250 000</w:t>
            </w:r>
          </w:p>
        </w:tc>
      </w:tr>
      <w:tr>
        <w:tc>
          <w:tcPr>
            <w:tcW w:type="dxa" w:w="23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Marge nette</w:t>
            </w:r>
          </w:p>
        </w:tc>
        <w:tc>
          <w:tcPr>
            <w:tcW w:type="dxa" w:w="19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
            </w:r>
          </w:p>
        </w:tc>
        <w:tc>
          <w:tcPr>
            <w:tcW w:type="dxa" w:w="19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27 %</w:t>
            </w:r>
          </w:p>
        </w:tc>
        <w:tc>
          <w:tcPr>
            <w:tcW w:type="dxa" w:w="19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47 %</w:t>
            </w:r>
          </w:p>
        </w:tc>
        <w:tc>
          <w:tcPr>
            <w:tcW w:type="dxa" w:w="18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47 %</w:t>
            </w:r>
          </w:p>
        </w:tc>
      </w:tr>
    </w:tbl>
    <w:p>
      <w:pPr>
        <w:spacing w:after="200"/>
      </w:pPr>
    </w:p>
    <w:p>
      <w:pPr>
        <w:spacing w:after="160" w:line="276"/>
      </w:pPr>
      <w:r>
        <w:rPr>
          <w:rFonts w:ascii="Calibri" w:cs="Calibri" w:eastAsia="Calibri" w:hAnsi="Calibri"/>
          <w:color w:val="2E211B"/>
          <w:sz w:val="22"/>
          <w:szCs w:val="22"/>
        </w:rPr>
        <w:t xml:space="preserve">Lecture : le point mort est atteint dans le courant de l'annee 2. La marge s'ameliore fortement avec l'echelle car les couts variables (infrastructure, commission de paiement) restent faibles ; les couts qui croissent sont la moderation et le marketing.</w:t>
      </w:r>
    </w:p>
    <w:p>
      <w:pPr>
        <w:pStyle w:val="Heading2"/>
        <w:spacing w:after="160" w:before="280"/>
      </w:pPr>
      <w:r>
        <w:rPr>
          <w:rFonts w:ascii="Calibri" w:cs="Calibri" w:eastAsia="Calibri" w:hAnsi="Calibri"/>
          <w:b/>
          <w:bCs/>
          <w:color w:val="2E211B"/>
          <w:sz w:val="27"/>
          <w:szCs w:val="27"/>
        </w:rPr>
        <w:t xml:space="preserve">8.5 Scenario optimiste</w:t>
      </w:r>
    </w:p>
    <w:p>
      <w:pPr>
        <w:pBdr>
          <w:left w:val="single" w:color="C0533E" w:sz="18"/>
        </w:pBdr>
        <w:shd w:fill="FBF7F1" w:val="clear"/>
        <w:spacing w:after="160" w:line="264"/>
        <w:ind w:left="200"/>
      </w:pPr>
      <w:r>
        <w:rPr>
          <w:rFonts w:ascii="Calibri" w:cs="Calibri" w:eastAsia="Calibri" w:hAnsi="Calibri"/>
          <w:b/>
          <w:bCs/>
          <w:color w:val="C0533E"/>
          <w:sz w:val="21"/>
          <w:szCs w:val="21"/>
        </w:rPr>
        <w:t xml:space="preserve">Hypothese : </w:t>
      </w:r>
      <w:r>
        <w:rPr>
          <w:rFonts w:ascii="Calibri" w:cs="Calibri" w:eastAsia="Calibri" w:hAnsi="Calibri"/>
          <w:color w:val="2E211B"/>
          <w:sz w:val="21"/>
          <w:szCs w:val="21"/>
        </w:rPr>
        <w:t xml:space="preserve">Financement de 150 000 USD ou plus, marketing agressif, effet de reseau rapide a Kinshasa, extension precoce a 3 villes, rail diaspora actif des l'annee 1. Conversion 3 a 5 %.</w:t>
      </w:r>
    </w:p>
    <w:tbl>
      <w:tblPr>
        <w:tblW w:type="dxa" w:w="9600"/>
        <w:tblBorders>
          <w:top w:val="single" w:color="CBB9AC" w:sz="4"/>
          <w:left w:val="single" w:color="CBB9AC" w:sz="4"/>
          <w:bottom w:val="single" w:color="CBB9AC" w:sz="4"/>
          <w:right w:val="single" w:color="CBB9AC" w:sz="4"/>
          <w:insideH w:val="single" w:color="CBB9AC" w:sz="4"/>
          <w:insideV w:val="single" w:color="CBB9AC" w:sz="4"/>
        </w:tblBorders>
      </w:tblPr>
      <w:tblGrid>
        <w:gridCol w:w="2300"/>
        <w:gridCol w:w="2400"/>
        <w:gridCol w:w="2400"/>
        <w:gridCol w:w="2500"/>
      </w:tblGrid>
      <w:tr>
        <w:tc>
          <w:tcPr>
            <w:tcW w:type="dxa" w:w="23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Indicateur</w:t>
            </w:r>
          </w:p>
        </w:tc>
        <w:tc>
          <w:tcPr>
            <w:tcW w:type="dxa" w:w="24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Annee 1</w:t>
            </w:r>
          </w:p>
        </w:tc>
        <w:tc>
          <w:tcPr>
            <w:tcW w:type="dxa" w:w="24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Annee 2</w:t>
            </w:r>
          </w:p>
        </w:tc>
        <w:tc>
          <w:tcPr>
            <w:tcW w:type="dxa" w:w="25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Annee 3</w:t>
            </w:r>
          </w:p>
        </w:tc>
      </w:tr>
      <w:tr>
        <w:tc>
          <w:tcPr>
            <w:tcW w:type="dxa" w:w="23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Actifs mensuels (moyenne)</w:t>
            </w:r>
          </w:p>
        </w:tc>
        <w:tc>
          <w:tcPr>
            <w:tcW w:type="dxa" w:w="24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25 000</w:t>
            </w:r>
          </w:p>
        </w:tc>
        <w:tc>
          <w:tcPr>
            <w:tcW w:type="dxa" w:w="24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150 000</w:t>
            </w:r>
          </w:p>
        </w:tc>
        <w:tc>
          <w:tcPr>
            <w:tcW w:type="dxa" w:w="25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400 000</w:t>
            </w:r>
          </w:p>
        </w:tc>
      </w:tr>
      <w:tr>
        <w:tc>
          <w:tcPr>
            <w:tcW w:type="dxa" w:w="23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Payeurs mensuels</w:t>
            </w:r>
          </w:p>
        </w:tc>
        <w:tc>
          <w:tcPr>
            <w:tcW w:type="dxa" w:w="24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750</w:t>
            </w:r>
          </w:p>
        </w:tc>
        <w:tc>
          <w:tcPr>
            <w:tcW w:type="dxa" w:w="24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6 000</w:t>
            </w:r>
          </w:p>
        </w:tc>
        <w:tc>
          <w:tcPr>
            <w:tcW w:type="dxa" w:w="25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20 000</w:t>
            </w:r>
          </w:p>
        </w:tc>
      </w:tr>
      <w:tr>
        <w:tc>
          <w:tcPr>
            <w:tcW w:type="dxa" w:w="23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CA total (USD)</w:t>
            </w:r>
          </w:p>
        </w:tc>
        <w:tc>
          <w:tcPr>
            <w:tcW w:type="dxa" w:w="24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38 000</w:t>
            </w:r>
          </w:p>
        </w:tc>
        <w:tc>
          <w:tcPr>
            <w:tcW w:type="dxa" w:w="24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300 000</w:t>
            </w:r>
          </w:p>
        </w:tc>
        <w:tc>
          <w:tcPr>
            <w:tcW w:type="dxa" w:w="25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1 000 000</w:t>
            </w:r>
          </w:p>
        </w:tc>
      </w:tr>
      <w:tr>
        <w:tc>
          <w:tcPr>
            <w:tcW w:type="dxa" w:w="23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Couts (USD)</w:t>
            </w:r>
          </w:p>
        </w:tc>
        <w:tc>
          <w:tcPr>
            <w:tcW w:type="dxa" w:w="24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60 000</w:t>
            </w:r>
          </w:p>
        </w:tc>
        <w:tc>
          <w:tcPr>
            <w:tcW w:type="dxa" w:w="24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160 000</w:t>
            </w:r>
          </w:p>
        </w:tc>
        <w:tc>
          <w:tcPr>
            <w:tcW w:type="dxa" w:w="25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450 000</w:t>
            </w:r>
          </w:p>
        </w:tc>
      </w:tr>
      <w:tr>
        <w:tc>
          <w:tcPr>
            <w:tcW w:type="dxa" w:w="23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Resultat (USD)</w:t>
            </w:r>
          </w:p>
        </w:tc>
        <w:tc>
          <w:tcPr>
            <w:tcW w:type="dxa" w:w="24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-22 000</w:t>
            </w:r>
          </w:p>
        </w:tc>
        <w:tc>
          <w:tcPr>
            <w:tcW w:type="dxa" w:w="24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+140 000</w:t>
            </w:r>
          </w:p>
        </w:tc>
        <w:tc>
          <w:tcPr>
            <w:tcW w:type="dxa" w:w="25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+550 000</w:t>
            </w:r>
          </w:p>
        </w:tc>
      </w:tr>
      <w:tr>
        <w:tc>
          <w:tcPr>
            <w:tcW w:type="dxa" w:w="23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Marge nette</w:t>
            </w:r>
          </w:p>
        </w:tc>
        <w:tc>
          <w:tcPr>
            <w:tcW w:type="dxa" w:w="24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
            </w:r>
          </w:p>
        </w:tc>
        <w:tc>
          <w:tcPr>
            <w:tcW w:type="dxa" w:w="24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47 %</w:t>
            </w:r>
          </w:p>
        </w:tc>
        <w:tc>
          <w:tcPr>
            <w:tcW w:type="dxa" w:w="25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55 %</w:t>
            </w:r>
          </w:p>
        </w:tc>
      </w:tr>
    </w:tbl>
    <w:p>
      <w:pPr>
        <w:spacing w:after="200"/>
      </w:pPr>
    </w:p>
    <w:p>
      <w:pPr>
        <w:spacing w:after="160" w:line="276"/>
      </w:pPr>
      <w:r>
        <w:rPr>
          <w:rFonts w:ascii="Calibri" w:cs="Calibri" w:eastAsia="Calibri" w:hAnsi="Calibri"/>
          <w:color w:val="2E211B"/>
          <w:sz w:val="22"/>
          <w:szCs w:val="22"/>
        </w:rPr>
        <w:t xml:space="preserve">Avertissement : ce scenario suppose que Dowe prenne le leadership du marche en moins de deux ans. Il sert de borne haute pour dimensionner l'opportunite, pas de base de planification.</w:t>
      </w:r>
    </w:p>
    <w:p>
      <w:r>
        <w:br w:type="page"/>
      </w:r>
    </w:p>
    <w:p>
      <w:pPr>
        <w:pStyle w:val="Heading1"/>
        <w:spacing w:after="200" w:before="360"/>
      </w:pPr>
      <w:r>
        <w:rPr>
          <w:rFonts w:ascii="Calibri" w:cs="Calibri" w:eastAsia="Calibri" w:hAnsi="Calibri"/>
          <w:b/>
          <w:bCs/>
          <w:color w:val="C0533E"/>
          <w:sz w:val="34"/>
          <w:szCs w:val="34"/>
        </w:rPr>
        <w:t xml:space="preserve">9. Besoin de financement</w:t>
      </w:r>
    </w:p>
    <w:p>
      <w:pPr>
        <w:pStyle w:val="Heading2"/>
        <w:spacing w:after="160" w:before="280"/>
      </w:pPr>
      <w:r>
        <w:rPr>
          <w:rFonts w:ascii="Calibri" w:cs="Calibri" w:eastAsia="Calibri" w:hAnsi="Calibri"/>
          <w:b/>
          <w:bCs/>
          <w:color w:val="2E211B"/>
          <w:sz w:val="27"/>
          <w:szCs w:val="27"/>
        </w:rPr>
        <w:t xml:space="preserve">9.1 Montant recherche</w:t>
      </w:r>
    </w:p>
    <w:p>
      <w:pPr>
        <w:spacing w:after="160" w:line="276"/>
      </w:pPr>
      <w:r>
        <w:rPr>
          <w:rFonts w:ascii="Calibri" w:cs="Calibri" w:eastAsia="Calibri" w:hAnsi="Calibri"/>
          <w:color w:val="2E211B"/>
          <w:sz w:val="22"/>
          <w:szCs w:val="22"/>
        </w:rPr>
        <w:t xml:space="preserve">Le projet peut techniquement se lancer en autofinancement (scenario prudent), mais la fenetre concurrentielle plaide pour un amorcage. Montant recommande : 75 000 USD pour couvrir 18 a 24 mois d'execution du scenario realiste jusqu'au point mort.</w:t>
      </w:r>
    </w:p>
    <w:p>
      <w:pPr>
        <w:pStyle w:val="Heading2"/>
        <w:spacing w:after="160" w:before="280"/>
      </w:pPr>
      <w:r>
        <w:rPr>
          <w:rFonts w:ascii="Calibri" w:cs="Calibri" w:eastAsia="Calibri" w:hAnsi="Calibri"/>
          <w:b/>
          <w:bCs/>
          <w:color w:val="2E211B"/>
          <w:sz w:val="27"/>
          <w:szCs w:val="27"/>
        </w:rPr>
        <w:t xml:space="preserve">9.2 Utilisation des fonds (sur 18 mois)</w:t>
      </w:r>
    </w:p>
    <w:tbl>
      <w:tblPr>
        <w:tblW w:type="dxa" w:w="9400"/>
        <w:tblBorders>
          <w:top w:val="single" w:color="CBB9AC" w:sz="4"/>
          <w:left w:val="single" w:color="CBB9AC" w:sz="4"/>
          <w:bottom w:val="single" w:color="CBB9AC" w:sz="4"/>
          <w:right w:val="single" w:color="CBB9AC" w:sz="4"/>
          <w:insideH w:val="single" w:color="CBB9AC" w:sz="4"/>
          <w:insideV w:val="single" w:color="CBB9AC" w:sz="4"/>
        </w:tblBorders>
      </w:tblPr>
      <w:tblGrid>
        <w:gridCol w:w="4200"/>
        <w:gridCol w:w="2200"/>
        <w:gridCol w:w="3000"/>
      </w:tblGrid>
      <w:tr>
        <w:tc>
          <w:tcPr>
            <w:tcW w:type="dxa" w:w="42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Poste</w:t>
            </w:r>
          </w:p>
        </w:tc>
        <w:tc>
          <w:tcPr>
            <w:tcW w:type="dxa" w:w="22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Montant (USD)</w:t>
            </w:r>
          </w:p>
        </w:tc>
        <w:tc>
          <w:tcPr>
            <w:tcW w:type="dxa" w:w="30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Detail</w:t>
            </w:r>
          </w:p>
        </w:tc>
      </w:tr>
      <w:tr>
        <w:tc>
          <w:tcPr>
            <w:tcW w:type="dxa" w:w="4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Marketing, acquisition, evenementiel</w:t>
            </w:r>
          </w:p>
        </w:tc>
        <w:tc>
          <w:tcPr>
            <w:tcW w:type="dxa" w:w="2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35 000</w:t>
            </w:r>
          </w:p>
        </w:tc>
        <w:tc>
          <w:tcPr>
            <w:tcW w:type="dxa" w:w="30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Campagnes Kinshasa, ambassadeurs, 12 a 18 soirees</w:t>
            </w:r>
          </w:p>
        </w:tc>
      </w:tr>
      <w:tr>
        <w:tc>
          <w:tcPr>
            <w:tcW w:type="dxa" w:w="4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Ressources humaines</w:t>
            </w:r>
          </w:p>
        </w:tc>
        <w:tc>
          <w:tcPr>
            <w:tcW w:type="dxa" w:w="2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20 000</w:t>
            </w:r>
          </w:p>
        </w:tc>
        <w:tc>
          <w:tcPr>
            <w:tcW w:type="dxa" w:w="30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2 moderateurs/support, community manager a temps partiel</w:t>
            </w:r>
          </w:p>
        </w:tc>
      </w:tr>
      <w:tr>
        <w:tc>
          <w:tcPr>
            <w:tcW w:type="dxa" w:w="4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Developpement et produit</w:t>
            </w:r>
          </w:p>
        </w:tc>
        <w:tc>
          <w:tcPr>
            <w:tcW w:type="dxa" w:w="2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10 000</w:t>
            </w:r>
          </w:p>
        </w:tc>
        <w:tc>
          <w:tcPr>
            <w:tcW w:type="dxa" w:w="30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Remuneration partielle du fondateur, prestations ponctuelles (design, QA)</w:t>
            </w:r>
          </w:p>
        </w:tc>
      </w:tr>
      <w:tr>
        <w:tc>
          <w:tcPr>
            <w:tcW w:type="dxa" w:w="4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Infrastructure et services</w:t>
            </w:r>
          </w:p>
        </w:tc>
        <w:tc>
          <w:tcPr>
            <w:tcW w:type="dxa" w:w="2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4 000</w:t>
            </w:r>
          </w:p>
        </w:tc>
        <w:tc>
          <w:tcPr>
            <w:tcW w:type="dxa" w:w="30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Supabase, Brevo, EAS, stores, outils</w:t>
            </w:r>
          </w:p>
        </w:tc>
      </w:tr>
      <w:tr>
        <w:tc>
          <w:tcPr>
            <w:tcW w:type="dxa" w:w="4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Juridique et administratif</w:t>
            </w:r>
          </w:p>
        </w:tc>
        <w:tc>
          <w:tcPr>
            <w:tcW w:type="dxa" w:w="2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3 000</w:t>
            </w:r>
          </w:p>
        </w:tc>
        <w:tc>
          <w:tcPr>
            <w:tcW w:type="dxa" w:w="30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Regularisation ou restructuration de la societe, marque, conformite</w:t>
            </w:r>
          </w:p>
        </w:tc>
      </w:tr>
      <w:tr>
        <w:tc>
          <w:tcPr>
            <w:tcW w:type="dxa" w:w="4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Tresorerie de securite</w:t>
            </w:r>
          </w:p>
        </w:tc>
        <w:tc>
          <w:tcPr>
            <w:tcW w:type="dxa" w:w="2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3 000</w:t>
            </w:r>
          </w:p>
        </w:tc>
        <w:tc>
          <w:tcPr>
            <w:tcW w:type="dxa" w:w="30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Imprevus</w:t>
            </w:r>
          </w:p>
        </w:tc>
      </w:tr>
    </w:tbl>
    <w:p>
      <w:pPr>
        <w:spacing w:after="200"/>
      </w:pPr>
    </w:p>
    <w:p>
      <w:pPr>
        <w:pStyle w:val="Heading2"/>
        <w:spacing w:after="160" w:before="280"/>
      </w:pPr>
      <w:r>
        <w:rPr>
          <w:rFonts w:ascii="Calibri" w:cs="Calibri" w:eastAsia="Calibri" w:hAnsi="Calibri"/>
          <w:b/>
          <w:bCs/>
          <w:color w:val="2E211B"/>
          <w:sz w:val="27"/>
          <w:szCs w:val="27"/>
        </w:rPr>
        <w:t xml:space="preserve">9.3 Strategies de financement possibles</w:t>
      </w:r>
    </w:p>
    <w:tbl>
      <w:tblPr>
        <w:tblW w:type="dxa" w:w="9600"/>
        <w:tblBorders>
          <w:top w:val="single" w:color="CBB9AC" w:sz="4"/>
          <w:left w:val="single" w:color="CBB9AC" w:sz="4"/>
          <w:bottom w:val="single" w:color="CBB9AC" w:sz="4"/>
          <w:right w:val="single" w:color="CBB9AC" w:sz="4"/>
          <w:insideH w:val="single" w:color="CBB9AC" w:sz="4"/>
          <w:insideV w:val="single" w:color="CBB9AC" w:sz="4"/>
        </w:tblBorders>
      </w:tblPr>
      <w:tblGrid>
        <w:gridCol w:w="3000"/>
        <w:gridCol w:w="6600"/>
      </w:tblGrid>
      <w:tr>
        <w:tc>
          <w:tcPr>
            <w:tcW w:type="dxa" w:w="30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Option</w:t>
            </w:r>
          </w:p>
        </w:tc>
        <w:tc>
          <w:tcPr>
            <w:tcW w:type="dxa" w:w="66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Analyse</w:t>
            </w:r>
          </w:p>
        </w:tc>
      </w:tr>
      <w:tr>
        <w:tc>
          <w:tcPr>
            <w:tcW w:type="dxa" w:w="30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Autofinancement</w:t>
            </w:r>
          </w:p>
        </w:tc>
        <w:tc>
          <w:tcPr>
            <w:tcW w:type="dxa" w:w="66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Viable grace aux couts quasi nuls, mais croissance lente (scenario prudent) et risque concurrentiel ; c’est le plan par defaut, pas le plan cible</w:t>
            </w:r>
          </w:p>
        </w:tc>
      </w:tr>
      <w:tr>
        <w:tc>
          <w:tcPr>
            <w:tcW w:type="dxa" w:w="30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Business angels (diaspora, tech africaine)</w:t>
            </w:r>
          </w:p>
        </w:tc>
        <w:tc>
          <w:tcPr>
            <w:tcW w:type="dxa" w:w="66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La cible la plus realiste a ce stade : ticket de 25 000 a 100 000 USD, comprehension du marche, reseau local ; le produit fini et la discipline technique sont des arguments forts</w:t>
            </w:r>
          </w:p>
        </w:tc>
      </w:tr>
      <w:tr>
        <w:tc>
          <w:tcPr>
            <w:tcW w:type="dxa" w:w="30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Fonds d’amorcage africains</w:t>
            </w:r>
          </w:p>
        </w:tc>
        <w:tc>
          <w:tcPr>
            <w:tcW w:type="dxa" w:w="66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Pertinents apres les premieres preuves de traction (10 000 a 50 000 actifs, revenus reels) pour une serie d’amorcage de 250 000 a 500 000 USD destinee a l’expansion multi-villes</w:t>
            </w:r>
          </w:p>
        </w:tc>
      </w:tr>
      <w:tr>
        <w:tc>
          <w:tcPr>
            <w:tcW w:type="dxa" w:w="30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Partenariats strategiques</w:t>
            </w:r>
          </w:p>
        </w:tc>
        <w:tc>
          <w:tcPr>
            <w:tcW w:type="dxa" w:w="66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Operateurs telecoms ou groupes evenementiels : apport en visibilite et en distribution plutot qu’en cash ; a negocier sans exclusivite bloquante</w:t>
            </w:r>
          </w:p>
        </w:tc>
      </w:tr>
      <w:tr>
        <w:tc>
          <w:tcPr>
            <w:tcW w:type="dxa" w:w="30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Pret bancaire</w:t>
            </w:r>
          </w:p>
        </w:tc>
        <w:tc>
          <w:tcPr>
            <w:tcW w:type="dxa" w:w="66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Inadapte au stade actuel (pas de revenus etablis, pas de garanties)</w:t>
            </w:r>
          </w:p>
        </w:tc>
      </w:tr>
      <w:tr>
        <w:tc>
          <w:tcPr>
            <w:tcW w:type="dxa" w:w="30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Subventions et concours</w:t>
            </w:r>
          </w:p>
        </w:tc>
        <w:tc>
          <w:tcPr>
            <w:tcW w:type="dxa" w:w="66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Concours de startups africaines (prix en cash non dilutifs) : effort limite, a tenter en parallele</w:t>
            </w:r>
          </w:p>
        </w:tc>
      </w:tr>
    </w:tbl>
    <w:p>
      <w:r>
        <w:br w:type="page"/>
      </w:r>
    </w:p>
    <w:p>
      <w:pPr>
        <w:pStyle w:val="Heading1"/>
        <w:spacing w:after="200" w:before="360"/>
      </w:pPr>
      <w:r>
        <w:rPr>
          <w:rFonts w:ascii="Calibri" w:cs="Calibri" w:eastAsia="Calibri" w:hAnsi="Calibri"/>
          <w:b/>
          <w:bCs/>
          <w:color w:val="C0533E"/>
          <w:sz w:val="34"/>
          <w:szCs w:val="34"/>
        </w:rPr>
        <w:t xml:space="preserve">10. Analyse SWOT</w:t>
      </w:r>
    </w:p>
    <w:tbl>
      <w:tblPr>
        <w:tblW w:type="dxa" w:w="9600"/>
        <w:tblBorders>
          <w:top w:val="single" w:color="CBB9AC" w:sz="4"/>
          <w:left w:val="single" w:color="CBB9AC" w:sz="4"/>
          <w:bottom w:val="single" w:color="CBB9AC" w:sz="4"/>
          <w:right w:val="single" w:color="CBB9AC" w:sz="4"/>
          <w:insideH w:val="single" w:color="CBB9AC" w:sz="4"/>
          <w:insideV w:val="single" w:color="CBB9AC" w:sz="4"/>
        </w:tblBorders>
      </w:tblPr>
      <w:tblGrid>
        <w:gridCol w:w="4800"/>
        <w:gridCol w:w="4800"/>
      </w:tblGrid>
      <w:tr>
        <w:tc>
          <w:tcPr>
            <w:tcW w:type="dxa" w:w="48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Forces</w:t>
            </w:r>
          </w:p>
        </w:tc>
        <w:tc>
          <w:tcPr>
            <w:tcW w:type="dxa" w:w="48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Faiblesses</w:t>
            </w:r>
          </w:p>
        </w:tc>
      </w:tr>
      <w:tr>
        <w:tc>
          <w:tcPr>
            <w:tcW w:type="dxa" w:w="4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Produit complet, teste, au niveau fonctionnel du leader local ; architecture serverless a couts quasi nuls et concue pour l’echelle ; paiement Mobile Money integre ; moderation et protection des mineurs de niveau professionnel ; economie deja calibree sur les prix du marche, 7 % moins chere ; differenciateurs reels (soirees QR, verification incitative, Incognito)</w:t>
            </w:r>
          </w:p>
        </w:tc>
        <w:tc>
          <w:tcPr>
            <w:tcW w:type="dxa" w:w="4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Aucun utilisateur ni revenu a ce jour ; paiement bloque en production (dependance a Interswitch) ; equipe reduite a un fondateur ; societe editrice en cours de radiation d’office ; nom et branding non definitifs ; notoriete nulle face a un acteur etabli ; push et OAuth non finalises</w:t>
            </w:r>
          </w:p>
        </w:tc>
      </w:tr>
    </w:tbl>
    <w:p>
      <w:pPr>
        <w:spacing w:after="120"/>
      </w:pPr>
    </w:p>
    <w:tbl>
      <w:tblPr>
        <w:tblW w:type="dxa" w:w="9600"/>
        <w:tblBorders>
          <w:top w:val="single" w:color="CBB9AC" w:sz="4"/>
          <w:left w:val="single" w:color="CBB9AC" w:sz="4"/>
          <w:bottom w:val="single" w:color="CBB9AC" w:sz="4"/>
          <w:right w:val="single" w:color="CBB9AC" w:sz="4"/>
          <w:insideH w:val="single" w:color="CBB9AC" w:sz="4"/>
          <w:insideV w:val="single" w:color="CBB9AC" w:sz="4"/>
        </w:tblBorders>
      </w:tblPr>
      <w:tblGrid>
        <w:gridCol w:w="4800"/>
        <w:gridCol w:w="4800"/>
      </w:tblGrid>
      <w:tr>
        <w:tc>
          <w:tcPr>
            <w:tcW w:type="dxa" w:w="48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Opportunites</w:t>
            </w:r>
          </w:p>
        </w:tc>
        <w:tc>
          <w:tcPr>
            <w:tcW w:type="dxa" w:w="48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Menaces</w:t>
            </w:r>
          </w:p>
        </w:tc>
      </w:tr>
      <w:tr>
        <w:tc>
          <w:tcPr>
            <w:tcW w:type="dxa" w:w="4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Marche enorme, jeune et sous-equipe (plus de 100 millions d’habitants, un seul acteur local serieux) ; croissance rapide du Mobile Money et des smartphones ; evenementiel comme levier d’acquisition inexploite ; extension naturelle a l’Afrique francophone ; diaspora solvable</w:t>
            </w:r>
          </w:p>
        </w:tc>
        <w:tc>
          <w:tcPr>
            <w:tcW w:type="dxa" w:w="4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Reaction du concurrent local (baisse de prix, evenements) ; entree d’un acteur mondial ou de Facebook Dating en force ; risques de reputation (arnaques sentimentales, incidents en soiree) ; instabilite reglementaire ou fiscale ; dependance aux plateformes (Apple, Google, Interswitch, Supabase)</w:t>
            </w:r>
          </w:p>
        </w:tc>
      </w:tr>
    </w:tbl>
    <w:p>
      <w:r>
        <w:br w:type="page"/>
      </w:r>
    </w:p>
    <w:p>
      <w:pPr>
        <w:pStyle w:val="Heading1"/>
        <w:spacing w:after="200" w:before="360"/>
      </w:pPr>
      <w:r>
        <w:rPr>
          <w:rFonts w:ascii="Calibri" w:cs="Calibri" w:eastAsia="Calibri" w:hAnsi="Calibri"/>
          <w:b/>
          <w:bCs/>
          <w:color w:val="C0533E"/>
          <w:sz w:val="34"/>
          <w:szCs w:val="34"/>
        </w:rPr>
        <w:t xml:space="preserve">11. Risques et strategies de mitigation</w:t>
      </w:r>
    </w:p>
    <w:tbl>
      <w:tblPr>
        <w:tblW w:type="dxa" w:w="9600"/>
        <w:tblBorders>
          <w:top w:val="single" w:color="CBB9AC" w:sz="4"/>
          <w:left w:val="single" w:color="CBB9AC" w:sz="4"/>
          <w:bottom w:val="single" w:color="CBB9AC" w:sz="4"/>
          <w:right w:val="single" w:color="CBB9AC" w:sz="4"/>
          <w:insideH w:val="single" w:color="CBB9AC" w:sz="4"/>
          <w:insideV w:val="single" w:color="CBB9AC" w:sz="4"/>
        </w:tblBorders>
      </w:tblPr>
      <w:tblGrid>
        <w:gridCol w:w="2200"/>
        <w:gridCol w:w="3800"/>
        <w:gridCol w:w="3600"/>
      </w:tblGrid>
      <w:tr>
        <w:tc>
          <w:tcPr>
            <w:tcW w:type="dxa" w:w="22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Risque</w:t>
            </w:r>
          </w:p>
        </w:tc>
        <w:tc>
          <w:tcPr>
            <w:tcW w:type="dxa" w:w="38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Description</w:t>
            </w:r>
          </w:p>
        </w:tc>
        <w:tc>
          <w:tcPr>
            <w:tcW w:type="dxa" w:w="36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Mitigation</w:t>
            </w:r>
          </w:p>
        </w:tc>
      </w:tr>
      <w:tr>
        <w:tc>
          <w:tcPr>
            <w:tcW w:type="dxa" w:w="2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Juridique (critique)</w:t>
            </w:r>
          </w:p>
        </w:tc>
        <w:tc>
          <w:tcPr>
            <w:tcW w:type="dxa" w:w="3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Radiation d’office de Goblaire Ltd : bloquerait les comptes developpeur Apple et Google</w:t>
            </w:r>
          </w:p>
        </w:tc>
        <w:tc>
          <w:tcPr>
            <w:tcW w:type="dxa" w:w="36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Regulariser immediatement aupres de Companies House ou constituer une structure de remplacement (une entite RDC facilite aussi les relations Interswitch et fiscales locales)</w:t>
            </w:r>
          </w:p>
        </w:tc>
      </w:tr>
      <w:tr>
        <w:tc>
          <w:tcPr>
            <w:tcW w:type="dxa" w:w="2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Paiement (critique)</w:t>
            </w:r>
          </w:p>
        </w:tc>
        <w:tc>
          <w:tcPr>
            <w:tcW w:type="dxa" w:w="38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Provisioning Mobile Money incomplet chez Interswitch (echecs Z68 constates en production) : aucun encaissement possible</w:t>
            </w:r>
          </w:p>
        </w:tc>
        <w:tc>
          <w:tcPr>
            <w:tcW w:type="dxa" w:w="36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Ticket support deja ouvert ; escalade commerciale ; plan B a instruire (agregateurs alternatifs : Flexpay, MaxiCash, CinetPay) ; le code isole bien la couche paiement, un changement d’agregateur est circonscrit</w:t>
            </w:r>
          </w:p>
        </w:tc>
      </w:tr>
      <w:tr>
        <w:tc>
          <w:tcPr>
            <w:tcW w:type="dxa" w:w="2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Adoption</w:t>
            </w:r>
          </w:p>
        </w:tc>
        <w:tc>
          <w:tcPr>
            <w:tcW w:type="dxa" w:w="3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Probleme de liquidite : trop peu de profils actifs, desequilibre hommes-femmes, churn precoce</w:t>
            </w:r>
          </w:p>
        </w:tc>
        <w:tc>
          <w:tcPr>
            <w:tcW w:type="dxa" w:w="36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Lancement concentre sur Kinshasa ; beta privee avec quotas ; evenements physiques comme moteur ; parrainage anti-fraude deja code ; mesurer la retention des la beta</w:t>
            </w:r>
          </w:p>
        </w:tc>
      </w:tr>
      <w:tr>
        <w:tc>
          <w:tcPr>
            <w:tcW w:type="dxa" w:w="2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Concurrentiel</w:t>
            </w:r>
          </w:p>
        </w:tc>
        <w:tc>
          <w:tcPr>
            <w:tcW w:type="dxa" w:w="38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Heyama reagit (prix, evenements) ou un acteur mondial investit le marche</w:t>
            </w:r>
          </w:p>
        </w:tc>
        <w:tc>
          <w:tcPr>
            <w:tcW w:type="dxa" w:w="36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Vitesse d’execution ; differenciateurs difficiles a copier (evenementiel terrain, confiance) ; fidelisation par la verification</w:t>
            </w:r>
          </w:p>
        </w:tc>
      </w:tr>
      <w:tr>
        <w:tc>
          <w:tcPr>
            <w:tcW w:type="dxa" w:w="2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Reputation et securite des personnes</w:t>
            </w:r>
          </w:p>
        </w:tc>
        <w:tc>
          <w:tcPr>
            <w:tcW w:type="dxa" w:w="3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Arnaques sentimentales, agressions apres rencontre, incident en soiree</w:t>
            </w:r>
          </w:p>
        </w:tc>
        <w:tc>
          <w:tcPr>
            <w:tcW w:type="dxa" w:w="36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Verification humaine, moderation 7 j/7, conseils de securite publies, encadrement des soirees partenaires (charte), assurance evenementielle a souscrire</w:t>
            </w:r>
          </w:p>
        </w:tc>
      </w:tr>
      <w:tr>
        <w:tc>
          <w:tcPr>
            <w:tcW w:type="dxa" w:w="2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Reglementaire</w:t>
            </w:r>
          </w:p>
        </w:tc>
        <w:tc>
          <w:tcPr>
            <w:tcW w:type="dxa" w:w="38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Protection des donnees (loi congolaise et UK GDPR deja pris en compte), obligations CSAE des stores, fiscalite locale sur les paiements</w:t>
            </w:r>
          </w:p>
        </w:tc>
        <w:tc>
          <w:tcPr>
            <w:tcW w:type="dxa" w:w="36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Pages legales et politique enfants deja conformes aux exigences des stores ; s’adjoindre un conseil local pour la fiscalite des encaissements en RDC</w:t>
            </w:r>
          </w:p>
        </w:tc>
      </w:tr>
      <w:tr>
        <w:tc>
          <w:tcPr>
            <w:tcW w:type="dxa" w:w="2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Technique</w:t>
            </w:r>
          </w:p>
        </w:tc>
        <w:tc>
          <w:tcPr>
            <w:tcW w:type="dxa" w:w="3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Dependance a Supabase et aux stores ; montee en charge des tables volumineuses</w:t>
            </w:r>
          </w:p>
        </w:tc>
        <w:tc>
          <w:tcPr>
            <w:tcW w:type="dxa" w:w="36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Migrations et sauvegardes standard Postgres (reversibilite) ; plan de scaling deja documente (index, partitionnement, replicas) ; OTA updates via EAS pour corriger vite</w:t>
            </w:r>
          </w:p>
        </w:tc>
      </w:tr>
      <w:tr>
        <w:tc>
          <w:tcPr>
            <w:tcW w:type="dxa" w:w="22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Cybersecurite</w:t>
            </w:r>
          </w:p>
        </w:tc>
        <w:tc>
          <w:tcPr>
            <w:tcW w:type="dxa" w:w="38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Compromission de comptes, fuite de donnees sensibles (messages, selfies de verification)</w:t>
            </w:r>
          </w:p>
        </w:tc>
        <w:tc>
          <w:tcPr>
            <w:tcW w:type="dxa" w:w="36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RLS systematique deja en place, buckets prives pour les selfies, secrets en coffre-fort ; ajouter : tests d’intrusion avant lancement, politique de divulgation, chiffrement des sauvegardes, MFA sur tous les acces admin</w:t>
            </w:r>
          </w:p>
        </w:tc>
      </w:tr>
      <w:tr>
        <w:tc>
          <w:tcPr>
            <w:tcW w:type="dxa" w:w="22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Financier</w:t>
            </w:r>
          </w:p>
        </w:tc>
        <w:tc>
          <w:tcPr>
            <w:tcW w:type="dxa" w:w="3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Retard de revenus, dependance a un fondateur non remunere</w:t>
            </w:r>
          </w:p>
        </w:tc>
        <w:tc>
          <w:tcPr>
            <w:tcW w:type="dxa" w:w="36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Amorcage de 75 000 USD recherche ; structure de couts compressible ; jalons de depense conditionnes a la traction</w:t>
            </w:r>
          </w:p>
        </w:tc>
      </w:tr>
    </w:tbl>
    <w:p>
      <w:r>
        <w:br w:type="page"/>
      </w:r>
    </w:p>
    <w:p>
      <w:pPr>
        <w:pStyle w:val="Heading1"/>
        <w:spacing w:after="200" w:before="360"/>
      </w:pPr>
      <w:r>
        <w:rPr>
          <w:rFonts w:ascii="Calibri" w:cs="Calibri" w:eastAsia="Calibri" w:hAnsi="Calibri"/>
          <w:b/>
          <w:bCs/>
          <w:color w:val="C0533E"/>
          <w:sz w:val="34"/>
          <w:szCs w:val="34"/>
        </w:rPr>
        <w:t xml:space="preserve">12. Indicateurs de performance (KPI)</w:t>
      </w:r>
    </w:p>
    <w:p>
      <w:pPr>
        <w:spacing w:after="160" w:line="276"/>
      </w:pPr>
      <w:r>
        <w:rPr>
          <w:rFonts w:ascii="Calibri" w:cs="Calibri" w:eastAsia="Calibri" w:hAnsi="Calibri"/>
          <w:color w:val="2E211B"/>
          <w:sz w:val="22"/>
          <w:szCs w:val="22"/>
        </w:rPr>
        <w:t xml:space="preserve">Le backoffice affiche deja les compteurs de base (comptes, activite, economie, courbes sur 14 jours). Les indicateurs ci-dessous constituent le tableau de bord de pilotage cible ; la plupart se calculent par requetes SQL sur les tables existantes (transactions, matchs, messages, vues).</w:t>
      </w:r>
    </w:p>
    <w:tbl>
      <w:tblPr>
        <w:tblW w:type="dxa" w:w="9400"/>
        <w:tblBorders>
          <w:top w:val="single" w:color="CBB9AC" w:sz="4"/>
          <w:left w:val="single" w:color="CBB9AC" w:sz="4"/>
          <w:bottom w:val="single" w:color="CBB9AC" w:sz="4"/>
          <w:right w:val="single" w:color="CBB9AC" w:sz="4"/>
          <w:insideH w:val="single" w:color="CBB9AC" w:sz="4"/>
          <w:insideV w:val="single" w:color="CBB9AC" w:sz="4"/>
        </w:tblBorders>
      </w:tblPr>
      <w:tblGrid>
        <w:gridCol w:w="2600"/>
        <w:gridCol w:w="4000"/>
        <w:gridCol w:w="2800"/>
      </w:tblGrid>
      <w:tr>
        <w:tc>
          <w:tcPr>
            <w:tcW w:type="dxa" w:w="26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KPI</w:t>
            </w:r>
          </w:p>
        </w:tc>
        <w:tc>
          <w:tcPr>
            <w:tcW w:type="dxa" w:w="40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Definition et mesure</w:t>
            </w:r>
          </w:p>
        </w:tc>
        <w:tc>
          <w:tcPr>
            <w:tcW w:type="dxa" w:w="28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Cible annee 1</w:t>
            </w:r>
          </w:p>
        </w:tc>
      </w:tr>
      <w:tr>
        <w:tc>
          <w:tcPr>
            <w:tcW w:type="dxa" w:w="26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Actifs mensuels et hebdomadaires (MAU / WAU)</w:t>
            </w:r>
          </w:p>
        </w:tc>
        <w:tc>
          <w:tcPr>
            <w:tcW w:type="dxa" w:w="40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Comptes ayant ouvert l’app sur la periode (la colonne de derniere activite existe deja)</w:t>
            </w:r>
          </w:p>
        </w:tc>
        <w:tc>
          <w:tcPr>
            <w:tcW w:type="dxa" w:w="2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10 000 MAU a 12 mois (realiste)</w:t>
            </w:r>
          </w:p>
        </w:tc>
      </w:tr>
      <w:tr>
        <w:tc>
          <w:tcPr>
            <w:tcW w:type="dxa" w:w="26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Ratio femmes / hommes actifs</w:t>
            </w:r>
          </w:p>
        </w:tc>
        <w:tc>
          <w:tcPr>
            <w:tcW w:type="dxa" w:w="40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Part de profils feminins actifs ; determinant de la liquidite</w:t>
            </w:r>
          </w:p>
        </w:tc>
        <w:tc>
          <w:tcPr>
            <w:tcW w:type="dxa" w:w="28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Plus de 35 % de femmes</w:t>
            </w:r>
          </w:p>
        </w:tc>
      </w:tr>
      <w:tr>
        <w:tc>
          <w:tcPr>
            <w:tcW w:type="dxa" w:w="26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Taux de verification</w:t>
            </w:r>
          </w:p>
        </w:tc>
        <w:tc>
          <w:tcPr>
            <w:tcW w:type="dxa" w:w="40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Comptes verifies / comptes actifs ; proxy de confiance et d’engagement</w:t>
            </w:r>
          </w:p>
        </w:tc>
        <w:tc>
          <w:tcPr>
            <w:tcW w:type="dxa" w:w="2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Plus de 30 %</w:t>
            </w:r>
          </w:p>
        </w:tc>
      </w:tr>
      <w:tr>
        <w:tc>
          <w:tcPr>
            <w:tcW w:type="dxa" w:w="26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Retention J1 / J7 / J30</w:t>
            </w:r>
          </w:p>
        </w:tc>
        <w:tc>
          <w:tcPr>
            <w:tcW w:type="dxa" w:w="40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Cohortes d’inscription revenant a J+1, J+7, J+30</w:t>
            </w:r>
          </w:p>
        </w:tc>
        <w:tc>
          <w:tcPr>
            <w:tcW w:type="dxa" w:w="28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J30 superieur a 15 %</w:t>
            </w:r>
          </w:p>
        </w:tc>
      </w:tr>
      <w:tr>
        <w:tc>
          <w:tcPr>
            <w:tcW w:type="dxa" w:w="26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Taux de match</w:t>
            </w:r>
          </w:p>
        </w:tc>
        <w:tc>
          <w:tcPr>
            <w:tcW w:type="dxa" w:w="40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Actifs obtenant au moins un match par semaine</w:t>
            </w:r>
          </w:p>
        </w:tc>
        <w:tc>
          <w:tcPr>
            <w:tcW w:type="dxa" w:w="2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Plus de 40 %</w:t>
            </w:r>
          </w:p>
        </w:tc>
      </w:tr>
      <w:tr>
        <w:tc>
          <w:tcPr>
            <w:tcW w:type="dxa" w:w="26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Conversion payeur</w:t>
            </w:r>
          </w:p>
        </w:tc>
        <w:tc>
          <w:tcPr>
            <w:tcW w:type="dxa" w:w="40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Payeurs uniques du mois / MAU</w:t>
            </w:r>
          </w:p>
        </w:tc>
        <w:tc>
          <w:tcPr>
            <w:tcW w:type="dxa" w:w="28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2 a 3 %</w:t>
            </w:r>
          </w:p>
        </w:tc>
      </w:tr>
      <w:tr>
        <w:tc>
          <w:tcPr>
            <w:tcW w:type="dxa" w:w="26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ARPPU et ARPU</w:t>
            </w:r>
          </w:p>
        </w:tc>
        <w:tc>
          <w:tcPr>
            <w:tcW w:type="dxa" w:w="40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CA du mois / payeurs ; CA du mois / MAU</w:t>
            </w:r>
          </w:p>
        </w:tc>
        <w:tc>
          <w:tcPr>
            <w:tcW w:type="dxa" w:w="2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ARPPU environ 10 000 CDF</w:t>
            </w:r>
          </w:p>
        </w:tc>
      </w:tr>
      <w:tr>
        <w:tc>
          <w:tcPr>
            <w:tcW w:type="dxa" w:w="26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CAC</w:t>
            </w:r>
          </w:p>
        </w:tc>
        <w:tc>
          <w:tcPr>
            <w:tcW w:type="dxa" w:w="40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Depenses d’acquisition / nouveaux inscrits actives (inscrits ayant termine l’onboarding)</w:t>
            </w:r>
          </w:p>
        </w:tc>
        <w:tc>
          <w:tcPr>
            <w:tcW w:type="dxa" w:w="28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Moins de 1 USD par inscrit active</w:t>
            </w:r>
          </w:p>
        </w:tc>
      </w:tr>
      <w:tr>
        <w:tc>
          <w:tcPr>
            <w:tcW w:type="dxa" w:w="26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LTV</w:t>
            </w:r>
          </w:p>
        </w:tc>
        <w:tc>
          <w:tcPr>
            <w:tcW w:type="dxa" w:w="40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ARPPU x duree de vie payeur estimee x conversion ; a affiner par cohortes</w:t>
            </w:r>
          </w:p>
        </w:tc>
        <w:tc>
          <w:tcPr>
            <w:tcW w:type="dxa" w:w="2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LTV / CAC superieur a 3</w:t>
            </w:r>
          </w:p>
        </w:tc>
      </w:tr>
      <w:tr>
        <w:tc>
          <w:tcPr>
            <w:tcW w:type="dxa" w:w="26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Churn payeur</w:t>
            </w:r>
          </w:p>
        </w:tc>
        <w:tc>
          <w:tcPr>
            <w:tcW w:type="dxa" w:w="40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Payeurs du mois M-1 sans achat en M</w:t>
            </w:r>
          </w:p>
        </w:tc>
        <w:tc>
          <w:tcPr>
            <w:tcW w:type="dxa" w:w="28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Moins de 40 % par mois</w:t>
            </w:r>
          </w:p>
        </w:tc>
      </w:tr>
      <w:tr>
        <w:tc>
          <w:tcPr>
            <w:tcW w:type="dxa" w:w="26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Revenus par source</w:t>
            </w:r>
          </w:p>
        </w:tc>
        <w:tc>
          <w:tcPr>
            <w:tcW w:type="dxa" w:w="40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Pieces / Incognito / soirees (les transactions sont deja typees en base)</w:t>
            </w:r>
          </w:p>
        </w:tc>
        <w:tc>
          <w:tcPr>
            <w:tcW w:type="dxa" w:w="2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Suivi mensuel</w:t>
            </w:r>
          </w:p>
        </w:tc>
      </w:tr>
      <w:tr>
        <w:tc>
          <w:tcPr>
            <w:tcW w:type="dxa" w:w="26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Sante moderation</w:t>
            </w:r>
          </w:p>
        </w:tc>
        <w:tc>
          <w:tcPr>
            <w:tcW w:type="dxa" w:w="40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Delai median de traitement des signalements ; part des dossiers mineurs traites en moins d’une heure</w:t>
            </w:r>
          </w:p>
        </w:tc>
        <w:tc>
          <w:tcPr>
            <w:tcW w:type="dxa" w:w="28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100 % des dossiers mineurs sous 1 h</w:t>
            </w:r>
          </w:p>
        </w:tc>
      </w:tr>
      <w:tr>
        <w:tc>
          <w:tcPr>
            <w:tcW w:type="dxa" w:w="26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Taux de reussite paiement</w:t>
            </w:r>
          </w:p>
        </w:tc>
        <w:tc>
          <w:tcPr>
            <w:tcW w:type="dxa" w:w="40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Commandes reglees / commandes initiees (table des commandes deja en place)</w:t>
            </w:r>
          </w:p>
        </w:tc>
        <w:tc>
          <w:tcPr>
            <w:tcW w:type="dxa" w:w="28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Plus de 85 %</w:t>
            </w:r>
          </w:p>
        </w:tc>
      </w:tr>
    </w:tbl>
    <w:p>
      <w:r>
        <w:br w:type="page"/>
      </w:r>
    </w:p>
    <w:p>
      <w:pPr>
        <w:pStyle w:val="Heading1"/>
        <w:spacing w:after="200" w:before="360"/>
      </w:pPr>
      <w:r>
        <w:rPr>
          <w:rFonts w:ascii="Calibri" w:cs="Calibri" w:eastAsia="Calibri" w:hAnsi="Calibri"/>
          <w:b/>
          <w:bCs/>
          <w:color w:val="C0533E"/>
          <w:sz w:val="34"/>
          <w:szCs w:val="34"/>
        </w:rPr>
        <w:t xml:space="preserve">13. Roadmap business sur 36 mois</w:t>
      </w:r>
    </w:p>
    <w:tbl>
      <w:tblPr>
        <w:tblW w:type="dxa" w:w="9600"/>
        <w:tblBorders>
          <w:top w:val="single" w:color="CBB9AC" w:sz="4"/>
          <w:left w:val="single" w:color="CBB9AC" w:sz="4"/>
          <w:bottom w:val="single" w:color="CBB9AC" w:sz="4"/>
          <w:right w:val="single" w:color="CBB9AC" w:sz="4"/>
          <w:insideH w:val="single" w:color="CBB9AC" w:sz="4"/>
          <w:insideV w:val="single" w:color="CBB9AC" w:sz="4"/>
        </w:tblBorders>
      </w:tblPr>
      <w:tblGrid>
        <w:gridCol w:w="1600"/>
        <w:gridCol w:w="2700"/>
        <w:gridCol w:w="2700"/>
        <w:gridCol w:w="2600"/>
      </w:tblGrid>
      <w:tr>
        <w:tc>
          <w:tcPr>
            <w:tcW w:type="dxa" w:w="16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Periode</w:t>
            </w:r>
          </w:p>
        </w:tc>
        <w:tc>
          <w:tcPr>
            <w:tcW w:type="dxa" w:w="27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Produit et operations</w:t>
            </w:r>
          </w:p>
        </w:tc>
        <w:tc>
          <w:tcPr>
            <w:tcW w:type="dxa" w:w="27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Commercial et utilisateurs</w:t>
            </w:r>
          </w:p>
        </w:tc>
        <w:tc>
          <w:tcPr>
            <w:tcW w:type="dxa" w:w="2600"/>
            <w:shd w:fill="2E211B"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Finances et equipe</w:t>
            </w:r>
          </w:p>
        </w:tc>
      </w:tr>
      <w:tr>
        <w:tc>
          <w:tcPr>
            <w:tcW w:type="dxa" w:w="16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T1</w:t>
            </w:r>
          </w:p>
        </w:tc>
        <w:tc>
          <w:tcPr>
            <w:tcW w:type="dxa" w:w="27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Societe regularisee ; paiement production debloque ; publication Google Play ; push actives</w:t>
            </w:r>
          </w:p>
        </w:tc>
        <w:tc>
          <w:tcPr>
            <w:tcW w:type="dxa" w:w="27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Beta privee Kinshasa, 3 000 profils ; 1re soiree de lancement</w:t>
            </w:r>
          </w:p>
        </w:tc>
        <w:tc>
          <w:tcPr>
            <w:tcW w:type="dxa" w:w="26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Amorcage recherche ; 2 moderateurs recrutes</w:t>
            </w:r>
          </w:p>
        </w:tc>
      </w:tr>
      <w:tr>
        <w:tc>
          <w:tcPr>
            <w:tcW w:type="dxa" w:w="16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T2</w:t>
            </w:r>
          </w:p>
        </w:tc>
        <w:tc>
          <w:tcPr>
            <w:tcW w:type="dxa" w:w="27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Publication App Store ; OAuth Google/Apple ; domaine et e-mails propres</w:t>
            </w:r>
          </w:p>
        </w:tc>
        <w:tc>
          <w:tcPr>
            <w:tcW w:type="dxa" w:w="27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Lancement public ; 10 000 telechargements ; 1 soiree/mois</w:t>
            </w:r>
          </w:p>
        </w:tc>
        <w:tc>
          <w:tcPr>
            <w:tcW w:type="dxa" w:w="26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Premiers revenus ; CA mensuel vise 1 500 USD</w:t>
            </w:r>
          </w:p>
        </w:tc>
      </w:tr>
      <w:tr>
        <w:tc>
          <w:tcPr>
            <w:tcW w:type="dxa" w:w="16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T3</w:t>
            </w:r>
          </w:p>
        </w:tc>
        <w:tc>
          <w:tcPr>
            <w:tcW w:type="dxa" w:w="27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RevenueCat (diaspora) ; tableau de bord analytique</w:t>
            </w:r>
          </w:p>
        </w:tc>
        <w:tc>
          <w:tcPr>
            <w:tcW w:type="dxa" w:w="27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20 000 MAU vises ; partenariats bars et campus</w:t>
            </w:r>
          </w:p>
        </w:tc>
        <w:tc>
          <w:tcPr>
            <w:tcW w:type="dxa" w:w="26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Community manager ; CA mensuel 3 000 USD</w:t>
            </w:r>
          </w:p>
        </w:tc>
      </w:tr>
      <w:tr>
        <w:tc>
          <w:tcPr>
            <w:tcW w:type="dxa" w:w="16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T4</w:t>
            </w:r>
          </w:p>
        </w:tc>
        <w:tc>
          <w:tcPr>
            <w:tcW w:type="dxa" w:w="27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Commission billetterie B2B ; optimisations retention</w:t>
            </w:r>
          </w:p>
        </w:tc>
        <w:tc>
          <w:tcPr>
            <w:tcW w:type="dxa" w:w="27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30 000 MAU ; 2 soirees partenaires/mois</w:t>
            </w:r>
          </w:p>
        </w:tc>
        <w:tc>
          <w:tcPr>
            <w:tcW w:type="dxa" w:w="26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CA mensuel 5 000 USD ; point mort en vue</w:t>
            </w:r>
          </w:p>
        </w:tc>
      </w:tr>
      <w:tr>
        <w:tc>
          <w:tcPr>
            <w:tcW w:type="dxa" w:w="16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Annee 2 (T5-T8)</w:t>
            </w:r>
          </w:p>
        </w:tc>
        <w:tc>
          <w:tcPr>
            <w:tcW w:type="dxa" w:w="27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Boosts de visibilite ; pre-filtrage photo automatise ; durcissement anti-fraude</w:t>
            </w:r>
          </w:p>
        </w:tc>
        <w:tc>
          <w:tcPr>
            <w:tcW w:type="dxa" w:w="27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Extension Lubumbashi puis Goma ; 50 000 a 100 000 MAU ; marque evenementielle etablie</w:t>
            </w:r>
          </w:p>
        </w:tc>
        <w:tc>
          <w:tcPr>
            <w:tcW w:type="dxa" w:w="2600"/>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Point mort atteint ; equipe de 5 a 7 personnes ; serie d’amorcage optionnelle pour accelerer</w:t>
            </w:r>
          </w:p>
        </w:tc>
      </w:tr>
      <w:tr>
        <w:tc>
          <w:tcPr>
            <w:tcW w:type="dxa" w:w="16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Annee 3 (T9-T12)</w:t>
            </w:r>
          </w:p>
        </w:tc>
        <w:tc>
          <w:tcPr>
            <w:tcW w:type="dxa" w:w="27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Fonctionnalites de differenciation (a arbitrer : appels, stories) ; industrialisation de la moderation</w:t>
            </w:r>
          </w:p>
        </w:tc>
        <w:tc>
          <w:tcPr>
            <w:tcW w:type="dxa" w:w="27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150 000 a 250 000 MAU ; 4 a 6 villes RDC ; etude d’entree dans 1 a 2 pays voisins</w:t>
            </w:r>
          </w:p>
        </w:tc>
        <w:tc>
          <w:tcPr>
            <w:tcW w:type="dxa" w:w="2600"/>
            <w:shd w:fill="FBF7F1" w:val="clear"/>
            <w:tcMar>
              <w:top w:type="dxa" w:w="80"/>
              <w:left w:type="dxa" w:w="120"/>
              <w:bottom w:type="dxa" w:w="80"/>
              <w:right w:type="dxa" w:w="120"/>
            </w:tcMar>
          </w:tcPr>
          <w:p>
            <w:pPr>
              <w:spacing w:after="0" w:line="252"/>
            </w:pPr>
            <w:r>
              <w:rPr>
                <w:rFonts w:ascii="Calibri" w:cs="Calibri" w:eastAsia="Calibri" w:hAnsi="Calibri"/>
                <w:b w:val="false"/>
                <w:bCs w:val="false"/>
                <w:color w:val="2E211B"/>
                <w:sz w:val="20"/>
                <w:szCs w:val="20"/>
              </w:rPr>
              <w:t xml:space="preserve">CA annuel vise 250 000 USD ou plus ; marge nette superieure a 40 % ; equipe de 8 a 12 personnes</w:t>
            </w:r>
          </w:p>
        </w:tc>
      </w:tr>
    </w:tbl>
    <w:p>
      <w:r>
        <w:br w:type="page"/>
      </w:r>
    </w:p>
    <w:p>
      <w:pPr>
        <w:pStyle w:val="Heading1"/>
        <w:spacing w:after="200" w:before="360"/>
      </w:pPr>
      <w:r>
        <w:rPr>
          <w:rFonts w:ascii="Calibri" w:cs="Calibri" w:eastAsia="Calibri" w:hAnsi="Calibri"/>
          <w:b/>
          <w:bCs/>
          <w:color w:val="C0533E"/>
          <w:sz w:val="34"/>
          <w:szCs w:val="34"/>
        </w:rPr>
        <w:t xml:space="preserve">14. Resume executif</w:t>
      </w:r>
    </w:p>
    <w:p>
      <w:pPr>
        <w:spacing w:after="160" w:line="276"/>
      </w:pPr>
      <w:r>
        <w:rPr>
          <w:rFonts w:ascii="Calibri" w:cs="Calibri" w:eastAsia="Calibri" w:hAnsi="Calibri"/>
          <w:color w:val="2E211B"/>
          <w:sz w:val="22"/>
          <w:szCs w:val="22"/>
        </w:rPr>
        <w:t xml:space="preserve">Le probleme. En RDC, pays francophone de plus de 100 millions d'habitants a la population tres jeune, les celibataires urbains n'ont pas d'outil de rencontre fiable : les applications mondiales exigent une carte bancaire, ignorent le francais et les villes congolaises, et ne verifient personne ; les reseaux sociaux generalistes exposent aux faux profils et aux arnaques.</w:t>
      </w:r>
    </w:p>
    <w:p>
      <w:pPr>
        <w:spacing w:after="160" w:line="276"/>
      </w:pPr>
      <w:r>
        <w:rPr>
          <w:rFonts w:ascii="Calibri" w:cs="Calibri" w:eastAsia="Calibri" w:hAnsi="Calibri"/>
          <w:color w:val="2E211B"/>
          <w:sz w:val="22"/>
          <w:szCs w:val="22"/>
        </w:rPr>
        <w:t xml:space="preserve">La solution. Dowe est une application de rencontre complete, concue pour la RDC : en francais, organisee par ville, payable en francs congolais par Mobile Money (Airtel, Orange, M-Pesa), avec des profils verifies par des humains, une moderation professionnelle incluant la protection des mineurs, et un pont unique vers la vie reelle : des soirees physiques a entree payante par QR code. Le produit est termine et fonctionnel en environnement de test : 30 ecrans, messagerie temps reel riche, economie de micro-transactions calibree, backoffice de moderation de 12 sections, site et pages legales conformes aux exigences des stores.</w:t>
      </w:r>
    </w:p>
    <w:p>
      <w:pPr>
        <w:spacing w:after="160" w:line="276"/>
      </w:pPr>
      <w:r>
        <w:rPr>
          <w:rFonts w:ascii="Calibri" w:cs="Calibri" w:eastAsia="Calibri" w:hAnsi="Calibri"/>
          <w:color w:val="2E211B"/>
          <w:sz w:val="22"/>
          <w:szCs w:val="22"/>
        </w:rPr>
        <w:t xml:space="preserve">Le marche. Marche adressable estime entre 400 000 et 1 200 000 celibataires urbains connectes (hypothese a confirmer), quasi vierge : un seul acteur local etabli (Heyama), dont les prix valident la disposition a payer. Dowe se positionne environ 7 % moins cher a action egale, avec des differenciateurs structurels.</w:t>
      </w:r>
    </w:p>
    <w:p>
      <w:pPr>
        <w:spacing w:after="160" w:line="276"/>
      </w:pPr>
      <w:r>
        <w:rPr>
          <w:rFonts w:ascii="Calibri" w:cs="Calibri" w:eastAsia="Calibri" w:hAnsi="Calibri"/>
          <w:color w:val="2E211B"/>
          <w:sz w:val="22"/>
          <w:szCs w:val="22"/>
        </w:rPr>
        <w:t xml:space="preserve">Le modele economique. Freemium a micro-transactions (packs de pieces de 4 500 a 44 300 CDF), abonnement Incognito (110 900 a 287 700 CDF), billetterie evenementielle en francs, puis rail international pour la diaspora. Marge brute superieure a 95 % sur le canal Mobile Money.</w:t>
      </w:r>
    </w:p>
    <w:p>
      <w:pPr>
        <w:spacing w:after="160" w:line="276"/>
      </w:pPr>
      <w:r>
        <w:rPr>
          <w:rFonts w:ascii="Calibri" w:cs="Calibri" w:eastAsia="Calibri" w:hAnsi="Calibri"/>
          <w:color w:val="2E211B"/>
          <w:sz w:val="22"/>
          <w:szCs w:val="22"/>
        </w:rPr>
        <w:t xml:space="preserve">L'avantage concurrentiel. Un produit au niveau du leader avec une structure de couts quasi nulle (architecture serverless), le paiement local integre, une verification qui reduit les faux profils tout en poussant l'engagement, et l'evenementiel physique comme machine d'acquisition que personne d'autre n'opere.</w:t>
      </w:r>
    </w:p>
    <w:p>
      <w:pPr>
        <w:spacing w:after="160" w:line="276"/>
      </w:pPr>
      <w:r>
        <w:rPr>
          <w:rFonts w:ascii="Calibri" w:cs="Calibri" w:eastAsia="Calibri" w:hAnsi="Calibri"/>
          <w:color w:val="2E211B"/>
          <w:sz w:val="22"/>
          <w:szCs w:val="22"/>
        </w:rPr>
        <w:t xml:space="preserve">Les objectifs. Lancement a Kinshasa des le deblocage du paiement et la publication sur les stores ; 10 000 actifs mensuels a 12 mois ; point mort dans le courant de l'annee 2 ; 150 000 actifs et environ 265 000 USD de chiffre d'affaires en annee 3 (scenario realiste).</w:t>
      </w:r>
    </w:p>
    <w:p>
      <w:pPr>
        <w:spacing w:after="160" w:line="276"/>
      </w:pPr>
      <w:r>
        <w:rPr>
          <w:rFonts w:ascii="Calibri" w:cs="Calibri" w:eastAsia="Calibri" w:hAnsi="Calibri"/>
          <w:color w:val="2E211B"/>
          <w:sz w:val="22"/>
          <w:szCs w:val="22"/>
        </w:rPr>
        <w:t xml:space="preserve">Le besoin. 75 000 USD d'amorcage pour 18 a 24 mois : 47 % en marketing et evenementiel, 27 % en equipe (moderation, support, community management), le reste en produit, infrastructure et juridique. Deux prealables sont identifies et traites en priorite absolue : la regularisation de la societe editrice et le deblocage du paiement Mobile Money en production, en cours aupres d'Interswitch.</w:t>
      </w:r>
    </w:p>
    <w:p>
      <w:pPr>
        <w:spacing w:after="160" w:line="276"/>
      </w:pPr>
      <w:r>
        <w:rPr>
          <w:rFonts w:ascii="Calibri" w:cs="Calibri" w:eastAsia="Calibri" w:hAnsi="Calibri"/>
          <w:color w:val="2E211B"/>
          <w:sz w:val="22"/>
          <w:szCs w:val="22"/>
        </w:rPr>
        <w:t xml:space="preserve">Le potentiel. Une position de leader en RDC ouvre l'Afrique francophone (meme langue, memes rails de paiement) et la diaspora : le scenario optimiste atteint 1 000 000 USD de chiffre d'affaires en annee 3 avec 55 % de marge nette. Le risque principal n'est pas technique (le produit existe) mais d'execution commerciale : atteindre la densite d'utilisateurs critique a Kinshasa avant la riposte du concurrent.</w:t>
      </w:r>
    </w:p>
    <w:p>
      <w:r>
        <w:br w:type="page"/>
      </w:r>
    </w:p>
    <w:p>
      <w:pPr>
        <w:pStyle w:val="Heading1"/>
        <w:spacing w:after="200" w:before="360"/>
      </w:pPr>
      <w:r>
        <w:rPr>
          <w:rFonts w:ascii="Calibri" w:cs="Calibri" w:eastAsia="Calibri" w:hAnsi="Calibri"/>
          <w:b/>
          <w:bCs/>
          <w:color w:val="C0533E"/>
          <w:sz w:val="34"/>
          <w:szCs w:val="34"/>
        </w:rPr>
        <w:t xml:space="preserve">15. Plan d’action des 90 prochains jours</w:t>
      </w:r>
    </w:p>
    <w:p>
      <w:pPr>
        <w:pStyle w:val="Heading2"/>
        <w:spacing w:after="160" w:before="280"/>
      </w:pPr>
      <w:r>
        <w:rPr>
          <w:rFonts w:ascii="Calibri" w:cs="Calibri" w:eastAsia="Calibri" w:hAnsi="Calibri"/>
          <w:b/>
          <w:bCs/>
          <w:color w:val="2E211B"/>
          <w:sz w:val="27"/>
          <w:szCs w:val="27"/>
        </w:rPr>
        <w:t xml:space="preserve">Semaine 1 a 2 : lever les deux blocages critiques</w:t>
      </w:r>
    </w:p>
    <w:p>
      <w:pPr>
        <w:pStyle w:val="ListParagraph"/>
        <w:numPr>
          <w:ilvl w:val="0"/>
          <w:numId w:val="2"/>
        </w:numPr>
        <w:spacing w:after="80" w:line="264"/>
      </w:pPr>
      <w:r>
        <w:rPr>
          <w:rFonts w:ascii="Calibri" w:cs="Calibri" w:eastAsia="Calibri" w:hAnsi="Calibri"/>
          <w:color w:val="2E211B"/>
          <w:sz w:val="22"/>
          <w:szCs w:val="22"/>
        </w:rPr>
        <w:t xml:space="preserve">Regulariser Goblaire Ltd aupres de Companies House (ou decider et lancer la structure de remplacement) : prealable aux comptes stores</w:t>
      </w:r>
    </w:p>
    <w:p>
      <w:pPr>
        <w:pStyle w:val="ListParagraph"/>
        <w:numPr>
          <w:ilvl w:val="0"/>
          <w:numId w:val="2"/>
        </w:numPr>
        <w:spacing w:after="80" w:line="264"/>
      </w:pPr>
      <w:r>
        <w:rPr>
          <w:rFonts w:ascii="Calibri" w:cs="Calibri" w:eastAsia="Calibri" w:hAnsi="Calibri"/>
          <w:color w:val="2E211B"/>
          <w:sz w:val="22"/>
          <w:szCs w:val="22"/>
        </w:rPr>
        <w:t xml:space="preserve">Relancer et escalader le ticket Interswitch sur le provisioning Mobile Money ; en parallele, demander des acces de test a un agregateur alternatif pour disposer d’un plan B chiffre</w:t>
      </w:r>
    </w:p>
    <w:p>
      <w:pPr>
        <w:pStyle w:val="ListParagraph"/>
        <w:numPr>
          <w:ilvl w:val="0"/>
          <w:numId w:val="2"/>
        </w:numPr>
        <w:spacing w:after="80" w:line="264"/>
      </w:pPr>
      <w:r>
        <w:rPr>
          <w:rFonts w:ascii="Calibri" w:cs="Calibri" w:eastAsia="Calibri" w:hAnsi="Calibri"/>
          <w:color w:val="2E211B"/>
          <w:sz w:val="22"/>
          <w:szCs w:val="22"/>
        </w:rPr>
        <w:t xml:space="preserve">Creer la boite support reelle et acheter le domaine definitif (e-mails Brevo authentifies sur domaine propre)</w:t>
      </w:r>
    </w:p>
    <w:p>
      <w:pPr>
        <w:pStyle w:val="Heading2"/>
        <w:spacing w:after="160" w:before="280"/>
      </w:pPr>
      <w:r>
        <w:rPr>
          <w:rFonts w:ascii="Calibri" w:cs="Calibri" w:eastAsia="Calibri" w:hAnsi="Calibri"/>
          <w:b/>
          <w:bCs/>
          <w:color w:val="2E211B"/>
          <w:sz w:val="27"/>
          <w:szCs w:val="27"/>
        </w:rPr>
        <w:t xml:space="preserve">Semaine 3 a 6 : preparer la distribution</w:t>
      </w:r>
    </w:p>
    <w:p>
      <w:pPr>
        <w:pStyle w:val="ListParagraph"/>
        <w:numPr>
          <w:ilvl w:val="0"/>
          <w:numId w:val="2"/>
        </w:numPr>
        <w:spacing w:after="80" w:line="264"/>
      </w:pPr>
      <w:r>
        <w:rPr>
          <w:rFonts w:ascii="Calibri" w:cs="Calibri" w:eastAsia="Calibri" w:hAnsi="Calibri"/>
          <w:color w:val="2E211B"/>
          <w:sz w:val="22"/>
          <w:szCs w:val="22"/>
        </w:rPr>
        <w:t xml:space="preserve">Trancher le nom definitif et finaliser le branding (icone, splash) ; le code est concu pour ce renommage</w:t>
      </w:r>
    </w:p>
    <w:p>
      <w:pPr>
        <w:pStyle w:val="ListParagraph"/>
        <w:numPr>
          <w:ilvl w:val="0"/>
          <w:numId w:val="2"/>
        </w:numPr>
        <w:spacing w:after="80" w:line="264"/>
      </w:pPr>
      <w:r>
        <w:rPr>
          <w:rFonts w:ascii="Calibri" w:cs="Calibri" w:eastAsia="Calibri" w:hAnsi="Calibri"/>
          <w:color w:val="2E211B"/>
          <w:sz w:val="22"/>
          <w:szCs w:val="22"/>
        </w:rPr>
        <w:t xml:space="preserve">Creer les comptes developpeur Apple et Google ; initialiser EAS ; produire un development build et tester les notifications push sur appareils reels</w:t>
      </w:r>
    </w:p>
    <w:p>
      <w:pPr>
        <w:pStyle w:val="ListParagraph"/>
        <w:numPr>
          <w:ilvl w:val="0"/>
          <w:numId w:val="2"/>
        </w:numPr>
        <w:spacing w:after="80" w:line="264"/>
      </w:pPr>
      <w:r>
        <w:rPr>
          <w:rFonts w:ascii="Calibri" w:cs="Calibri" w:eastAsia="Calibri" w:hAnsi="Calibri"/>
          <w:color w:val="2E211B"/>
          <w:sz w:val="22"/>
          <w:szCs w:val="22"/>
        </w:rPr>
        <w:t xml:space="preserve">Configurer la connexion Google et Apple (OAuth) ; passer Brevo sur une offre payante</w:t>
      </w:r>
    </w:p>
    <w:p>
      <w:pPr>
        <w:pStyle w:val="ListParagraph"/>
        <w:numPr>
          <w:ilvl w:val="0"/>
          <w:numId w:val="2"/>
        </w:numPr>
        <w:spacing w:after="80" w:line="264"/>
      </w:pPr>
      <w:r>
        <w:rPr>
          <w:rFonts w:ascii="Calibri" w:cs="Calibri" w:eastAsia="Calibri" w:hAnsi="Calibri"/>
          <w:color w:val="2E211B"/>
          <w:sz w:val="22"/>
          <w:szCs w:val="22"/>
        </w:rPr>
        <w:t xml:space="preserve">Remettre les soldes et donnees de test en etat de production (le solde du compte de test doit etre normalise avant lancement)</w:t>
      </w:r>
    </w:p>
    <w:p>
      <w:pPr>
        <w:pStyle w:val="ListParagraph"/>
        <w:numPr>
          <w:ilvl w:val="0"/>
          <w:numId w:val="2"/>
        </w:numPr>
        <w:spacing w:after="80" w:line="264"/>
      </w:pPr>
      <w:r>
        <w:rPr>
          <w:rFonts w:ascii="Calibri" w:cs="Calibri" w:eastAsia="Calibri" w:hAnsi="Calibri"/>
          <w:color w:val="2E211B"/>
          <w:sz w:val="22"/>
          <w:szCs w:val="22"/>
        </w:rPr>
        <w:t xml:space="preserve">Realiser un test d’intrusion leger et une revue de securite externe (les fondations RLS sont bonnes, il faut une validation independante)</w:t>
      </w:r>
    </w:p>
    <w:p>
      <w:pPr>
        <w:pStyle w:val="Heading2"/>
        <w:spacing w:after="160" w:before="280"/>
      </w:pPr>
      <w:r>
        <w:rPr>
          <w:rFonts w:ascii="Calibri" w:cs="Calibri" w:eastAsia="Calibri" w:hAnsi="Calibri"/>
          <w:b/>
          <w:bCs/>
          <w:color w:val="2E211B"/>
          <w:sz w:val="27"/>
          <w:szCs w:val="27"/>
        </w:rPr>
        <w:t xml:space="preserve">Semaine 7 a 10 : beta privee a Kinshasa</w:t>
      </w:r>
    </w:p>
    <w:p>
      <w:pPr>
        <w:pStyle w:val="ListParagraph"/>
        <w:numPr>
          <w:ilvl w:val="0"/>
          <w:numId w:val="2"/>
        </w:numPr>
        <w:spacing w:after="80" w:line="264"/>
      </w:pPr>
      <w:r>
        <w:rPr>
          <w:rFonts w:ascii="Calibri" w:cs="Calibri" w:eastAsia="Calibri" w:hAnsi="Calibri"/>
          <w:color w:val="2E211B"/>
          <w:sz w:val="22"/>
          <w:szCs w:val="22"/>
        </w:rPr>
        <w:t xml:space="preserve">Publier en test ferme sur Google Play (la cible est majoritairement Android) ; TestFlight ensuite</w:t>
      </w:r>
    </w:p>
    <w:p>
      <w:pPr>
        <w:pStyle w:val="ListParagraph"/>
        <w:numPr>
          <w:ilvl w:val="0"/>
          <w:numId w:val="2"/>
        </w:numPr>
        <w:spacing w:after="80" w:line="264"/>
      </w:pPr>
      <w:r>
        <w:rPr>
          <w:rFonts w:ascii="Calibri" w:cs="Calibri" w:eastAsia="Calibri" w:hAnsi="Calibri"/>
          <w:color w:val="2E211B"/>
          <w:sz w:val="22"/>
          <w:szCs w:val="22"/>
        </w:rPr>
        <w:t xml:space="preserve">Recruter 10 a 20 ambassadeurs (campus, influenceurs micro-locaux) ; objectif 2 000 a 5 000 profils reels avec un ratio femmes superieur a 35 %</w:t>
      </w:r>
    </w:p>
    <w:p>
      <w:pPr>
        <w:pStyle w:val="ListParagraph"/>
        <w:numPr>
          <w:ilvl w:val="0"/>
          <w:numId w:val="2"/>
        </w:numPr>
        <w:spacing w:after="80" w:line="264"/>
      </w:pPr>
      <w:r>
        <w:rPr>
          <w:rFonts w:ascii="Calibri" w:cs="Calibri" w:eastAsia="Calibri" w:hAnsi="Calibri"/>
          <w:color w:val="2E211B"/>
          <w:sz w:val="22"/>
          <w:szCs w:val="22"/>
        </w:rPr>
        <w:t xml:space="preserve">Recruter et former 2 moderateurs sur le guide de moderation existant ; verifier le respect du delai d’une heure sur les dossiers sensibles</w:t>
      </w:r>
    </w:p>
    <w:p>
      <w:pPr>
        <w:pStyle w:val="ListParagraph"/>
        <w:numPr>
          <w:ilvl w:val="0"/>
          <w:numId w:val="2"/>
        </w:numPr>
        <w:spacing w:after="80" w:line="264"/>
      </w:pPr>
      <w:r>
        <w:rPr>
          <w:rFonts w:ascii="Calibri" w:cs="Calibri" w:eastAsia="Calibri" w:hAnsi="Calibri"/>
          <w:color w:val="2E211B"/>
          <w:sz w:val="22"/>
          <w:szCs w:val="22"/>
        </w:rPr>
        <w:t xml:space="preserve">Des le paiement debloque : tester des achats reels de bout en bout sur les trois operateurs (Airtel, Orange, M-Pesa)</w:t>
      </w:r>
    </w:p>
    <w:p>
      <w:pPr>
        <w:pStyle w:val="Heading2"/>
        <w:spacing w:after="160" w:before="280"/>
      </w:pPr>
      <w:r>
        <w:rPr>
          <w:rFonts w:ascii="Calibri" w:cs="Calibri" w:eastAsia="Calibri" w:hAnsi="Calibri"/>
          <w:b/>
          <w:bCs/>
          <w:color w:val="2E211B"/>
          <w:sz w:val="27"/>
          <w:szCs w:val="27"/>
        </w:rPr>
        <w:t xml:space="preserve">Semaine 11 a 13 : lancement public</w:t>
      </w:r>
    </w:p>
    <w:p>
      <w:pPr>
        <w:pStyle w:val="ListParagraph"/>
        <w:numPr>
          <w:ilvl w:val="0"/>
          <w:numId w:val="2"/>
        </w:numPr>
        <w:spacing w:after="80" w:line="264"/>
      </w:pPr>
      <w:r>
        <w:rPr>
          <w:rFonts w:ascii="Calibri" w:cs="Calibri" w:eastAsia="Calibri" w:hAnsi="Calibri"/>
          <w:color w:val="2E211B"/>
          <w:sz w:val="22"/>
          <w:szCs w:val="22"/>
        </w:rPr>
        <w:t xml:space="preserve">Publication publique sur Google Play ; soumission App Store</w:t>
      </w:r>
    </w:p>
    <w:p>
      <w:pPr>
        <w:pStyle w:val="ListParagraph"/>
        <w:numPr>
          <w:ilvl w:val="0"/>
          <w:numId w:val="2"/>
        </w:numPr>
        <w:spacing w:after="80" w:line="264"/>
      </w:pPr>
      <w:r>
        <w:rPr>
          <w:rFonts w:ascii="Calibri" w:cs="Calibri" w:eastAsia="Calibri" w:hAnsi="Calibri"/>
          <w:color w:val="2E211B"/>
          <w:sz w:val="22"/>
          <w:szCs w:val="22"/>
        </w:rPr>
        <w:t xml:space="preserve">Premiere soiree Dowe de lancement a Kinshasa avec billetterie QR reelle : evenement fondateur de la marque, couverture sociale complete</w:t>
      </w:r>
    </w:p>
    <w:p>
      <w:pPr>
        <w:pStyle w:val="ListParagraph"/>
        <w:numPr>
          <w:ilvl w:val="0"/>
          <w:numId w:val="2"/>
        </w:numPr>
        <w:spacing w:after="80" w:line="264"/>
      </w:pPr>
      <w:r>
        <w:rPr>
          <w:rFonts w:ascii="Calibri" w:cs="Calibri" w:eastAsia="Calibri" w:hAnsi="Calibri"/>
          <w:color w:val="2E211B"/>
          <w:sz w:val="22"/>
          <w:szCs w:val="22"/>
        </w:rPr>
        <w:t xml:space="preserve">Campagne d’acquisition TikTok / Instagram / Facebook centree sur la verification des profils et la soiree</w:t>
      </w:r>
    </w:p>
    <w:p>
      <w:pPr>
        <w:pStyle w:val="ListParagraph"/>
        <w:numPr>
          <w:ilvl w:val="0"/>
          <w:numId w:val="2"/>
        </w:numPr>
        <w:spacing w:after="80" w:line="264"/>
      </w:pPr>
      <w:r>
        <w:rPr>
          <w:rFonts w:ascii="Calibri" w:cs="Calibri" w:eastAsia="Calibri" w:hAnsi="Calibri"/>
          <w:color w:val="2E211B"/>
          <w:sz w:val="22"/>
          <w:szCs w:val="22"/>
        </w:rPr>
        <w:t xml:space="preserve">Mettre en place le tableau de bord des KPI de la section 12 et instaurer une revue hebdomadaire chiffree</w:t>
      </w:r>
    </w:p>
    <w:p>
      <w:pPr>
        <w:pStyle w:val="Heading2"/>
        <w:spacing w:after="160" w:before="280"/>
      </w:pPr>
      <w:r>
        <w:rPr>
          <w:rFonts w:ascii="Calibri" w:cs="Calibri" w:eastAsia="Calibri" w:hAnsi="Calibri"/>
          <w:b/>
          <w:bCs/>
          <w:color w:val="2E211B"/>
          <w:sz w:val="27"/>
          <w:szCs w:val="27"/>
        </w:rPr>
        <w:t xml:space="preserve">En continu pendant les 90 jours</w:t>
      </w:r>
    </w:p>
    <w:p>
      <w:pPr>
        <w:pStyle w:val="ListParagraph"/>
        <w:numPr>
          <w:ilvl w:val="0"/>
          <w:numId w:val="2"/>
        </w:numPr>
        <w:spacing w:after="80" w:line="264"/>
      </w:pPr>
      <w:r>
        <w:rPr>
          <w:rFonts w:ascii="Calibri" w:cs="Calibri" w:eastAsia="Calibri" w:hAnsi="Calibri"/>
          <w:color w:val="2E211B"/>
          <w:sz w:val="22"/>
          <w:szCs w:val="22"/>
        </w:rPr>
        <w:t xml:space="preserve">Pitch deck derive de ce business plan et prises de contact avec 10 a 20 business angels (diaspora tech en priorite)</w:t>
      </w:r>
    </w:p>
    <w:p>
      <w:pPr>
        <w:pStyle w:val="ListParagraph"/>
        <w:numPr>
          <w:ilvl w:val="0"/>
          <w:numId w:val="2"/>
        </w:numPr>
        <w:spacing w:after="80" w:line="264"/>
      </w:pPr>
      <w:r>
        <w:rPr>
          <w:rFonts w:ascii="Calibri" w:cs="Calibri" w:eastAsia="Calibri" w:hAnsi="Calibri"/>
          <w:color w:val="2E211B"/>
          <w:sz w:val="22"/>
          <w:szCs w:val="22"/>
        </w:rPr>
        <w:t xml:space="preserve">Veille concurrentielle active sur Heyama (prix, fonctionnalites, evenements)</w:t>
      </w:r>
    </w:p>
    <w:p>
      <w:pPr>
        <w:pStyle w:val="ListParagraph"/>
        <w:numPr>
          <w:ilvl w:val="0"/>
          <w:numId w:val="2"/>
        </w:numPr>
        <w:spacing w:after="80" w:line="264"/>
      </w:pPr>
      <w:r>
        <w:rPr>
          <w:rFonts w:ascii="Calibri" w:cs="Calibri" w:eastAsia="Calibri" w:hAnsi="Calibri"/>
          <w:color w:val="2E211B"/>
          <w:sz w:val="22"/>
          <w:szCs w:val="22"/>
        </w:rPr>
        <w:t xml:space="preserve">Depot de la marque definitive (OAPI et registre RDC) des que le nom est tranche</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5B51"/>
        <w:sz w:val="16"/>
        <w:szCs w:val="16"/>
      </w:rPr>
      <w:t xml:space="preserve">Business Plan Dowe  |  Goblaire Ltd  |  Confidentiel  |  Page </w:t>
    </w:r>
    <w:r>
      <w:rPr>
        <w:rFonts w:ascii="Calibri" w:cs="Calibri" w:eastAsia="Calibri" w:hAnsi="Calibri"/>
        <w:color w:val="6B5B5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21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Plan Dowe</dc:title>
  <dc:creator>Goblaire Ltd</dc:creator>
  <dc:description>Business plan du projet Dowe, application de rencontre pour la RDC</dc:description>
  <cp:lastModifiedBy>Un-named</cp:lastModifiedBy>
  <cp:revision>1</cp:revision>
  <dcterms:created xsi:type="dcterms:W3CDTF">2026-08-23T08:25:50.242Z</dcterms:created>
  <dcterms:modified xsi:type="dcterms:W3CDTF">2026-08-23T08:25:50.243Z</dcterms:modified>
</cp:coreProperties>
</file>

<file path=docProps/custom.xml><?xml version="1.0" encoding="utf-8"?>
<Properties xmlns="http://schemas.openxmlformats.org/officeDocument/2006/custom-properties" xmlns:vt="http://schemas.openxmlformats.org/officeDocument/2006/docPropsVTypes"/>
</file>