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widowControl w:val="1"/>
      </w:pPr>
      <w:r>
        <w:rPr>
          <w:rFonts w:ascii="Aptos" w:hAnsi="Aptos"/>
          <w:b/>
          <w:color w:val="172033"/>
          <w:sz w:val="18"/>
        </w:rPr>
        <w:t>DECISION PAPER • 2026/2027 SEASON</w:t>
      </w:r>
    </w:p>
    <w:p>
      <w:pPr>
        <w:pStyle w:val="Title"/>
        <w:spacing w:after="140"/>
        <w:widowControl w:val="1"/>
      </w:pPr>
      <w:r>
        <w:t>Premier League</w:t>
        <w:br/>
        <w:t>Handicap Proposals</w:t>
      </w:r>
    </w:p>
    <w:p>
      <w:pPr>
        <w:spacing w:before="0" w:after="160"/>
        <w:widowControl w:val="1"/>
      </w:pPr>
    </w:p>
    <w:p>
      <w:pPr>
        <w:spacing w:after="280"/>
        <w:widowControl w:val="1"/>
      </w:pPr>
      <w:r>
        <w:rPr>
          <w:rFonts w:ascii="Aptos Display" w:hAnsi="Aptos Display"/>
          <w:color w:val="526078"/>
          <w:sz w:val="32"/>
        </w:rPr>
        <w:t>Three complete options for discussion and a final league decision</w:t>
      </w:r>
    </w:p>
    <w:p>
      <w:pPr>
        <w:pStyle w:val="Heading2"/>
        <w:widowControl w:val="1"/>
      </w:pPr>
      <w:r>
        <w:t>Prepared for</w:t>
      </w:r>
    </w:p>
    <w:p>
      <w:pPr>
        <w:widowControl w:val="1"/>
      </w:pPr>
      <w:r>
        <w:rPr>
          <w:b/>
          <w:sz w:val="26"/>
        </w:rPr>
        <w:t>Gravesend &amp; District Indoor Games League</w:t>
      </w:r>
    </w:p>
    <w:p>
      <w:pPr>
        <w:widowControl w:val="1"/>
      </w:pPr>
      <w:r>
        <w:t>4 September 2026</w:t>
      </w:r>
    </w:p>
    <w:p>
      <w:pPr>
        <w:pStyle w:val="Heading2"/>
        <w:widowControl w:val="1"/>
      </w:pPr>
      <w:r>
        <w:t>Purpose</w:t>
      </w:r>
    </w:p>
    <w:p>
      <w:pPr>
        <w:widowControl w:val="1"/>
      </w:pPr>
      <w:r>
        <w:t>To settle the Premier League handicap format before the winter season by putting three distinct, operationally complete proposals to the participating clubs through their eligible representatives.</w:t>
      </w:r>
    </w:p>
    <w:p>
      <w:pPr>
        <w:pStyle w:val="Heading2"/>
      </w:pPr>
      <w:r>
        <w:t>Why this decision is being reconsidered</w:t>
      </w:r>
    </w:p>
    <w:p>
      <w:r>
        <w:t>The AGM agreed that Premier League players would begin off scratch, that later handicaps would be produced through Rack &amp; Frame, and that no maximum difference would apply. Subsequent discussion among captains raised material concerns about whether a universal reset would discard useful evidence, how quickly new handicaps would become representative, and how very large starts or mismatched pairings would affect confidence in the competition.</w:t>
      </w:r>
    </w:p>
    <w:p>
      <w:r>
        <w:t>The purpose of reconsideration is not to dismiss the AGM decision or any individual view. It is to give every participating club the same complete information and a fair choice between three workable models before the first fixtures are played. Each option preserves the same frame-by-frame Elo evidence, including eligible doubles; the vote determines the opening values, publication timetable and treatment of large differences.</w:t>
      </w:r>
    </w:p>
    <w:p>
      <w:r>
        <w:t>Because the season begins on 10 September 2026, a shortened process should proceed only if every participating club expressly agrees to waive the normal 28-day submission period. If unanimity is not achieved, the AGM decision remains the authorised starting position until it is changed through the ordinary rules process.</w:t>
      </w:r>
    </w:p>
    <w:p>
      <w:pPr>
        <w:pStyle w:val="Heading2"/>
        <w:widowControl w:val="1"/>
      </w:pPr>
      <w:r>
        <w:t>Scope</w:t>
      </w:r>
    </w:p>
    <w:p>
      <w:pPr>
        <w:pStyle w:val="ListBullet"/>
        <w:spacing w:after="64" w:line="259" w:lineRule="auto"/>
        <w:ind w:left="317" w:hanging="230"/>
        <w:widowControl w:val="1"/>
      </w:pPr>
      <w:r>
        <w:rPr>
          <w:rFonts w:ascii="Aptos" w:hAnsi="Aptos"/>
          <w:sz w:val="20"/>
        </w:rPr>
        <w:t>The decision applies to the Premier League only.</w:t>
      </w:r>
    </w:p>
    <w:p>
      <w:pPr>
        <w:pStyle w:val="ListBullet"/>
        <w:spacing w:after="64" w:line="259" w:lineRule="auto"/>
        <w:ind w:left="317" w:hanging="230"/>
        <w:widowControl w:val="1"/>
      </w:pPr>
      <w:r>
        <w:rPr>
          <w:rFonts w:ascii="Aptos" w:hAnsi="Aptos"/>
          <w:sz w:val="20"/>
        </w:rPr>
        <w:t>Division 1 remains off scratch and is not changed by this paper.</w:t>
      </w:r>
    </w:p>
    <w:p>
      <w:pPr>
        <w:pStyle w:val="ListBullet"/>
        <w:spacing w:after="64" w:line="259" w:lineRule="auto"/>
        <w:ind w:left="317" w:hanging="230"/>
        <w:widowControl w:val="1"/>
      </w:pPr>
      <w:r>
        <w:rPr>
          <w:rFonts w:ascii="Aptos" w:hAnsi="Aptos"/>
          <w:sz w:val="20"/>
        </w:rPr>
        <w:t>All three options retain Rack &amp; Frame Elo updates after every approved eligible singles and doubles frame.</w:t>
      </w:r>
    </w:p>
    <w:p>
      <w:pPr>
        <w:pStyle w:val="ListBullet"/>
        <w:spacing w:after="64" w:line="259" w:lineRule="auto"/>
        <w:ind w:left="317" w:hanging="230"/>
        <w:widowControl w:val="1"/>
      </w:pPr>
      <w:r>
        <w:rPr>
          <w:rFonts w:ascii="Aptos" w:hAnsi="Aptos"/>
          <w:sz w:val="20"/>
        </w:rPr>
        <w:t>The vote decides how Elo becomes a playing handicap and how large mismatches are controlled.</w:t>
      </w:r>
    </w:p>
    <w:p>
      <w:pPr>
        <w:spacing w:before="200" w:after="0"/>
        <w:widowControl w:val="1"/>
      </w:pPr>
      <w:r>
        <w:rPr>
          <w:b/>
          <w:color w:val="0B172A"/>
        </w:rPr>
        <w:t>Source basis</w:t>
      </w:r>
    </w:p>
    <w:p>
      <w:pPr>
        <w:widowControl w:val="1"/>
      </w:pPr>
      <w:r>
        <w:t>Prepared from the captains’ discussion of 3–4 September 2026, the 40-point variance-cap paper and the original Rack &amp; Frame handicap approach. The wording below resolves gaps and ambiguities so each option can be voted on as a complete rule.</w:t>
      </w:r>
    </w:p>
    <w:p>
      <w:pPr>
        <w:widowControl w:val="1"/>
      </w:pPr>
      <w:r>
        <w:br w:type="page"/>
      </w:r>
    </w:p>
    <w:p>
      <w:pPr>
        <w:spacing w:after="80"/>
        <w:widowControl w:val="1"/>
      </w:pPr>
      <w:r>
        <w:rPr>
          <w:rFonts w:ascii="Aptos" w:hAnsi="Aptos"/>
          <w:b/>
          <w:color w:val="172033"/>
          <w:sz w:val="18"/>
        </w:rPr>
        <w:t>DECISION FRAMEWORK</w:t>
      </w:r>
    </w:p>
    <w:p>
      <w:pPr>
        <w:pStyle w:val="Heading1"/>
        <w:widowControl w:val="1"/>
      </w:pPr>
      <w:r>
        <w:t>What the vote must settle</w:t>
      </w:r>
    </w:p>
    <w:p>
      <w:pPr>
        <w:spacing w:before="0" w:after="160"/>
        <w:widowControl w:val="1"/>
      </w:pPr>
    </w:p>
    <w:p>
      <w:pPr>
        <w:widowControl w:val="1"/>
      </w:pPr>
      <w:r>
        <w:t>The discussion showed broad support for a results-driven handicap system, but not a settled agreement on the opening handicaps, review frequency or treatment of large differences. Those three decisions are linked and should be agreed as one complete model.</w:t>
      </w:r>
    </w:p>
    <w:p>
      <w:pPr>
        <w:pStyle w:val="Heading2"/>
        <w:widowControl w:val="1"/>
      </w:pPr>
      <w:r>
        <w:t>Common rules in all three proposals</w:t>
      </w:r>
    </w:p>
    <w:p>
      <w:pPr>
        <w:pStyle w:val="ListBullet"/>
        <w:spacing w:after="64" w:line="259" w:lineRule="auto"/>
        <w:ind w:left="317" w:hanging="230"/>
        <w:widowControl w:val="1"/>
      </w:pPr>
      <w:r>
        <w:rPr>
          <w:rFonts w:ascii="Aptos" w:hAnsi="Aptos"/>
          <w:sz w:val="20"/>
        </w:rPr>
        <w:t>Elo is the live performance rating. It changes after every approved eligible singles and doubles frame, using the players’ pre-frame Elo ratings and the recorded result—not the winning margin.</w:t>
      </w:r>
    </w:p>
    <w:p>
      <w:pPr>
        <w:pStyle w:val="ListBullet"/>
        <w:spacing w:after="64" w:line="259" w:lineRule="auto"/>
        <w:ind w:left="317" w:hanging="230"/>
        <w:widowControl w:val="1"/>
      </w:pPr>
      <w:r>
        <w:rPr>
          <w:rFonts w:ascii="Aptos" w:hAnsi="Aptos"/>
          <w:sz w:val="20"/>
        </w:rPr>
        <w:t>The playing handicap is the published match-night allowance. It changes only under the review timetable in the adopted proposal.</w:t>
      </w:r>
    </w:p>
    <w:p>
      <w:pPr>
        <w:pStyle w:val="ListBullet"/>
        <w:spacing w:after="64" w:line="259" w:lineRule="auto"/>
        <w:ind w:left="317" w:hanging="230"/>
        <w:widowControl w:val="1"/>
      </w:pPr>
      <w:r>
        <w:rPr>
          <w:rFonts w:ascii="Aptos" w:hAnsi="Aptos"/>
          <w:sz w:val="20"/>
        </w:rPr>
        <w:t>Approved handicaps remain in force until the next published review or an authorised exceptional correction.</w:t>
      </w:r>
    </w:p>
    <w:p>
      <w:pPr>
        <w:pStyle w:val="ListBullet"/>
        <w:spacing w:after="64" w:line="259" w:lineRule="auto"/>
        <w:ind w:left="317" w:hanging="230"/>
        <w:widowControl w:val="1"/>
      </w:pPr>
      <w:r>
        <w:rPr>
          <w:rFonts w:ascii="Aptos" w:hAnsi="Aptos"/>
          <w:sz w:val="20"/>
        </w:rPr>
        <w:t>League officers may correct a data error or a clearly incorrect player identity. Any performance-based exceptional change must be recorded with a reason.</w:t>
      </w:r>
    </w:p>
    <w:p>
      <w:pPr>
        <w:pStyle w:val="ListBullet"/>
        <w:spacing w:after="64" w:line="259" w:lineRule="auto"/>
        <w:ind w:left="317" w:hanging="230"/>
        <w:widowControl w:val="1"/>
      </w:pPr>
      <w:r>
        <w:rPr>
          <w:rFonts w:ascii="Aptos" w:hAnsi="Aptos"/>
          <w:sz w:val="20"/>
        </w:rPr>
        <w:t>Home Lists First / Away Selects remains the lineup method unless Proposal 3 restricts a particular pairing.</w:t>
      </w:r>
    </w:p>
    <w:p>
      <w:pPr>
        <w:pStyle w:val="Heading2"/>
        <w:widowControl w:val="1"/>
      </w:pPr>
      <w:r>
        <w:t>Definitions used in this paper</w:t>
      </w:r>
    </w:p>
    <w:p>
      <w:pPr>
        <w:spacing w:after="120" w:line="264" w:lineRule="auto"/>
        <w:widowControl w:val="1"/>
      </w:pPr>
      <w:r>
        <w:rPr>
          <w:b/>
          <w:color w:val="0B172A"/>
        </w:rPr>
        <w:t xml:space="preserve">Latest validated handicap: </w:t>
      </w:r>
      <w:r>
        <w:t>the player’s most recent approved Rack &amp; Frame handicap from the completed winter or Summer League 2026 record, whichever is later.</w:t>
      </w:r>
    </w:p>
    <w:p>
      <w:pPr>
        <w:spacing w:after="120" w:line="264" w:lineRule="auto"/>
        <w:widowControl w:val="1"/>
      </w:pPr>
      <w:r>
        <w:rPr>
          <w:b/>
          <w:color w:val="0B172A"/>
        </w:rPr>
        <w:t xml:space="preserve">New or unrated player: </w:t>
      </w:r>
      <w:r>
        <w:t>a player with no reliable historic Rack &amp; Frame record. They begin at Elo 1000 and handicap 0 unless officers approve an evidenced provisional handicap before the player’s first frame.</w:t>
      </w:r>
    </w:p>
    <w:p>
      <w:pPr>
        <w:spacing w:after="120" w:line="264" w:lineRule="auto"/>
        <w:widowControl w:val="1"/>
      </w:pPr>
      <w:r>
        <w:rPr>
          <w:b/>
          <w:color w:val="0B172A"/>
        </w:rPr>
        <w:t xml:space="preserve">Maximum playing start: </w:t>
      </w:r>
      <w:r>
        <w:t>a cap on the points actually added to the weaker player’s score, regardless of the full handicap difference.</w:t>
      </w:r>
    </w:p>
    <w:p>
      <w:pPr>
        <w:spacing w:after="120" w:line="264" w:lineRule="auto"/>
        <w:widowControl w:val="1"/>
      </w:pPr>
      <w:r>
        <w:rPr>
          <w:b/>
          <w:color w:val="0B172A"/>
        </w:rPr>
        <w:t xml:space="preserve">Pairing variance cap: </w:t>
      </w:r>
      <w:r>
        <w:t>a restriction on which two players may be matched. It is not merely a calculation cap.</w:t>
      </w:r>
    </w:p>
    <w:p>
      <w:pPr>
        <w:pStyle w:val="Heading2"/>
        <w:widowControl w:val="1"/>
      </w:pPr>
      <w:r>
        <w:t>Questions raised in the discussion</w:t>
      </w:r>
    </w:p>
    <w:p>
      <w:pPr>
        <w:pStyle w:val="ListBullet"/>
        <w:spacing w:after="64" w:line="259" w:lineRule="auto"/>
        <w:ind w:left="317" w:hanging="230"/>
        <w:widowControl w:val="1"/>
      </w:pPr>
      <w:r>
        <w:rPr>
          <w:rFonts w:ascii="Aptos" w:hAnsi="Aptos"/>
          <w:sz w:val="20"/>
        </w:rPr>
        <w:t>Would a universal reset to zero take too long to reflect known differences in ability?</w:t>
      </w:r>
    </w:p>
    <w:p>
      <w:pPr>
        <w:pStyle w:val="ListBullet"/>
        <w:spacing w:after="64" w:line="259" w:lineRule="auto"/>
        <w:ind w:left="317" w:hanging="230"/>
        <w:widowControl w:val="1"/>
      </w:pPr>
      <w:r>
        <w:rPr>
          <w:rFonts w:ascii="Aptos" w:hAnsi="Aptos"/>
          <w:sz w:val="20"/>
        </w:rPr>
        <w:t>Should handicaps move weekly at first, or remain stable for four-week blocks?</w:t>
      </w:r>
    </w:p>
    <w:p>
      <w:pPr>
        <w:pStyle w:val="ListBullet"/>
        <w:spacing w:after="64" w:line="259" w:lineRule="auto"/>
        <w:ind w:left="317" w:hanging="230"/>
        <w:widowControl w:val="1"/>
      </w:pPr>
      <w:r>
        <w:rPr>
          <w:rFonts w:ascii="Aptos" w:hAnsi="Aptos"/>
          <w:sz w:val="20"/>
        </w:rPr>
        <w:t>Should very large starts be capped, or should very widely separated players be prevented from meeting?</w:t>
      </w:r>
    </w:p>
    <w:p>
      <w:pPr>
        <w:pStyle w:val="ListBullet"/>
        <w:spacing w:after="64" w:line="259" w:lineRule="auto"/>
        <w:ind w:left="317" w:hanging="230"/>
        <w:widowControl w:val="1"/>
      </w:pPr>
      <w:r>
        <w:rPr>
          <w:rFonts w:ascii="Aptos" w:hAnsi="Aptos"/>
          <w:sz w:val="20"/>
        </w:rPr>
        <w:t>How should returning players and genuinely new players be treated?</w:t>
      </w:r>
    </w:p>
    <w:p>
      <w:pPr>
        <w:widowControl w:val="1"/>
      </w:pPr>
      <w:r>
        <w:br w:type="page"/>
      </w:r>
    </w:p>
    <w:p>
      <w:pPr>
        <w:spacing w:after="80"/>
        <w:widowControl w:val="1"/>
      </w:pPr>
      <w:r>
        <w:rPr>
          <w:rFonts w:ascii="Aptos" w:hAnsi="Aptos"/>
          <w:b/>
          <w:color w:val="172033"/>
          <w:sz w:val="18"/>
        </w:rPr>
        <w:t>PROPOSAL 1</w:t>
      </w:r>
    </w:p>
    <w:p>
      <w:pPr>
        <w:pStyle w:val="Heading1"/>
        <w:widowControl w:val="1"/>
      </w:pPr>
      <w:r>
        <w:t>Original Rack &amp; Frame reset</w:t>
      </w:r>
    </w:p>
    <w:p>
      <w:pPr>
        <w:spacing w:after="140"/>
        <w:widowControl w:val="1"/>
      </w:pPr>
      <w:r>
        <w:rPr>
          <w:i/>
          <w:color w:val="526078"/>
        </w:rPr>
        <w:t>A clean common baseline, four-weekly handicap reviews and no maximum start.</w:t>
      </w:r>
    </w:p>
    <w:p>
      <w:pPr>
        <w:spacing w:before="0" w:after="160"/>
        <w:widowControl w:val="1"/>
      </w:pPr>
    </w:p>
    <w:p>
      <w:pPr>
        <w:pStyle w:val="Heading2"/>
        <w:widowControl w:val="1"/>
      </w:pPr>
      <w:r>
        <w:t>Motion</w:t>
      </w:r>
    </w:p>
    <w:p>
      <w:pPr>
        <w:pStyle w:val="Motion"/>
        <w:widowControl w:val="1"/>
      </w:pPr>
      <w:r>
        <w:t>That every registered Premier League player starts the 2026/2027 season at Elo 1000 and playing handicap 0; Elo updates after each approved eligible singles and doubles frame; playing handicaps are first reviewed after four fixture weeks and at least every four fixture weeks thereafter; and no maximum playing start or pairing-variance cap applies.</w:t>
      </w:r>
    </w:p>
    <w:p>
      <w:pPr>
        <w:pStyle w:val="Heading2"/>
        <w:widowControl w:val="1"/>
      </w:pPr>
      <w:r>
        <w:t>Rules if adopted</w:t>
      </w:r>
    </w:p>
    <w:p>
      <w:pPr>
        <w:pStyle w:val="ListBullet"/>
        <w:spacing w:after="64" w:line="259" w:lineRule="auto"/>
        <w:ind w:left="317" w:hanging="230"/>
        <w:widowControl w:val="1"/>
      </w:pPr>
      <w:r>
        <w:rPr>
          <w:rFonts w:ascii="Aptos" w:hAnsi="Aptos"/>
          <w:sz w:val="20"/>
        </w:rPr>
        <w:t>All Premier League players start at Elo 1000 and handicap 0, including players with historic records.</w:t>
      </w:r>
    </w:p>
    <w:p>
      <w:pPr>
        <w:pStyle w:val="ListBullet"/>
        <w:spacing w:after="64" w:line="259" w:lineRule="auto"/>
        <w:ind w:left="317" w:hanging="230"/>
        <w:widowControl w:val="1"/>
      </w:pPr>
      <w:r>
        <w:rPr>
          <w:rFonts w:ascii="Aptos" w:hAnsi="Aptos"/>
          <w:sz w:val="20"/>
        </w:rPr>
        <w:t>The first official handicap review follows four completed fixture weeks; later reviews occur every four fixture weeks.</w:t>
      </w:r>
    </w:p>
    <w:p>
      <w:pPr>
        <w:pStyle w:val="ListBullet"/>
        <w:spacing w:after="64" w:line="259" w:lineRule="auto"/>
        <w:ind w:left="317" w:hanging="230"/>
        <w:widowControl w:val="1"/>
      </w:pPr>
      <w:r>
        <w:rPr>
          <w:rFonts w:ascii="Aptos" w:hAnsi="Aptos"/>
          <w:sz w:val="20"/>
        </w:rPr>
        <w:t>The full difference between the two published handicaps is used as the start, with no 40-point ceiling.</w:t>
      </w:r>
    </w:p>
    <w:p>
      <w:pPr>
        <w:pStyle w:val="ListBullet"/>
        <w:spacing w:after="64" w:line="259" w:lineRule="auto"/>
        <w:ind w:left="317" w:hanging="230"/>
        <w:widowControl w:val="1"/>
      </w:pPr>
      <w:r>
        <w:rPr>
          <w:rFonts w:ascii="Aptos" w:hAnsi="Aptos"/>
          <w:sz w:val="20"/>
        </w:rPr>
        <w:t>Home Lists First / Away Selects operates without a handicap-based pairing restriction.</w:t>
      </w:r>
    </w:p>
    <w:p>
      <w:pPr>
        <w:pStyle w:val="ListBullet"/>
        <w:spacing w:after="64" w:line="259" w:lineRule="auto"/>
        <w:ind w:left="317" w:hanging="230"/>
        <w:widowControl w:val="1"/>
      </w:pPr>
      <w:r>
        <w:rPr>
          <w:rFonts w:ascii="Aptos" w:hAnsi="Aptos"/>
          <w:sz w:val="20"/>
        </w:rPr>
        <w:t>An interim correction is limited to a data error, a clearly incorrect starting assessment or another compelling fairness issue recorded by league officers.</w:t>
      </w:r>
    </w:p>
    <w:p>
      <w:pPr>
        <w:pStyle w:val="Heading2"/>
        <w:widowControl w:val="1"/>
      </w:pPr>
      <w:r>
        <w:t>Why teams may support it</w:t>
      </w:r>
    </w:p>
    <w:p>
      <w:pPr>
        <w:pStyle w:val="ListBullet"/>
        <w:spacing w:after="64" w:line="259" w:lineRule="auto"/>
        <w:ind w:left="317" w:hanging="230"/>
        <w:widowControl w:val="1"/>
      </w:pPr>
      <w:r>
        <w:rPr>
          <w:rFonts w:ascii="Aptos" w:hAnsi="Aptos"/>
          <w:sz w:val="20"/>
        </w:rPr>
        <w:t>Every player begins from exactly the same numerical baseline.</w:t>
      </w:r>
    </w:p>
    <w:p>
      <w:pPr>
        <w:pStyle w:val="ListBullet"/>
        <w:spacing w:after="64" w:line="259" w:lineRule="auto"/>
        <w:ind w:left="317" w:hanging="230"/>
        <w:widowControl w:val="1"/>
      </w:pPr>
      <w:r>
        <w:rPr>
          <w:rFonts w:ascii="Aptos" w:hAnsi="Aptos"/>
          <w:sz w:val="20"/>
        </w:rPr>
        <w:t>Published handicaps remain stable between review dates and cannot yo-yo after one unusual result.</w:t>
      </w:r>
    </w:p>
    <w:p>
      <w:pPr>
        <w:pStyle w:val="ListBullet"/>
        <w:spacing w:after="64" w:line="259" w:lineRule="auto"/>
        <w:ind w:left="317" w:hanging="230"/>
        <w:widowControl w:val="1"/>
      </w:pPr>
      <w:r>
        <w:rPr>
          <w:rFonts w:ascii="Aptos" w:hAnsi="Aptos"/>
          <w:sz w:val="20"/>
        </w:rPr>
        <w:t>It follows the original Rack &amp; Frame proposal and needs the least system change.</w:t>
      </w:r>
    </w:p>
    <w:p>
      <w:pPr>
        <w:pStyle w:val="Heading2"/>
        <w:widowControl w:val="1"/>
      </w:pPr>
      <w:r>
        <w:t>Trade-offs to accept</w:t>
      </w:r>
    </w:p>
    <w:p>
      <w:pPr>
        <w:pStyle w:val="ListBullet"/>
        <w:spacing w:after="64" w:line="259" w:lineRule="auto"/>
        <w:ind w:left="317" w:hanging="230"/>
        <w:widowControl w:val="1"/>
      </w:pPr>
      <w:r>
        <w:rPr>
          <w:rFonts w:ascii="Aptos" w:hAnsi="Aptos"/>
          <w:sz w:val="20"/>
        </w:rPr>
        <w:t>Known historic differences are deliberately ignored at the start of the season.</w:t>
      </w:r>
    </w:p>
    <w:p>
      <w:pPr>
        <w:pStyle w:val="ListBullet"/>
        <w:spacing w:after="64" w:line="259" w:lineRule="auto"/>
        <w:ind w:left="317" w:hanging="230"/>
        <w:widowControl w:val="1"/>
      </w:pPr>
      <w:r>
        <w:rPr>
          <w:rFonts w:ascii="Aptos" w:hAnsi="Aptos"/>
          <w:sz w:val="20"/>
        </w:rPr>
        <w:t>The first four weeks are played off scratch; the ratings may need a substantial sample before they separate reliably.</w:t>
      </w:r>
    </w:p>
    <w:p>
      <w:pPr>
        <w:pStyle w:val="ListBullet"/>
        <w:spacing w:after="64" w:line="259" w:lineRule="auto"/>
        <w:ind w:left="317" w:hanging="230"/>
        <w:widowControl w:val="1"/>
      </w:pPr>
      <w:r>
        <w:rPr>
          <w:rFonts w:ascii="Aptos" w:hAnsi="Aptos"/>
          <w:sz w:val="20"/>
        </w:rPr>
        <w:t>Large starts can emerge later without a maximum, which some players may regard as excessive.</w:t>
      </w:r>
    </w:p>
    <w:p>
      <w:pPr>
        <w:spacing w:after="140" w:line="264" w:lineRule="auto"/>
        <w:widowControl w:val="1"/>
      </w:pPr>
      <w:r>
        <w:rPr>
          <w:b/>
          <w:color w:val="0B172A"/>
        </w:rPr>
        <w:t xml:space="preserve">Rack &amp; Frame impact: </w:t>
      </w:r>
      <w:r>
        <w:t>Already supported by the present model; mainly configuration, publication and officer oversight.</w:t>
      </w:r>
    </w:p>
    <w:p>
      <w:pPr>
        <w:pStyle w:val="Heading2"/>
        <w:widowControl w:val="1"/>
      </w:pPr>
      <w:r>
        <w:t>Vote record</w:t>
      </w:r>
    </w:p>
    <w:tbl>
      <w:tblPr>
        <w:tblStyle w:val="TableGrid"/>
        <w:tblW w:type="auto" w:w="0"/>
        <w:jc w:val="center"/>
        <w:tblLook w:firstColumn="1" w:firstRow="1" w:lastColumn="0" w:lastRow="0" w:noHBand="0" w:noVBand="1" w:val="04A0"/>
        <w:tblCaption w:val="Proposal 1 vote record"/>
        <w:tblDescription w:val="Blank cells for votes for, against and abstaining."/>
      </w:tblPr>
      <w:tblGrid>
        <w:gridCol w:w="2498"/>
        <w:gridCol w:w="2498"/>
        <w:gridCol w:w="2498"/>
        <w:gridCol w:w="2498"/>
      </w:tblGrid>
      <w:tr>
        <w:trPr>
          <w:tblHeader w:val="true"/>
        </w:trPr>
        <w:tc>
          <w:tcPr>
            <w:tcW w:type="dxa" w:w="2592"/>
            <w:vAlign w:val="center"/>
            <w:tcMar>
              <w:top w:w="90" w:type="dxa"/>
              <w:start w:w="100" w:type="dxa"/>
              <w:bottom w:w="90" w:type="dxa"/>
              <w:end w:w="100" w:type="dxa"/>
            </w:tcMar>
            <w:shd w:fill="0B172A"/>
          </w:tcPr>
          <w:p>
            <w:pPr>
              <w:spacing w:after="0" w:line="250" w:lineRule="auto"/>
            </w:pPr>
            <w:r/>
            <w:r>
              <w:rPr>
                <w:rFonts w:ascii="Aptos" w:hAnsi="Aptos"/>
                <w:b/>
                <w:color w:val="FFFFFF"/>
                <w:sz w:val="18"/>
              </w:rPr>
              <w:t>Proposal</w:t>
            </w:r>
          </w:p>
        </w:tc>
        <w:tc>
          <w:tcPr>
            <w:tcW w:type="dxa" w:w="2088"/>
            <w:vAlign w:val="center"/>
            <w:tcMar>
              <w:top w:w="90" w:type="dxa"/>
              <w:start w:w="100" w:type="dxa"/>
              <w:bottom w:w="90" w:type="dxa"/>
              <w:end w:w="100" w:type="dxa"/>
            </w:tcMar>
            <w:shd w:fill="0B172A"/>
          </w:tcPr>
          <w:p>
            <w:pPr>
              <w:spacing w:after="0" w:line="250" w:lineRule="auto"/>
            </w:pPr>
            <w:r/>
            <w:r>
              <w:rPr>
                <w:rFonts w:ascii="Aptos" w:hAnsi="Aptos"/>
                <w:b/>
                <w:color w:val="FFFFFF"/>
                <w:sz w:val="18"/>
              </w:rPr>
              <w:t>For</w:t>
            </w:r>
          </w:p>
        </w:tc>
        <w:tc>
          <w:tcPr>
            <w:tcW w:type="dxa" w:w="2088"/>
            <w:vAlign w:val="center"/>
            <w:tcMar>
              <w:top w:w="90" w:type="dxa"/>
              <w:start w:w="100" w:type="dxa"/>
              <w:bottom w:w="90" w:type="dxa"/>
              <w:end w:w="100" w:type="dxa"/>
            </w:tcMar>
            <w:shd w:fill="0B172A"/>
          </w:tcPr>
          <w:p>
            <w:pPr>
              <w:spacing w:after="0" w:line="250" w:lineRule="auto"/>
            </w:pPr>
            <w:r/>
            <w:r>
              <w:rPr>
                <w:rFonts w:ascii="Aptos" w:hAnsi="Aptos"/>
                <w:b/>
                <w:color w:val="FFFFFF"/>
                <w:sz w:val="18"/>
              </w:rPr>
              <w:t>Against</w:t>
            </w:r>
          </w:p>
        </w:tc>
        <w:tc>
          <w:tcPr>
            <w:tcW w:type="dxa" w:w="2088"/>
            <w:vAlign w:val="center"/>
            <w:tcMar>
              <w:top w:w="90" w:type="dxa"/>
              <w:start w:w="100" w:type="dxa"/>
              <w:bottom w:w="90" w:type="dxa"/>
              <w:end w:w="100" w:type="dxa"/>
            </w:tcMar>
            <w:shd w:fill="0B172A"/>
          </w:tcPr>
          <w:p>
            <w:pPr>
              <w:spacing w:after="0" w:line="250" w:lineRule="auto"/>
            </w:pPr>
            <w:r/>
            <w:r>
              <w:rPr>
                <w:rFonts w:ascii="Aptos" w:hAnsi="Aptos"/>
                <w:b/>
                <w:color w:val="FFFFFF"/>
                <w:sz w:val="18"/>
              </w:rPr>
              <w:t>Abstain</w:t>
            </w:r>
          </w:p>
        </w:tc>
      </w:tr>
      <w:tr>
        <w:tc>
          <w:tcPr>
            <w:tcW w:type="dxa" w:w="2592"/>
            <w:vAlign w:val="center"/>
            <w:tcMar>
              <w:top w:w="90" w:type="dxa"/>
              <w:start w:w="100" w:type="dxa"/>
              <w:bottom w:w="90" w:type="dxa"/>
              <w:end w:w="100" w:type="dxa"/>
            </w:tcMar>
          </w:tcPr>
          <w:p>
            <w:pPr>
              <w:spacing w:after="0" w:line="250" w:lineRule="auto"/>
            </w:pPr>
            <w:r/>
            <w:r>
              <w:rPr>
                <w:rFonts w:ascii="Aptos" w:hAnsi="Aptos"/>
                <w:b/>
                <w:color w:val="172033"/>
                <w:sz w:val="20"/>
              </w:rPr>
              <w:t>1</w:t>
            </w:r>
          </w:p>
        </w:tc>
        <w:tc>
          <w:tcPr>
            <w:tcW w:type="dxa" w:w="2088"/>
            <w:vAlign w:val="center"/>
            <w:tcMar>
              <w:top w:w="90" w:type="dxa"/>
              <w:start w:w="100" w:type="dxa"/>
              <w:bottom w:w="90" w:type="dxa"/>
              <w:end w:w="100" w:type="dxa"/>
            </w:tcMar>
          </w:tcPr>
          <w:p>
            <w:pPr>
              <w:spacing w:after="0" w:line="250" w:lineRule="auto"/>
            </w:pPr>
            <w:r/>
            <w:r>
              <w:rPr>
                <w:rFonts w:ascii="Aptos" w:hAnsi="Aptos"/>
                <w:b w:val="0"/>
                <w:color w:val="172033"/>
                <w:sz w:val="20"/>
              </w:rPr>
            </w:r>
          </w:p>
        </w:tc>
        <w:tc>
          <w:tcPr>
            <w:tcW w:type="dxa" w:w="2088"/>
            <w:vAlign w:val="center"/>
            <w:tcMar>
              <w:top w:w="90" w:type="dxa"/>
              <w:start w:w="100" w:type="dxa"/>
              <w:bottom w:w="90" w:type="dxa"/>
              <w:end w:w="100" w:type="dxa"/>
            </w:tcMar>
          </w:tcPr>
          <w:p>
            <w:pPr>
              <w:spacing w:after="0" w:line="250" w:lineRule="auto"/>
            </w:pPr>
            <w:r/>
            <w:r>
              <w:rPr>
                <w:rFonts w:ascii="Aptos" w:hAnsi="Aptos"/>
                <w:b w:val="0"/>
                <w:color w:val="172033"/>
                <w:sz w:val="20"/>
              </w:rPr>
            </w:r>
          </w:p>
        </w:tc>
        <w:tc>
          <w:tcPr>
            <w:tcW w:type="dxa" w:w="2088"/>
            <w:vAlign w:val="center"/>
            <w:tcMar>
              <w:top w:w="90" w:type="dxa"/>
              <w:start w:w="100" w:type="dxa"/>
              <w:bottom w:w="90" w:type="dxa"/>
              <w:end w:w="100" w:type="dxa"/>
            </w:tcMar>
          </w:tcPr>
          <w:p>
            <w:pPr>
              <w:spacing w:after="0" w:line="250" w:lineRule="auto"/>
            </w:pPr>
            <w:r/>
            <w:r>
              <w:rPr>
                <w:rFonts w:ascii="Aptos" w:hAnsi="Aptos"/>
                <w:b w:val="0"/>
                <w:color w:val="172033"/>
                <w:sz w:val="20"/>
              </w:rPr>
            </w:r>
          </w:p>
        </w:tc>
      </w:tr>
    </w:tbl>
    <w:p>
      <w:pPr>
        <w:widowControl w:val="1"/>
      </w:pPr>
      <w:r>
        <w:br w:type="page"/>
      </w:r>
    </w:p>
    <w:p>
      <w:pPr>
        <w:spacing w:after="80"/>
        <w:widowControl w:val="1"/>
      </w:pPr>
      <w:r>
        <w:rPr>
          <w:rFonts w:ascii="Aptos" w:hAnsi="Aptos"/>
          <w:b/>
          <w:color w:val="172033"/>
          <w:sz w:val="18"/>
        </w:rPr>
        <w:t>PROPOSAL 2</w:t>
      </w:r>
    </w:p>
    <w:p>
      <w:pPr>
        <w:pStyle w:val="Heading1"/>
        <w:widowControl w:val="1"/>
      </w:pPr>
      <w:r>
        <w:t>Carry forward and stabilise</w:t>
      </w:r>
    </w:p>
    <w:p>
      <w:pPr>
        <w:spacing w:after="140"/>
        <w:widowControl w:val="1"/>
      </w:pPr>
      <w:r>
        <w:rPr>
          <w:i/>
          <w:color w:val="526078"/>
        </w:rPr>
        <w:t>Use known handicaps, adjust more frequently at first and retain a 40-point maximum playing start.</w:t>
      </w:r>
    </w:p>
    <w:p>
      <w:pPr>
        <w:spacing w:before="0" w:after="160"/>
        <w:widowControl w:val="1"/>
      </w:pPr>
    </w:p>
    <w:p>
      <w:pPr>
        <w:pStyle w:val="Heading2"/>
        <w:widowControl w:val="1"/>
      </w:pPr>
      <w:r>
        <w:t>Motion</w:t>
      </w:r>
    </w:p>
    <w:p>
      <w:pPr>
        <w:pStyle w:val="Motion"/>
        <w:widowControl w:val="1"/>
      </w:pPr>
      <w:r>
        <w:t>That registered Premier League players begin from their latest validated Rack &amp; Frame Elo and handicap; new or unrated players begin at Elo 1000 and handicap 0 unless an evidenced provisional handicap is approved; Elo updates after each approved eligible singles and doubles frame; playing handicaps are reviewed after each of the first four fixture weeks and every four fixture weeks thereafter; and the points actually awarded in any frame are capped at 40.</w:t>
      </w:r>
    </w:p>
    <w:p>
      <w:pPr>
        <w:pStyle w:val="Heading2"/>
        <w:widowControl w:val="1"/>
      </w:pPr>
      <w:r>
        <w:t>Rules if adopted</w:t>
      </w:r>
    </w:p>
    <w:p>
      <w:pPr>
        <w:pStyle w:val="ListBullet"/>
        <w:spacing w:after="64" w:line="259" w:lineRule="auto"/>
        <w:ind w:left="317" w:hanging="230"/>
        <w:widowControl w:val="1"/>
      </w:pPr>
      <w:r>
        <w:rPr>
          <w:rFonts w:ascii="Aptos" w:hAnsi="Aptos"/>
          <w:sz w:val="20"/>
        </w:rPr>
        <w:t>Summer League 2026 players use their final validated summer figures; other returning players use their latest validated winter figures.</w:t>
      </w:r>
    </w:p>
    <w:p>
      <w:pPr>
        <w:pStyle w:val="ListBullet"/>
        <w:spacing w:after="64" w:line="259" w:lineRule="auto"/>
        <w:ind w:left="317" w:hanging="230"/>
        <w:widowControl w:val="1"/>
      </w:pPr>
      <w:r>
        <w:rPr>
          <w:rFonts w:ascii="Aptos" w:hAnsi="Aptos"/>
          <w:sz w:val="20"/>
        </w:rPr>
        <w:t>A genuinely new or unrated player starts at Elo 1000 and handicap 0 unless officers approve an evidenced provisional figure before their first frame.</w:t>
      </w:r>
    </w:p>
    <w:p>
      <w:pPr>
        <w:pStyle w:val="ListBullet"/>
        <w:spacing w:after="64" w:line="259" w:lineRule="auto"/>
        <w:ind w:left="317" w:hanging="230"/>
        <w:widowControl w:val="1"/>
      </w:pPr>
      <w:r>
        <w:rPr>
          <w:rFonts w:ascii="Aptos" w:hAnsi="Aptos"/>
          <w:sz w:val="20"/>
        </w:rPr>
        <w:t>Handicaps are reviewed weekly after fixture weeks 1, 2, 3 and 4, then every four fixture weeks once the opening period has stabilised.</w:t>
      </w:r>
    </w:p>
    <w:p>
      <w:pPr>
        <w:pStyle w:val="ListBullet"/>
        <w:spacing w:after="64" w:line="259" w:lineRule="auto"/>
        <w:ind w:left="317" w:hanging="230"/>
        <w:widowControl w:val="1"/>
      </w:pPr>
      <w:r>
        <w:rPr>
          <w:rFonts w:ascii="Aptos" w:hAnsi="Aptos"/>
          <w:sz w:val="20"/>
        </w:rPr>
        <w:t>If the published handicap difference exceeds 40, the weaker player receives 40 points—not the full difference.</w:t>
      </w:r>
    </w:p>
    <w:p>
      <w:pPr>
        <w:pStyle w:val="ListBullet"/>
        <w:spacing w:after="64" w:line="259" w:lineRule="auto"/>
        <w:ind w:left="317" w:hanging="230"/>
        <w:widowControl w:val="1"/>
      </w:pPr>
      <w:r>
        <w:rPr>
          <w:rFonts w:ascii="Aptos" w:hAnsi="Aptos"/>
          <w:sz w:val="20"/>
        </w:rPr>
        <w:t>Home Lists First / Away Selects continues without a restriction on which players may be paired.</w:t>
      </w:r>
    </w:p>
    <w:p>
      <w:pPr>
        <w:pStyle w:val="Heading2"/>
        <w:widowControl w:val="1"/>
      </w:pPr>
      <w:r>
        <w:t>Why teams may support it</w:t>
      </w:r>
    </w:p>
    <w:p>
      <w:pPr>
        <w:pStyle w:val="ListBullet"/>
        <w:spacing w:after="64" w:line="259" w:lineRule="auto"/>
        <w:ind w:left="317" w:hanging="230"/>
        <w:widowControl w:val="1"/>
      </w:pPr>
      <w:r>
        <w:rPr>
          <w:rFonts w:ascii="Aptos" w:hAnsi="Aptos"/>
          <w:sz w:val="20"/>
        </w:rPr>
        <w:t>Preserves the evidence already produced by winter and summer results.</w:t>
      </w:r>
    </w:p>
    <w:p>
      <w:pPr>
        <w:pStyle w:val="ListBullet"/>
        <w:spacing w:after="64" w:line="259" w:lineRule="auto"/>
        <w:ind w:left="317" w:hanging="230"/>
        <w:widowControl w:val="1"/>
      </w:pPr>
      <w:r>
        <w:rPr>
          <w:rFonts w:ascii="Aptos" w:hAnsi="Aptos"/>
          <w:sz w:val="20"/>
        </w:rPr>
        <w:t>Weekly opening reviews react quickly for new players and changed form; later four-week blocks restore stability.</w:t>
      </w:r>
    </w:p>
    <w:p>
      <w:pPr>
        <w:pStyle w:val="ListBullet"/>
        <w:spacing w:after="64" w:line="259" w:lineRule="auto"/>
        <w:ind w:left="317" w:hanging="230"/>
        <w:widowControl w:val="1"/>
      </w:pPr>
      <w:r>
        <w:rPr>
          <w:rFonts w:ascii="Aptos" w:hAnsi="Aptos"/>
          <w:sz w:val="20"/>
        </w:rPr>
        <w:t>The 40-point maximum limits the psychological and competitive effect of very large starts.</w:t>
      </w:r>
    </w:p>
    <w:p>
      <w:pPr>
        <w:pStyle w:val="Heading2"/>
        <w:widowControl w:val="1"/>
      </w:pPr>
      <w:r>
        <w:t>Trade-offs to accept</w:t>
      </w:r>
    </w:p>
    <w:p>
      <w:pPr>
        <w:pStyle w:val="ListBullet"/>
        <w:spacing w:after="64" w:line="259" w:lineRule="auto"/>
        <w:ind w:left="317" w:hanging="230"/>
        <w:widowControl w:val="1"/>
      </w:pPr>
      <w:r>
        <w:rPr>
          <w:rFonts w:ascii="Aptos" w:hAnsi="Aptos"/>
          <w:sz w:val="20"/>
        </w:rPr>
        <w:t>Players with no history remain provisional and may initially be less accurately placed.</w:t>
      </w:r>
    </w:p>
    <w:p>
      <w:pPr>
        <w:pStyle w:val="ListBullet"/>
        <w:spacing w:after="64" w:line="259" w:lineRule="auto"/>
        <w:ind w:left="317" w:hanging="230"/>
        <w:widowControl w:val="1"/>
      </w:pPr>
      <w:r>
        <w:rPr>
          <w:rFonts w:ascii="Aptos" w:hAnsi="Aptos"/>
          <w:sz w:val="20"/>
        </w:rPr>
        <w:t>Weekly opening changes require clear publication and more officer checking.</w:t>
      </w:r>
    </w:p>
    <w:p>
      <w:pPr>
        <w:pStyle w:val="ListBullet"/>
        <w:spacing w:after="64" w:line="259" w:lineRule="auto"/>
        <w:ind w:left="317" w:hanging="230"/>
        <w:widowControl w:val="1"/>
      </w:pPr>
      <w:r>
        <w:rPr>
          <w:rFonts w:ascii="Aptos" w:hAnsi="Aptos"/>
          <w:sz w:val="20"/>
        </w:rPr>
        <w:t>Capping the start means the weakest player may receive less compensation than the rating difference indicates.</w:t>
      </w:r>
    </w:p>
    <w:p>
      <w:pPr>
        <w:spacing w:after="140" w:line="264" w:lineRule="auto"/>
        <w:widowControl w:val="1"/>
      </w:pPr>
      <w:r>
        <w:rPr>
          <w:b/>
          <w:color w:val="0B172A"/>
        </w:rPr>
        <w:t xml:space="preserve">Rack &amp; Frame impact: </w:t>
      </w:r>
      <w:r>
        <w:t>A modest change: restore validated values, schedule four weekly opening reviews and enforce the 40-point match-start ceiling.</w:t>
      </w:r>
    </w:p>
    <w:p>
      <w:pPr>
        <w:pStyle w:val="Heading2"/>
        <w:widowControl w:val="1"/>
      </w:pPr>
      <w:r>
        <w:t>Vote record</w:t>
      </w:r>
    </w:p>
    <w:tbl>
      <w:tblPr>
        <w:tblStyle w:val="TableGrid"/>
        <w:tblW w:type="auto" w:w="0"/>
        <w:jc w:val="center"/>
        <w:tblLook w:firstColumn="1" w:firstRow="1" w:lastColumn="0" w:lastRow="0" w:noHBand="0" w:noVBand="1" w:val="04A0"/>
        <w:tblCaption w:val="Proposal 2 vote record"/>
        <w:tblDescription w:val="Blank cells for votes for, against and abstaining."/>
      </w:tblPr>
      <w:tblGrid>
        <w:gridCol w:w="2498"/>
        <w:gridCol w:w="2498"/>
        <w:gridCol w:w="2498"/>
        <w:gridCol w:w="2498"/>
      </w:tblGrid>
      <w:tr>
        <w:trPr>
          <w:tblHeader w:val="true"/>
        </w:trPr>
        <w:tc>
          <w:tcPr>
            <w:tcW w:type="dxa" w:w="2592"/>
            <w:vAlign w:val="center"/>
            <w:tcMar>
              <w:top w:w="90" w:type="dxa"/>
              <w:start w:w="100" w:type="dxa"/>
              <w:bottom w:w="90" w:type="dxa"/>
              <w:end w:w="100" w:type="dxa"/>
            </w:tcMar>
            <w:shd w:fill="0B172A"/>
          </w:tcPr>
          <w:p>
            <w:pPr>
              <w:spacing w:after="0" w:line="250" w:lineRule="auto"/>
            </w:pPr>
            <w:r/>
            <w:r>
              <w:rPr>
                <w:rFonts w:ascii="Aptos" w:hAnsi="Aptos"/>
                <w:b/>
                <w:color w:val="FFFFFF"/>
                <w:sz w:val="18"/>
              </w:rPr>
              <w:t>Proposal</w:t>
            </w:r>
          </w:p>
        </w:tc>
        <w:tc>
          <w:tcPr>
            <w:tcW w:type="dxa" w:w="2088"/>
            <w:vAlign w:val="center"/>
            <w:tcMar>
              <w:top w:w="90" w:type="dxa"/>
              <w:start w:w="100" w:type="dxa"/>
              <w:bottom w:w="90" w:type="dxa"/>
              <w:end w:w="100" w:type="dxa"/>
            </w:tcMar>
            <w:shd w:fill="0B172A"/>
          </w:tcPr>
          <w:p>
            <w:pPr>
              <w:spacing w:after="0" w:line="250" w:lineRule="auto"/>
            </w:pPr>
            <w:r/>
            <w:r>
              <w:rPr>
                <w:rFonts w:ascii="Aptos" w:hAnsi="Aptos"/>
                <w:b/>
                <w:color w:val="FFFFFF"/>
                <w:sz w:val="18"/>
              </w:rPr>
              <w:t>For</w:t>
            </w:r>
          </w:p>
        </w:tc>
        <w:tc>
          <w:tcPr>
            <w:tcW w:type="dxa" w:w="2088"/>
            <w:vAlign w:val="center"/>
            <w:tcMar>
              <w:top w:w="90" w:type="dxa"/>
              <w:start w:w="100" w:type="dxa"/>
              <w:bottom w:w="90" w:type="dxa"/>
              <w:end w:w="100" w:type="dxa"/>
            </w:tcMar>
            <w:shd w:fill="0B172A"/>
          </w:tcPr>
          <w:p>
            <w:pPr>
              <w:spacing w:after="0" w:line="250" w:lineRule="auto"/>
            </w:pPr>
            <w:r/>
            <w:r>
              <w:rPr>
                <w:rFonts w:ascii="Aptos" w:hAnsi="Aptos"/>
                <w:b/>
                <w:color w:val="FFFFFF"/>
                <w:sz w:val="18"/>
              </w:rPr>
              <w:t>Against</w:t>
            </w:r>
          </w:p>
        </w:tc>
        <w:tc>
          <w:tcPr>
            <w:tcW w:type="dxa" w:w="2088"/>
            <w:vAlign w:val="center"/>
            <w:tcMar>
              <w:top w:w="90" w:type="dxa"/>
              <w:start w:w="100" w:type="dxa"/>
              <w:bottom w:w="90" w:type="dxa"/>
              <w:end w:w="100" w:type="dxa"/>
            </w:tcMar>
            <w:shd w:fill="0B172A"/>
          </w:tcPr>
          <w:p>
            <w:pPr>
              <w:spacing w:after="0" w:line="250" w:lineRule="auto"/>
            </w:pPr>
            <w:r/>
            <w:r>
              <w:rPr>
                <w:rFonts w:ascii="Aptos" w:hAnsi="Aptos"/>
                <w:b/>
                <w:color w:val="FFFFFF"/>
                <w:sz w:val="18"/>
              </w:rPr>
              <w:t>Abstain</w:t>
            </w:r>
          </w:p>
        </w:tc>
      </w:tr>
      <w:tr>
        <w:tc>
          <w:tcPr>
            <w:tcW w:type="dxa" w:w="2592"/>
            <w:vAlign w:val="center"/>
            <w:tcMar>
              <w:top w:w="90" w:type="dxa"/>
              <w:start w:w="100" w:type="dxa"/>
              <w:bottom w:w="90" w:type="dxa"/>
              <w:end w:w="100" w:type="dxa"/>
            </w:tcMar>
          </w:tcPr>
          <w:p>
            <w:pPr>
              <w:spacing w:after="0" w:line="250" w:lineRule="auto"/>
            </w:pPr>
            <w:r/>
            <w:r>
              <w:rPr>
                <w:rFonts w:ascii="Aptos" w:hAnsi="Aptos"/>
                <w:b/>
                <w:color w:val="172033"/>
                <w:sz w:val="20"/>
              </w:rPr>
              <w:t>2</w:t>
            </w:r>
          </w:p>
        </w:tc>
        <w:tc>
          <w:tcPr>
            <w:tcW w:type="dxa" w:w="2088"/>
            <w:vAlign w:val="center"/>
            <w:tcMar>
              <w:top w:w="90" w:type="dxa"/>
              <w:start w:w="100" w:type="dxa"/>
              <w:bottom w:w="90" w:type="dxa"/>
              <w:end w:w="100" w:type="dxa"/>
            </w:tcMar>
          </w:tcPr>
          <w:p>
            <w:pPr>
              <w:spacing w:after="0" w:line="250" w:lineRule="auto"/>
            </w:pPr>
            <w:r/>
            <w:r>
              <w:rPr>
                <w:rFonts w:ascii="Aptos" w:hAnsi="Aptos"/>
                <w:b w:val="0"/>
                <w:color w:val="172033"/>
                <w:sz w:val="20"/>
              </w:rPr>
            </w:r>
          </w:p>
        </w:tc>
        <w:tc>
          <w:tcPr>
            <w:tcW w:type="dxa" w:w="2088"/>
            <w:vAlign w:val="center"/>
            <w:tcMar>
              <w:top w:w="90" w:type="dxa"/>
              <w:start w:w="100" w:type="dxa"/>
              <w:bottom w:w="90" w:type="dxa"/>
              <w:end w:w="100" w:type="dxa"/>
            </w:tcMar>
          </w:tcPr>
          <w:p>
            <w:pPr>
              <w:spacing w:after="0" w:line="250" w:lineRule="auto"/>
            </w:pPr>
            <w:r/>
            <w:r>
              <w:rPr>
                <w:rFonts w:ascii="Aptos" w:hAnsi="Aptos"/>
                <w:b w:val="0"/>
                <w:color w:val="172033"/>
                <w:sz w:val="20"/>
              </w:rPr>
            </w:r>
          </w:p>
        </w:tc>
        <w:tc>
          <w:tcPr>
            <w:tcW w:type="dxa" w:w="2088"/>
            <w:vAlign w:val="center"/>
            <w:tcMar>
              <w:top w:w="90" w:type="dxa"/>
              <w:start w:w="100" w:type="dxa"/>
              <w:bottom w:w="90" w:type="dxa"/>
              <w:end w:w="100" w:type="dxa"/>
            </w:tcMar>
          </w:tcPr>
          <w:p>
            <w:pPr>
              <w:spacing w:after="0" w:line="250" w:lineRule="auto"/>
            </w:pPr>
            <w:r/>
            <w:r>
              <w:rPr>
                <w:rFonts w:ascii="Aptos" w:hAnsi="Aptos"/>
                <w:b w:val="0"/>
                <w:color w:val="172033"/>
                <w:sz w:val="20"/>
              </w:rPr>
            </w:r>
          </w:p>
        </w:tc>
      </w:tr>
    </w:tbl>
    <w:p>
      <w:pPr>
        <w:widowControl w:val="1"/>
      </w:pPr>
      <w:r>
        <w:br w:type="page"/>
      </w:r>
    </w:p>
    <w:p>
      <w:pPr>
        <w:spacing w:after="80"/>
        <w:widowControl w:val="1"/>
      </w:pPr>
      <w:r>
        <w:rPr>
          <w:rFonts w:ascii="Aptos" w:hAnsi="Aptos"/>
          <w:b/>
          <w:color w:val="172033"/>
          <w:sz w:val="18"/>
        </w:rPr>
        <w:t>PROPOSAL 3</w:t>
      </w:r>
    </w:p>
    <w:p>
      <w:pPr>
        <w:pStyle w:val="Heading1"/>
        <w:widowControl w:val="1"/>
      </w:pPr>
      <w:r>
        <w:t>Carry forward with a 40-point pairing variance</w:t>
      </w:r>
    </w:p>
    <w:p>
      <w:pPr>
        <w:spacing w:after="140"/>
        <w:widowControl w:val="1"/>
      </w:pPr>
      <w:r>
        <w:rPr>
          <w:i/>
          <w:color w:val="526078"/>
        </w:rPr>
        <w:t>Control extreme mismatches by limiting player selection rather than reducing the calculated start.</w:t>
      </w:r>
    </w:p>
    <w:p>
      <w:pPr>
        <w:spacing w:before="0" w:after="160"/>
        <w:widowControl w:val="1"/>
      </w:pPr>
    </w:p>
    <w:p>
      <w:pPr>
        <w:pStyle w:val="Heading2"/>
        <w:widowControl w:val="1"/>
      </w:pPr>
      <w:r>
        <w:t>Motion</w:t>
      </w:r>
    </w:p>
    <w:p>
      <w:pPr>
        <w:pStyle w:val="Motion"/>
        <w:widowControl w:val="1"/>
      </w:pPr>
      <w:r>
        <w:t>That registered Premier League players begin from their latest validated Rack &amp; Frame Elo and handicap; new or unrated players begin at Elo 1000 and handicap 0 unless an evidenced provisional handicap is approved; Elo updates after each approved eligible singles and doubles frame; playing handicaps are reviewed every four fixture weeks; and, under Home Lists First / Away Selects, the published handicap difference between the two selected players may not exceed 40 points, subject to the recorded availability exception below.</w:t>
      </w:r>
    </w:p>
    <w:p>
      <w:pPr>
        <w:pStyle w:val="Heading2"/>
        <w:widowControl w:val="1"/>
      </w:pPr>
      <w:r>
        <w:t>Rules if adopted</w:t>
      </w:r>
    </w:p>
    <w:p>
      <w:pPr>
        <w:pStyle w:val="ListBullet"/>
        <w:spacing w:after="64" w:line="259" w:lineRule="auto"/>
        <w:ind w:left="317" w:hanging="230"/>
        <w:widowControl w:val="1"/>
      </w:pPr>
      <w:r>
        <w:rPr>
          <w:rFonts w:ascii="Aptos" w:hAnsi="Aptos"/>
          <w:sz w:val="20"/>
        </w:rPr>
        <w:t>Summer League 2026 players use their final validated summer figures; other returning players use their latest validated winter figures.</w:t>
      </w:r>
    </w:p>
    <w:p>
      <w:pPr>
        <w:pStyle w:val="ListBullet"/>
        <w:spacing w:after="64" w:line="259" w:lineRule="auto"/>
        <w:ind w:left="317" w:hanging="230"/>
        <w:widowControl w:val="1"/>
      </w:pPr>
      <w:r>
        <w:rPr>
          <w:rFonts w:ascii="Aptos" w:hAnsi="Aptos"/>
          <w:sz w:val="20"/>
        </w:rPr>
        <w:t>A genuinely new or unrated player starts at Elo 1000 and handicap 0 unless officers approve an evidenced provisional figure before their first frame.</w:t>
      </w:r>
    </w:p>
    <w:p>
      <w:pPr>
        <w:pStyle w:val="ListBullet"/>
        <w:spacing w:after="64" w:line="259" w:lineRule="auto"/>
        <w:ind w:left="317" w:hanging="230"/>
        <w:widowControl w:val="1"/>
      </w:pPr>
      <w:r>
        <w:rPr>
          <w:rFonts w:ascii="Aptos" w:hAnsi="Aptos"/>
          <w:sz w:val="20"/>
        </w:rPr>
        <w:t>The home captain lists the five home players first, in any order; the away captain then selects opponents.</w:t>
      </w:r>
    </w:p>
    <w:p>
      <w:pPr>
        <w:pStyle w:val="ListBullet"/>
        <w:spacing w:after="64" w:line="259" w:lineRule="auto"/>
        <w:ind w:left="317" w:hanging="230"/>
        <w:widowControl w:val="1"/>
      </w:pPr>
      <w:r>
        <w:rPr>
          <w:rFonts w:ascii="Aptos" w:hAnsi="Aptos"/>
          <w:sz w:val="20"/>
        </w:rPr>
        <w:t>Each selected pair must be within 40 handicap points. Example: −46 versus +24 is not permitted because the variance is 70; −46 versus −6 is permitted because the variance is 40.</w:t>
      </w:r>
    </w:p>
    <w:p>
      <w:pPr>
        <w:pStyle w:val="ListBullet"/>
        <w:spacing w:after="64" w:line="259" w:lineRule="auto"/>
        <w:ind w:left="317" w:hanging="230"/>
        <w:widowControl w:val="1"/>
      </w:pPr>
      <w:r>
        <w:rPr>
          <w:rFonts w:ascii="Aptos" w:hAnsi="Aptos"/>
          <w:sz w:val="20"/>
        </w:rPr>
        <w:t>If the available players make full compliance mathematically impossible, the away captain must alert the home captain before play; the closest available pairing is used and the exception is recorded with the result.</w:t>
      </w:r>
    </w:p>
    <w:p>
      <w:pPr>
        <w:pStyle w:val="ListBullet"/>
        <w:spacing w:after="64" w:line="259" w:lineRule="auto"/>
        <w:ind w:left="317" w:hanging="230"/>
        <w:widowControl w:val="1"/>
      </w:pPr>
      <w:r>
        <w:rPr>
          <w:rFonts w:ascii="Aptos" w:hAnsi="Aptos"/>
          <w:sz w:val="20"/>
        </w:rPr>
        <w:t>Handicaps are reviewed every four fixture weeks. The actual start is the full published difference because a legal pairing cannot exceed 40.</w:t>
      </w:r>
    </w:p>
    <w:p>
      <w:pPr>
        <w:pStyle w:val="Heading2"/>
        <w:widowControl w:val="1"/>
      </w:pPr>
      <w:r>
        <w:t>Why teams may support it</w:t>
      </w:r>
    </w:p>
    <w:p>
      <w:pPr>
        <w:pStyle w:val="ListBullet"/>
        <w:spacing w:after="64" w:line="259" w:lineRule="auto"/>
        <w:ind w:left="317" w:hanging="230"/>
        <w:widowControl w:val="1"/>
      </w:pPr>
      <w:r>
        <w:rPr>
          <w:rFonts w:ascii="Aptos" w:hAnsi="Aptos"/>
          <w:sz w:val="20"/>
        </w:rPr>
        <w:t>Prevents the most extreme ability mismatches while retaining meaningful tactical choice for captains.</w:t>
      </w:r>
    </w:p>
    <w:p>
      <w:pPr>
        <w:pStyle w:val="ListBullet"/>
        <w:spacing w:after="64" w:line="259" w:lineRule="auto"/>
        <w:ind w:left="317" w:hanging="230"/>
        <w:widowControl w:val="1"/>
      </w:pPr>
      <w:r>
        <w:rPr>
          <w:rFonts w:ascii="Aptos" w:hAnsi="Aptos"/>
          <w:sz w:val="20"/>
        </w:rPr>
        <w:t>The score calculation remains simple: use the exact handicap difference for every permitted pairing.</w:t>
      </w:r>
    </w:p>
    <w:p>
      <w:pPr>
        <w:pStyle w:val="ListBullet"/>
        <w:spacing w:after="64" w:line="259" w:lineRule="auto"/>
        <w:ind w:left="317" w:hanging="230"/>
        <w:widowControl w:val="1"/>
      </w:pPr>
      <w:r>
        <w:rPr>
          <w:rFonts w:ascii="Aptos" w:hAnsi="Aptos"/>
          <w:sz w:val="20"/>
        </w:rPr>
        <w:t>Four-weekly reviews keep published handicaps stable and auditable.</w:t>
      </w:r>
    </w:p>
    <w:p>
      <w:pPr>
        <w:pStyle w:val="Heading2"/>
        <w:widowControl w:val="1"/>
      </w:pPr>
      <w:r>
        <w:t>Trade-offs to accept</w:t>
      </w:r>
    </w:p>
    <w:p>
      <w:pPr>
        <w:pStyle w:val="ListBullet"/>
        <w:spacing w:after="64" w:line="259" w:lineRule="auto"/>
        <w:ind w:left="317" w:hanging="230"/>
        <w:widowControl w:val="1"/>
      </w:pPr>
      <w:r>
        <w:rPr>
          <w:rFonts w:ascii="Aptos" w:hAnsi="Aptos"/>
          <w:sz w:val="20"/>
        </w:rPr>
        <w:t>Restricts the away captain’s freedom to choose any opponent and may make lineup completion harder.</w:t>
      </w:r>
    </w:p>
    <w:p>
      <w:pPr>
        <w:pStyle w:val="ListBullet"/>
        <w:spacing w:after="64" w:line="259" w:lineRule="auto"/>
        <w:ind w:left="317" w:hanging="230"/>
        <w:widowControl w:val="1"/>
      </w:pPr>
      <w:r>
        <w:rPr>
          <w:rFonts w:ascii="Aptos" w:hAnsi="Aptos"/>
          <w:sz w:val="20"/>
        </w:rPr>
        <w:t>Teams with a wide internal ability spread may need the availability exception.</w:t>
      </w:r>
    </w:p>
    <w:p>
      <w:pPr>
        <w:pStyle w:val="ListBullet"/>
        <w:spacing w:after="64" w:line="259" w:lineRule="auto"/>
        <w:ind w:left="317" w:hanging="230"/>
        <w:widowControl w:val="1"/>
      </w:pPr>
      <w:r>
        <w:rPr>
          <w:rFonts w:ascii="Aptos" w:hAnsi="Aptos"/>
          <w:sz w:val="20"/>
        </w:rPr>
        <w:t>The app requires new validation, exception recording and careful match-night testing before this rule can be enforced reliably.</w:t>
      </w:r>
    </w:p>
    <w:p>
      <w:pPr>
        <w:spacing w:after="140" w:line="264" w:lineRule="auto"/>
        <w:widowControl w:val="1"/>
      </w:pPr>
      <w:r>
        <w:rPr>
          <w:b/>
          <w:color w:val="0B172A"/>
        </w:rPr>
        <w:t xml:space="preserve">Rack &amp; Frame impact: </w:t>
      </w:r>
      <w:r>
        <w:t>Requires a tested lineup-rule change, clear on-screen explanations and an auditable override for impossible pairings.</w:t>
      </w:r>
    </w:p>
    <w:p>
      <w:pPr>
        <w:pStyle w:val="Heading2"/>
        <w:widowControl w:val="1"/>
      </w:pPr>
      <w:r>
        <w:t>Vote record</w:t>
      </w:r>
    </w:p>
    <w:tbl>
      <w:tblPr>
        <w:tblStyle w:val="TableGrid"/>
        <w:tblW w:type="auto" w:w="0"/>
        <w:jc w:val="center"/>
        <w:tblLook w:firstColumn="1" w:firstRow="1" w:lastColumn="0" w:lastRow="0" w:noHBand="0" w:noVBand="1" w:val="04A0"/>
        <w:tblCaption w:val="Proposal 3 vote record"/>
        <w:tblDescription w:val="Blank cells for votes for, against and abstaining."/>
      </w:tblPr>
      <w:tblGrid>
        <w:gridCol w:w="2498"/>
        <w:gridCol w:w="2498"/>
        <w:gridCol w:w="2498"/>
        <w:gridCol w:w="2498"/>
      </w:tblGrid>
      <w:tr>
        <w:trPr>
          <w:tblHeader w:val="true"/>
        </w:trPr>
        <w:tc>
          <w:tcPr>
            <w:tcW w:type="dxa" w:w="2592"/>
            <w:vAlign w:val="center"/>
            <w:tcMar>
              <w:top w:w="90" w:type="dxa"/>
              <w:start w:w="100" w:type="dxa"/>
              <w:bottom w:w="90" w:type="dxa"/>
              <w:end w:w="100" w:type="dxa"/>
            </w:tcMar>
            <w:shd w:fill="0B172A"/>
          </w:tcPr>
          <w:p>
            <w:pPr>
              <w:spacing w:after="0" w:line="250" w:lineRule="auto"/>
            </w:pPr>
            <w:r/>
            <w:r>
              <w:rPr>
                <w:rFonts w:ascii="Aptos" w:hAnsi="Aptos"/>
                <w:b/>
                <w:color w:val="FFFFFF"/>
                <w:sz w:val="18"/>
              </w:rPr>
              <w:t>Proposal</w:t>
            </w:r>
          </w:p>
        </w:tc>
        <w:tc>
          <w:tcPr>
            <w:tcW w:type="dxa" w:w="2088"/>
            <w:vAlign w:val="center"/>
            <w:tcMar>
              <w:top w:w="90" w:type="dxa"/>
              <w:start w:w="100" w:type="dxa"/>
              <w:bottom w:w="90" w:type="dxa"/>
              <w:end w:w="100" w:type="dxa"/>
            </w:tcMar>
            <w:shd w:fill="0B172A"/>
          </w:tcPr>
          <w:p>
            <w:pPr>
              <w:spacing w:after="0" w:line="250" w:lineRule="auto"/>
            </w:pPr>
            <w:r/>
            <w:r>
              <w:rPr>
                <w:rFonts w:ascii="Aptos" w:hAnsi="Aptos"/>
                <w:b/>
                <w:color w:val="FFFFFF"/>
                <w:sz w:val="18"/>
              </w:rPr>
              <w:t>For</w:t>
            </w:r>
          </w:p>
        </w:tc>
        <w:tc>
          <w:tcPr>
            <w:tcW w:type="dxa" w:w="2088"/>
            <w:vAlign w:val="center"/>
            <w:tcMar>
              <w:top w:w="90" w:type="dxa"/>
              <w:start w:w="100" w:type="dxa"/>
              <w:bottom w:w="90" w:type="dxa"/>
              <w:end w:w="100" w:type="dxa"/>
            </w:tcMar>
            <w:shd w:fill="0B172A"/>
          </w:tcPr>
          <w:p>
            <w:pPr>
              <w:spacing w:after="0" w:line="250" w:lineRule="auto"/>
            </w:pPr>
            <w:r/>
            <w:r>
              <w:rPr>
                <w:rFonts w:ascii="Aptos" w:hAnsi="Aptos"/>
                <w:b/>
                <w:color w:val="FFFFFF"/>
                <w:sz w:val="18"/>
              </w:rPr>
              <w:t>Against</w:t>
            </w:r>
          </w:p>
        </w:tc>
        <w:tc>
          <w:tcPr>
            <w:tcW w:type="dxa" w:w="2088"/>
            <w:vAlign w:val="center"/>
            <w:tcMar>
              <w:top w:w="90" w:type="dxa"/>
              <w:start w:w="100" w:type="dxa"/>
              <w:bottom w:w="90" w:type="dxa"/>
              <w:end w:w="100" w:type="dxa"/>
            </w:tcMar>
            <w:shd w:fill="0B172A"/>
          </w:tcPr>
          <w:p>
            <w:pPr>
              <w:spacing w:after="0" w:line="250" w:lineRule="auto"/>
            </w:pPr>
            <w:r/>
            <w:r>
              <w:rPr>
                <w:rFonts w:ascii="Aptos" w:hAnsi="Aptos"/>
                <w:b/>
                <w:color w:val="FFFFFF"/>
                <w:sz w:val="18"/>
              </w:rPr>
              <w:t>Abstain</w:t>
            </w:r>
          </w:p>
        </w:tc>
      </w:tr>
      <w:tr>
        <w:tc>
          <w:tcPr>
            <w:tcW w:type="dxa" w:w="2592"/>
            <w:vAlign w:val="center"/>
            <w:tcMar>
              <w:top w:w="90" w:type="dxa"/>
              <w:start w:w="100" w:type="dxa"/>
              <w:bottom w:w="90" w:type="dxa"/>
              <w:end w:w="100" w:type="dxa"/>
            </w:tcMar>
          </w:tcPr>
          <w:p>
            <w:pPr>
              <w:spacing w:after="0" w:line="250" w:lineRule="auto"/>
            </w:pPr>
            <w:r/>
            <w:r>
              <w:rPr>
                <w:rFonts w:ascii="Aptos" w:hAnsi="Aptos"/>
                <w:b/>
                <w:color w:val="172033"/>
                <w:sz w:val="20"/>
              </w:rPr>
              <w:t>3</w:t>
            </w:r>
          </w:p>
        </w:tc>
        <w:tc>
          <w:tcPr>
            <w:tcW w:type="dxa" w:w="2088"/>
            <w:vAlign w:val="center"/>
            <w:tcMar>
              <w:top w:w="90" w:type="dxa"/>
              <w:start w:w="100" w:type="dxa"/>
              <w:bottom w:w="90" w:type="dxa"/>
              <w:end w:w="100" w:type="dxa"/>
            </w:tcMar>
          </w:tcPr>
          <w:p>
            <w:pPr>
              <w:spacing w:after="0" w:line="250" w:lineRule="auto"/>
            </w:pPr>
            <w:r/>
            <w:r>
              <w:rPr>
                <w:rFonts w:ascii="Aptos" w:hAnsi="Aptos"/>
                <w:b w:val="0"/>
                <w:color w:val="172033"/>
                <w:sz w:val="20"/>
              </w:rPr>
            </w:r>
          </w:p>
        </w:tc>
        <w:tc>
          <w:tcPr>
            <w:tcW w:type="dxa" w:w="2088"/>
            <w:vAlign w:val="center"/>
            <w:tcMar>
              <w:top w:w="90" w:type="dxa"/>
              <w:start w:w="100" w:type="dxa"/>
              <w:bottom w:w="90" w:type="dxa"/>
              <w:end w:w="100" w:type="dxa"/>
            </w:tcMar>
          </w:tcPr>
          <w:p>
            <w:pPr>
              <w:spacing w:after="0" w:line="250" w:lineRule="auto"/>
            </w:pPr>
            <w:r/>
            <w:r>
              <w:rPr>
                <w:rFonts w:ascii="Aptos" w:hAnsi="Aptos"/>
                <w:b w:val="0"/>
                <w:color w:val="172033"/>
                <w:sz w:val="20"/>
              </w:rPr>
            </w:r>
          </w:p>
        </w:tc>
        <w:tc>
          <w:tcPr>
            <w:tcW w:type="dxa" w:w="2088"/>
            <w:vAlign w:val="center"/>
            <w:tcMar>
              <w:top w:w="90" w:type="dxa"/>
              <w:start w:w="100" w:type="dxa"/>
              <w:bottom w:w="90" w:type="dxa"/>
              <w:end w:w="100" w:type="dxa"/>
            </w:tcMar>
          </w:tcPr>
          <w:p>
            <w:pPr>
              <w:spacing w:after="0" w:line="250" w:lineRule="auto"/>
            </w:pPr>
            <w:r/>
            <w:r>
              <w:rPr>
                <w:rFonts w:ascii="Aptos" w:hAnsi="Aptos"/>
                <w:b w:val="0"/>
                <w:color w:val="172033"/>
                <w:sz w:val="20"/>
              </w:rPr>
            </w:r>
          </w:p>
        </w:tc>
      </w:tr>
    </w:tbl>
    <w:p>
      <w:pPr>
        <w:widowControl w:val="1"/>
      </w:pPr>
      <w:r>
        <w:br w:type="page"/>
      </w:r>
    </w:p>
    <w:p>
      <w:pPr>
        <w:spacing w:after="80"/>
        <w:widowControl w:val="1"/>
      </w:pPr>
      <w:r>
        <w:rPr>
          <w:rFonts w:ascii="Aptos" w:hAnsi="Aptos"/>
          <w:b/>
          <w:color w:val="172033"/>
          <w:sz w:val="18"/>
        </w:rPr>
        <w:t>AT-A-GLANCE COMPARISON</w:t>
      </w:r>
    </w:p>
    <w:p>
      <w:pPr>
        <w:pStyle w:val="Heading1"/>
        <w:widowControl w:val="1"/>
      </w:pPr>
      <w:r>
        <w:t>The practical difference between the options</w:t>
      </w:r>
    </w:p>
    <w:p>
      <w:pPr>
        <w:spacing w:before="0" w:after="160"/>
        <w:widowControl w:val="1"/>
      </w:pPr>
    </w:p>
    <w:tbl>
      <w:tblPr>
        <w:tblStyle w:val="TableGrid"/>
        <w:tblW w:type="auto" w:w="0"/>
        <w:jc w:val="center"/>
        <w:tblLook w:firstColumn="1" w:firstRow="1" w:lastColumn="0" w:lastRow="0" w:noHBand="0" w:noVBand="1" w:val="04A0"/>
        <w:tblCaption w:val="Comparison of three Premier League handicap proposals"/>
        <w:tblDescription w:val="Compares opening values, review frequency, large-difference control, selection, purpose, concern and system impact."/>
      </w:tblPr>
      <w:tblGrid>
        <w:gridCol w:w="2498"/>
        <w:gridCol w:w="2498"/>
        <w:gridCol w:w="2498"/>
        <w:gridCol w:w="2498"/>
      </w:tblGrid>
      <w:tr>
        <w:trPr>
          <w:tblHeader w:val="true"/>
        </w:trPr>
        <w:tc>
          <w:tcPr>
            <w:tcW w:type="dxa" w:w="1800"/>
            <w:vAlign w:val="center"/>
            <w:tcMar>
              <w:top w:w="90" w:type="dxa"/>
              <w:start w:w="100" w:type="dxa"/>
              <w:bottom w:w="90" w:type="dxa"/>
              <w:end w:w="100" w:type="dxa"/>
            </w:tcMar>
            <w:shd w:fill="0B172A"/>
          </w:tcPr>
          <w:p>
            <w:pPr>
              <w:spacing w:after="0" w:line="250" w:lineRule="auto"/>
            </w:pPr>
            <w:r/>
            <w:r>
              <w:rPr>
                <w:rFonts w:ascii="Aptos" w:hAnsi="Aptos"/>
                <w:b/>
                <w:color w:val="FFFFFF"/>
                <w:sz w:val="17"/>
              </w:rPr>
              <w:t>Decision point</w:t>
            </w:r>
          </w:p>
        </w:tc>
        <w:tc>
          <w:tcPr>
            <w:tcW w:type="dxa" w:w="2477"/>
            <w:vAlign w:val="center"/>
            <w:tcMar>
              <w:top w:w="90" w:type="dxa"/>
              <w:start w:w="100" w:type="dxa"/>
              <w:bottom w:w="90" w:type="dxa"/>
              <w:end w:w="100" w:type="dxa"/>
            </w:tcMar>
            <w:shd w:fill="008C82"/>
          </w:tcPr>
          <w:p>
            <w:pPr>
              <w:spacing w:after="0" w:line="250" w:lineRule="auto"/>
            </w:pPr>
            <w:r/>
            <w:r>
              <w:rPr>
                <w:rFonts w:ascii="Aptos" w:hAnsi="Aptos"/>
                <w:b/>
                <w:color w:val="FFFFFF"/>
                <w:sz w:val="17"/>
              </w:rPr>
              <w:t>1 • Reset</w:t>
            </w:r>
          </w:p>
        </w:tc>
        <w:tc>
          <w:tcPr>
            <w:tcW w:type="dxa" w:w="2477"/>
            <w:vAlign w:val="center"/>
            <w:tcMar>
              <w:top w:w="90" w:type="dxa"/>
              <w:start w:w="100" w:type="dxa"/>
              <w:bottom w:w="90" w:type="dxa"/>
              <w:end w:w="100" w:type="dxa"/>
            </w:tcMar>
            <w:shd w:fill="008C82"/>
          </w:tcPr>
          <w:p>
            <w:pPr>
              <w:spacing w:after="0" w:line="250" w:lineRule="auto"/>
            </w:pPr>
            <w:r/>
            <w:r>
              <w:rPr>
                <w:rFonts w:ascii="Aptos" w:hAnsi="Aptos"/>
                <w:b/>
                <w:color w:val="FFFFFF"/>
                <w:sz w:val="17"/>
              </w:rPr>
              <w:t>2 • Stabilise</w:t>
            </w:r>
          </w:p>
        </w:tc>
        <w:tc>
          <w:tcPr>
            <w:tcW w:type="dxa" w:w="2477"/>
            <w:vAlign w:val="center"/>
            <w:tcMar>
              <w:top w:w="90" w:type="dxa"/>
              <w:start w:w="100" w:type="dxa"/>
              <w:bottom w:w="90" w:type="dxa"/>
              <w:end w:w="100" w:type="dxa"/>
            </w:tcMar>
            <w:shd w:fill="008C82"/>
          </w:tcPr>
          <w:p>
            <w:pPr>
              <w:spacing w:after="0" w:line="250" w:lineRule="auto"/>
            </w:pPr>
            <w:r/>
            <w:r>
              <w:rPr>
                <w:rFonts w:ascii="Aptos" w:hAnsi="Aptos"/>
                <w:b/>
                <w:color w:val="FFFFFF"/>
                <w:sz w:val="17"/>
              </w:rPr>
              <w:t>3 • Variance</w:t>
            </w:r>
          </w:p>
        </w:tc>
      </w:tr>
      <w:tr>
        <w:tc>
          <w:tcPr>
            <w:tcW w:type="dxa" w:w="2498"/>
            <w:vAlign w:val="center"/>
            <w:tcMar>
              <w:top w:w="90" w:type="dxa"/>
              <w:start w:w="100" w:type="dxa"/>
              <w:bottom w:w="90" w:type="dxa"/>
              <w:end w:w="100" w:type="dxa"/>
            </w:tcMar>
          </w:tcPr>
          <w:p>
            <w:pPr>
              <w:spacing w:after="0" w:line="250" w:lineRule="auto"/>
            </w:pPr>
            <w:r/>
            <w:r>
              <w:rPr>
                <w:rFonts w:ascii="Aptos" w:hAnsi="Aptos"/>
                <w:b/>
                <w:color w:val="172033"/>
                <w:sz w:val="16"/>
              </w:rPr>
              <w:t>Opening</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6"/>
              </w:rPr>
              <w:t>Everyone Elo 1000 / handicap 0</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6"/>
              </w:rPr>
              <w:t>Latest validated figures; new players provisional</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6"/>
              </w:rPr>
              <w:t>Latest validated figures; new players provisional</w:t>
            </w:r>
          </w:p>
        </w:tc>
      </w:tr>
      <w:tr>
        <w:tc>
          <w:tcPr>
            <w:tcW w:type="dxa" w:w="2498"/>
            <w:vAlign w:val="center"/>
            <w:tcMar>
              <w:top w:w="90" w:type="dxa"/>
              <w:start w:w="100" w:type="dxa"/>
              <w:bottom w:w="90" w:type="dxa"/>
              <w:end w:w="100" w:type="dxa"/>
            </w:tcMar>
            <w:shd w:fill="F6F8FB"/>
          </w:tcPr>
          <w:p>
            <w:pPr>
              <w:spacing w:after="0" w:line="250" w:lineRule="auto"/>
            </w:pPr>
            <w:r/>
            <w:r>
              <w:rPr>
                <w:rFonts w:ascii="Aptos" w:hAnsi="Aptos"/>
                <w:b/>
                <w:color w:val="172033"/>
                <w:sz w:val="16"/>
              </w:rPr>
              <w:t>Early reviews</w:t>
            </w:r>
          </w:p>
        </w:tc>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6"/>
              </w:rPr>
              <w:t>After 4 fixture weeks</w:t>
            </w:r>
          </w:p>
        </w:tc>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6"/>
              </w:rPr>
              <w:t>Weekly for first 4 fixture weeks</w:t>
            </w:r>
          </w:p>
        </w:tc>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6"/>
              </w:rPr>
              <w:t>After 4 fixture weeks</w:t>
            </w:r>
          </w:p>
        </w:tc>
      </w:tr>
      <w:tr>
        <w:tc>
          <w:tcPr>
            <w:tcW w:type="dxa" w:w="2498"/>
            <w:vAlign w:val="center"/>
            <w:tcMar>
              <w:top w:w="90" w:type="dxa"/>
              <w:start w:w="100" w:type="dxa"/>
              <w:bottom w:w="90" w:type="dxa"/>
              <w:end w:w="100" w:type="dxa"/>
            </w:tcMar>
          </w:tcPr>
          <w:p>
            <w:pPr>
              <w:spacing w:after="0" w:line="250" w:lineRule="auto"/>
            </w:pPr>
            <w:r/>
            <w:r>
              <w:rPr>
                <w:rFonts w:ascii="Aptos" w:hAnsi="Aptos"/>
                <w:b/>
                <w:color w:val="172033"/>
                <w:sz w:val="16"/>
              </w:rPr>
              <w:t>Later reviews</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6"/>
              </w:rPr>
              <w:t>Every 4 fixture weeks</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6"/>
              </w:rPr>
              <w:t>Every 4 fixture weeks</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6"/>
              </w:rPr>
              <w:t>Every 4 fixture weeks</w:t>
            </w:r>
          </w:p>
        </w:tc>
      </w:tr>
      <w:tr>
        <w:tc>
          <w:tcPr>
            <w:tcW w:type="dxa" w:w="2498"/>
            <w:vAlign w:val="center"/>
            <w:tcMar>
              <w:top w:w="90" w:type="dxa"/>
              <w:start w:w="100" w:type="dxa"/>
              <w:bottom w:w="90" w:type="dxa"/>
              <w:end w:w="100" w:type="dxa"/>
            </w:tcMar>
            <w:shd w:fill="F6F8FB"/>
          </w:tcPr>
          <w:p>
            <w:pPr>
              <w:spacing w:after="0" w:line="250" w:lineRule="auto"/>
            </w:pPr>
            <w:r/>
            <w:r>
              <w:rPr>
                <w:rFonts w:ascii="Aptos" w:hAnsi="Aptos"/>
                <w:b/>
                <w:color w:val="172033"/>
                <w:sz w:val="16"/>
              </w:rPr>
              <w:t>Large differences</w:t>
            </w:r>
          </w:p>
        </w:tc>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6"/>
              </w:rPr>
              <w:t>Full start; no cap</w:t>
            </w:r>
          </w:p>
        </w:tc>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6"/>
              </w:rPr>
              <w:t>Any pairing; actual start capped at 40</w:t>
            </w:r>
          </w:p>
        </w:tc>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6"/>
              </w:rPr>
              <w:t>Pairing prohibited above 40, except recorded impossibility</w:t>
            </w:r>
          </w:p>
        </w:tc>
      </w:tr>
      <w:tr>
        <w:tc>
          <w:tcPr>
            <w:tcW w:type="dxa" w:w="2498"/>
            <w:vAlign w:val="center"/>
            <w:tcMar>
              <w:top w:w="90" w:type="dxa"/>
              <w:start w:w="100" w:type="dxa"/>
              <w:bottom w:w="90" w:type="dxa"/>
              <w:end w:w="100" w:type="dxa"/>
            </w:tcMar>
          </w:tcPr>
          <w:p>
            <w:pPr>
              <w:spacing w:after="0" w:line="250" w:lineRule="auto"/>
            </w:pPr>
            <w:r/>
            <w:r>
              <w:rPr>
                <w:rFonts w:ascii="Aptos" w:hAnsi="Aptos"/>
                <w:b/>
                <w:color w:val="172033"/>
                <w:sz w:val="16"/>
              </w:rPr>
              <w:t>Selection</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6"/>
              </w:rPr>
              <w:t>Home lists; away freely selects</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6"/>
              </w:rPr>
              <w:t>Home lists; away freely selects</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6"/>
              </w:rPr>
              <w:t>Home lists; away selects within 40</w:t>
            </w:r>
          </w:p>
        </w:tc>
      </w:tr>
      <w:tr>
        <w:tc>
          <w:tcPr>
            <w:tcW w:type="dxa" w:w="2498"/>
            <w:vAlign w:val="center"/>
            <w:tcMar>
              <w:top w:w="90" w:type="dxa"/>
              <w:start w:w="100" w:type="dxa"/>
              <w:bottom w:w="90" w:type="dxa"/>
              <w:end w:w="100" w:type="dxa"/>
            </w:tcMar>
            <w:shd w:fill="F6F8FB"/>
          </w:tcPr>
          <w:p>
            <w:pPr>
              <w:spacing w:after="0" w:line="250" w:lineRule="auto"/>
            </w:pPr>
            <w:r/>
            <w:r>
              <w:rPr>
                <w:rFonts w:ascii="Aptos" w:hAnsi="Aptos"/>
                <w:b/>
                <w:color w:val="172033"/>
                <w:sz w:val="16"/>
              </w:rPr>
              <w:t>Primary aim</w:t>
            </w:r>
          </w:p>
        </w:tc>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6"/>
              </w:rPr>
              <w:t>Clean common baseline</w:t>
            </w:r>
          </w:p>
        </w:tc>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6"/>
              </w:rPr>
              <w:t>Continuity plus early correction</w:t>
            </w:r>
          </w:p>
        </w:tc>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6"/>
              </w:rPr>
              <w:t>Avoid extreme player matchups</w:t>
            </w:r>
          </w:p>
        </w:tc>
      </w:tr>
      <w:tr>
        <w:tc>
          <w:tcPr>
            <w:tcW w:type="dxa" w:w="2498"/>
            <w:vAlign w:val="center"/>
            <w:tcMar>
              <w:top w:w="90" w:type="dxa"/>
              <w:start w:w="100" w:type="dxa"/>
              <w:bottom w:w="90" w:type="dxa"/>
              <w:end w:w="100" w:type="dxa"/>
            </w:tcMar>
          </w:tcPr>
          <w:p>
            <w:pPr>
              <w:spacing w:after="0" w:line="250" w:lineRule="auto"/>
            </w:pPr>
            <w:r/>
            <w:r>
              <w:rPr>
                <w:rFonts w:ascii="Aptos" w:hAnsi="Aptos"/>
                <w:b/>
                <w:color w:val="172033"/>
                <w:sz w:val="16"/>
              </w:rPr>
              <w:t>Main concern</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6"/>
              </w:rPr>
              <w:t>Slow convergence from zero</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6"/>
              </w:rPr>
              <w:t>Cap may under-compensate weaker player</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6"/>
              </w:rPr>
              <w:t>Less tactical freedom; exceptions may be needed</w:t>
            </w:r>
          </w:p>
        </w:tc>
      </w:tr>
      <w:tr>
        <w:tc>
          <w:tcPr>
            <w:tcW w:type="dxa" w:w="2498"/>
            <w:vAlign w:val="center"/>
            <w:tcMar>
              <w:top w:w="90" w:type="dxa"/>
              <w:start w:w="100" w:type="dxa"/>
              <w:bottom w:w="90" w:type="dxa"/>
              <w:end w:w="100" w:type="dxa"/>
            </w:tcMar>
            <w:shd w:fill="F6F8FB"/>
          </w:tcPr>
          <w:p>
            <w:pPr>
              <w:spacing w:after="0" w:line="250" w:lineRule="auto"/>
            </w:pPr>
            <w:r/>
            <w:r>
              <w:rPr>
                <w:rFonts w:ascii="Aptos" w:hAnsi="Aptos"/>
                <w:b/>
                <w:color w:val="172033"/>
                <w:sz w:val="16"/>
              </w:rPr>
              <w:t>System work</w:t>
            </w:r>
          </w:p>
        </w:tc>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6"/>
              </w:rPr>
              <w:t>Minimal</w:t>
            </w:r>
          </w:p>
        </w:tc>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6"/>
              </w:rPr>
              <w:t>Modest</w:t>
            </w:r>
          </w:p>
        </w:tc>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6"/>
              </w:rPr>
              <w:t>Development and match-night testing</w:t>
            </w:r>
          </w:p>
        </w:tc>
      </w:tr>
    </w:tbl>
    <w:p>
      <w:pPr>
        <w:pStyle w:val="Heading2"/>
        <w:widowControl w:val="1"/>
      </w:pPr>
      <w:r>
        <w:t>Common Elo basis</w:t>
      </w:r>
    </w:p>
    <w:p>
      <w:pPr>
        <w:widowControl w:val="1"/>
      </w:pPr>
      <w:r>
        <w:t>Every option uses the same frame-by-frame Elo calculation for eligible singles and doubles. The proposals differ only in opening values, the handicap review timetable and the control applied to large handicap differences. Appendix B explains the calculation.</w:t>
      </w:r>
    </w:p>
    <w:p>
      <w:pPr>
        <w:widowControl w:val="1"/>
      </w:pPr>
      <w:r>
        <w:br w:type="page"/>
      </w:r>
    </w:p>
    <w:p>
      <w:pPr>
        <w:spacing w:after="80"/>
        <w:widowControl w:val="1"/>
      </w:pPr>
      <w:r>
        <w:rPr>
          <w:rFonts w:ascii="Aptos" w:hAnsi="Aptos"/>
          <w:b/>
          <w:color w:val="172033"/>
          <w:sz w:val="18"/>
        </w:rPr>
        <w:t>MEETING AND VOTING BASIS</w:t>
      </w:r>
    </w:p>
    <w:p>
      <w:pPr>
        <w:pStyle w:val="Heading1"/>
        <w:widowControl w:val="1"/>
      </w:pPr>
      <w:r>
        <w:t>How the decision should be made</w:t>
      </w:r>
    </w:p>
    <w:p>
      <w:pPr>
        <w:spacing w:before="0" w:after="160"/>
        <w:widowControl w:val="1"/>
      </w:pPr>
    </w:p>
    <w:p>
      <w:pPr>
        <w:pStyle w:val="Heading2"/>
        <w:widowControl w:val="1"/>
      </w:pPr>
      <w:r>
        <w:t>One or two votes per club</w:t>
      </w:r>
    </w:p>
    <w:p>
      <w:pPr>
        <w:widowControl w:val="1"/>
      </w:pPr>
      <w:r>
        <w:t>Under Rule 8 of the supplied 2023/2024 draft rules, this is a club vote rather than one vote per team. At a Council meeting, each participating club has two votes only when two club representatives attend. If one representative attends, the club has one vote. More than two representatives do not increase the club’s entitlement.</w:t>
      </w:r>
    </w:p>
    <w:p>
      <w:pPr>
        <w:widowControl w:val="1"/>
      </w:pPr>
      <w:r>
        <w:t>The one-vote-per-registered-team exception applies only to a vote on the formation of divisions at the AGM. It does not apply to choosing the Premier League handicap method. The Secretary may exercise a casting vote in a tied decision.</w:t>
      </w:r>
    </w:p>
    <w:p>
      <w:pPr>
        <w:pStyle w:val="Heading2"/>
        <w:widowControl w:val="1"/>
      </w:pPr>
      <w:r>
        <w:t>Use an EGM rather than reopening the AGM</w:t>
      </w:r>
    </w:p>
    <w:p>
      <w:pPr>
        <w:widowControl w:val="1"/>
      </w:pPr>
      <w:r>
        <w:t>The 2026 AGM minutes record that the meeting closed. The supplied rules do not contain a procedure for reopening a closed AGM. Because the handicap format forms part of the playing rules, the safest route under Rule 6(4) is an Extraordinary General Meeting called specifically to decide the handicap proposal.</w:t>
      </w:r>
    </w:p>
    <w:p>
      <w:pPr>
        <w:pStyle w:val="ListBullet"/>
        <w:spacing w:after="64" w:line="259" w:lineRule="auto"/>
        <w:ind w:left="317" w:hanging="230"/>
        <w:widowControl w:val="1"/>
      </w:pPr>
      <w:r>
        <w:rPr>
          <w:rFonts w:ascii="Aptos" w:hAnsi="Aptos"/>
          <w:sz w:val="20"/>
        </w:rPr>
        <w:t>Submit the proposals to the League Secretary in writing at least 28 days before the EGM.</w:t>
      </w:r>
    </w:p>
    <w:p>
      <w:pPr>
        <w:pStyle w:val="ListBullet"/>
        <w:spacing w:after="64" w:line="259" w:lineRule="auto"/>
        <w:ind w:left="317" w:hanging="230"/>
        <w:widowControl w:val="1"/>
      </w:pPr>
      <w:r>
        <w:rPr>
          <w:rFonts w:ascii="Aptos" w:hAnsi="Aptos"/>
          <w:sz w:val="20"/>
        </w:rPr>
        <w:t>Place them before the Rules Committee for consideration.</w:t>
      </w:r>
    </w:p>
    <w:p>
      <w:pPr>
        <w:pStyle w:val="ListBullet"/>
        <w:spacing w:after="64" w:line="259" w:lineRule="auto"/>
        <w:ind w:left="317" w:hanging="230"/>
        <w:widowControl w:val="1"/>
      </w:pPr>
      <w:r>
        <w:rPr>
          <w:rFonts w:ascii="Aptos" w:hAnsi="Aptos"/>
          <w:sz w:val="20"/>
        </w:rPr>
        <w:t>Circulate the Rules Committee-approved draft proposals to all club representatives at least seven days before the EGM.</w:t>
      </w:r>
    </w:p>
    <w:p>
      <w:pPr>
        <w:pStyle w:val="ListBullet"/>
        <w:spacing w:after="64" w:line="259" w:lineRule="auto"/>
        <w:ind w:left="317" w:hanging="230"/>
        <w:widowControl w:val="1"/>
      </w:pPr>
      <w:r>
        <w:rPr>
          <w:rFonts w:ascii="Aptos" w:hAnsi="Aptos"/>
          <w:sz w:val="20"/>
        </w:rPr>
        <w:t>The supplied draft does not define who calls an EGM, its quorum or a separate general notice period. The Council should agree and minute that procedure before issuing notice, and any newer adopted rules take precedence.</w:t>
      </w:r>
    </w:p>
    <w:p>
      <w:pPr>
        <w:pStyle w:val="Heading2"/>
      </w:pPr>
      <w:r>
        <w:t>Pragmatic unanimous waiver before 10 September 2026</w:t>
      </w:r>
    </w:p>
    <w:p>
      <w:r/>
      <w:r>
        <w:t>Because this is a small voluntary league and the season starts on 10 September 2026, the Council may choose a pragmatic unanimous waiver instead of waiting for the full 28-day period. This practical solution is not an express procedure in the supplied rules.</w:t>
      </w:r>
    </w:p>
    <w:p>
      <w:r>
        <w:rPr>
          <w:b/>
        </w:rPr>
      </w:r>
      <w:r/>
      <w:r>
        <w:rPr>
          <w:b/>
        </w:rPr>
        <w:t xml:space="preserve">Constitutional caveat: </w:t>
      </w:r>
      <w:r>
        <w:t>the rules do not expressly permit this waiver. Unanimous written agreement makes a practical challenge unlikely but does not guarantee technical compliance. If any club objects, abstains or does not respond, the AGM decision remains in force until changed under the ordinary procedure.</w:t>
      </w:r>
    </w:p>
    <w:p>
      <w:pPr>
        <w:pStyle w:val="ListBullet"/>
      </w:pPr>
      <w:r>
        <w:t>Send this complete decision paper and the proposed waiver wording to every participating club.</w:t>
      </w:r>
    </w:p>
    <w:p>
      <w:pPr>
        <w:pStyle w:val="ListBullet"/>
      </w:pPr>
      <w:r/>
      <w:r>
        <w:t>Ask one captain or authorised representative to attest expressly on behalf of the club.</w:t>
      </w:r>
    </w:p>
    <w:p>
      <w:pPr>
        <w:pStyle w:val="ListBullet"/>
      </w:pPr>
      <w:r/>
      <w:r>
        <w:t>Require an affirmative response from every club; silence is not consent.</w:t>
      </w:r>
    </w:p>
    <w:p>
      <w:pPr>
        <w:pStyle w:val="ListBullet"/>
      </w:pPr>
      <w:r/>
      <w:r>
        <w:t>Keep the waiver separate from the handicap vote and open the ballot only after unanimous agreement.</w:t>
      </w:r>
    </w:p>
    <w:p>
      <w:pPr>
        <w:pStyle w:val="ListBullet"/>
      </w:pPr>
      <w:r/>
      <w:r>
        <w:t>Retain the WhatsApp export and public-form record, including representative, club and time.</w:t>
      </w:r>
    </w:p>
    <w:p>
      <w:pPr>
        <w:pStyle w:val="ListBullet"/>
      </w:pPr>
      <w:r/>
      <w:r>
        <w:t>Minute the waiver, proposal vote and effective date, then ratify the process at the next Council meeting.</w:t>
      </w:r>
    </w:p>
    <w:p>
      <w:pPr>
        <w:pStyle w:val="Heading3"/>
      </w:pPr>
      <w:r>
        <w:t>Public attestation link</w:t>
      </w:r>
    </w:p>
    <w:p>
      <w:r>
        <w:rPr>
          <w:rFonts w:ascii="Aptos" w:hAnsi="Aptos"/>
          <w:sz w:val="21"/>
        </w:rPr>
        <w:t>https://rf-league-app.vercel.app/handicap-consultation/premier-handicap-2026-27</w:t>
      </w:r>
    </w:p>
    <w:p>
      <w:r/>
      <w:r>
        <w:t>The shared form records the club, representative, authority, complete statement and time. Public progress does not reveal names. League officers can review the full record and remove an incorrect response for resubmission.</w:t>
      </w:r>
    </w:p>
    <w:p>
      <w:pPr>
        <w:pStyle w:val="Heading2"/>
        <w:pageBreakBefore/>
        <w:widowControl w:val="1"/>
        <w:keepNext/>
      </w:pPr>
      <w:r>
        <w:t>A fair way to reach a final decision</w:t>
      </w:r>
    </w:p>
    <w:p>
      <w:pPr>
        <w:pStyle w:val="ListNumber"/>
        <w:spacing w:after="70"/>
        <w:ind w:left="389" w:hanging="259"/>
        <w:widowControl w:val="1"/>
      </w:pPr>
      <w:r>
        <w:t>Confirm attendance and each club’s voting entitlement before the first ballot.</w:t>
      </w:r>
    </w:p>
    <w:p>
      <w:pPr>
        <w:pStyle w:val="ListNumber"/>
        <w:spacing w:after="70"/>
        <w:ind w:left="389" w:hanging="259"/>
        <w:widowControl w:val="1"/>
      </w:pPr>
      <w:r>
        <w:t>First ballot: each eligible club representative votes for one of the three proposals. Record abstentions separately.</w:t>
      </w:r>
    </w:p>
    <w:p>
      <w:pPr>
        <w:pStyle w:val="ListNumber"/>
        <w:spacing w:after="70"/>
        <w:ind w:left="389" w:hanging="259"/>
        <w:widowControl w:val="1"/>
      </w:pPr>
      <w:r>
        <w:t>If one proposal receives the required majority, it is adopted and the process ends.</w:t>
      </w:r>
    </w:p>
    <w:p>
      <w:pPr>
        <w:pStyle w:val="ListNumber"/>
        <w:spacing w:after="70"/>
        <w:ind w:left="389" w:hanging="259"/>
        <w:widowControl w:val="1"/>
      </w:pPr>
      <w:r>
        <w:t>If none does, eliminate the option with the fewest votes and hold a final ballot between the remaining two.</w:t>
      </w:r>
    </w:p>
    <w:p>
      <w:pPr>
        <w:pStyle w:val="ListNumber"/>
        <w:spacing w:after="70"/>
        <w:ind w:left="389" w:hanging="259"/>
        <w:widowControl w:val="1"/>
      </w:pPr>
      <w:r>
        <w:t>If there is a tie affecting elimination, allow a short further discussion and re-vote. The Secretary may use the Rule 8 casting vote if the tie remains.</w:t>
      </w:r>
    </w:p>
    <w:p>
      <w:pPr>
        <w:pStyle w:val="ListNumber"/>
        <w:spacing w:after="70"/>
        <w:ind w:left="389" w:hanging="259"/>
        <w:widowControl w:val="1"/>
      </w:pPr>
      <w:r>
        <w:t>Record the adopted proposal, vote totals, effective date and any implementation condition in the minutes. Do not combine elements from different proposals without a separate amended motion and vote.</w:t>
      </w:r>
    </w:p>
    <w:p>
      <w:pPr>
        <w:pStyle w:val="Heading2"/>
        <w:widowControl w:val="1"/>
      </w:pPr>
      <w:r>
        <w:t>Final decision record</w:t>
      </w:r>
    </w:p>
    <w:tbl>
      <w:tblPr>
        <w:tblStyle w:val="TableGrid"/>
        <w:tblW w:type="auto" w:w="0"/>
        <w:jc w:val="center"/>
        <w:tblLook w:firstColumn="1" w:firstRow="1" w:lastColumn="0" w:lastRow="0" w:noHBand="0" w:noVBand="1" w:val="04A0"/>
        <w:tblCaption w:val="Final handicap decision record"/>
        <w:tblDescription w:val="Blank record for adopted proposal, vote, effective date and minute taker."/>
      </w:tblPr>
      <w:tblGrid>
        <w:gridCol w:w="4997"/>
        <w:gridCol w:w="4997"/>
      </w:tblGrid>
      <w:tr>
        <w:tc>
          <w:tcPr>
            <w:tcW w:type="dxa" w:w="2376"/>
            <w:vAlign w:val="center"/>
            <w:tcMar>
              <w:top w:w="90" w:type="dxa"/>
              <w:start w:w="100" w:type="dxa"/>
              <w:bottom w:w="90" w:type="dxa"/>
              <w:end w:w="100" w:type="dxa"/>
            </w:tcMar>
            <w:shd w:fill="0B172A"/>
          </w:tcPr>
          <w:p>
            <w:pPr>
              <w:spacing w:after="0" w:line="250" w:lineRule="auto"/>
            </w:pPr>
            <w:r/>
            <w:r>
              <w:rPr>
                <w:rFonts w:ascii="Aptos" w:hAnsi="Aptos"/>
                <w:b/>
                <w:color w:val="FFFFFF"/>
                <w:sz w:val="18"/>
              </w:rPr>
              <w:t>Proposal adopted</w:t>
            </w:r>
          </w:p>
        </w:tc>
        <w:tc>
          <w:tcPr>
            <w:tcW w:type="dxa" w:w="6552"/>
            <w:vAlign w:val="center"/>
            <w:tcMar>
              <w:top w:w="90" w:type="dxa"/>
              <w:start w:w="100" w:type="dxa"/>
              <w:bottom w:w="90" w:type="dxa"/>
              <w:end w:w="100" w:type="dxa"/>
            </w:tcMar>
          </w:tcPr>
          <w:p>
            <w:pPr>
              <w:spacing w:after="0" w:line="250" w:lineRule="auto"/>
            </w:pPr>
            <w:r/>
            <w:r>
              <w:rPr>
                <w:rFonts w:ascii="Aptos" w:hAnsi="Aptos"/>
                <w:b w:val="0"/>
                <w:color w:val="172033"/>
                <w:sz w:val="18"/>
              </w:rPr>
            </w:r>
          </w:p>
        </w:tc>
      </w:tr>
      <w:tr>
        <w:tc>
          <w:tcPr>
            <w:tcW w:type="dxa" w:w="2376"/>
            <w:vAlign w:val="center"/>
            <w:tcMar>
              <w:top w:w="90" w:type="dxa"/>
              <w:start w:w="100" w:type="dxa"/>
              <w:bottom w:w="90" w:type="dxa"/>
              <w:end w:w="100" w:type="dxa"/>
            </w:tcMar>
            <w:shd w:fill="0B172A"/>
          </w:tcPr>
          <w:p>
            <w:pPr>
              <w:spacing w:after="0" w:line="250" w:lineRule="auto"/>
            </w:pPr>
            <w:r/>
            <w:r>
              <w:rPr>
                <w:rFonts w:ascii="Aptos" w:hAnsi="Aptos"/>
                <w:b/>
                <w:color w:val="FFFFFF"/>
                <w:sz w:val="18"/>
              </w:rPr>
              <w:t>Final vote</w:t>
            </w:r>
          </w:p>
        </w:tc>
        <w:tc>
          <w:tcPr>
            <w:tcW w:type="dxa" w:w="6552"/>
            <w:vAlign w:val="center"/>
            <w:tcMar>
              <w:top w:w="90" w:type="dxa"/>
              <w:start w:w="100" w:type="dxa"/>
              <w:bottom w:w="90" w:type="dxa"/>
              <w:end w:w="100" w:type="dxa"/>
            </w:tcMar>
          </w:tcPr>
          <w:p>
            <w:pPr>
              <w:spacing w:after="0" w:line="250" w:lineRule="auto"/>
            </w:pPr>
            <w:r/>
            <w:r>
              <w:rPr>
                <w:rFonts w:ascii="Aptos" w:hAnsi="Aptos"/>
                <w:b w:val="0"/>
                <w:color w:val="172033"/>
                <w:sz w:val="18"/>
              </w:rPr>
              <w:t>For:                         Against:                         Abstain:</w:t>
            </w:r>
          </w:p>
        </w:tc>
      </w:tr>
      <w:tr>
        <w:tc>
          <w:tcPr>
            <w:tcW w:type="dxa" w:w="2376"/>
            <w:vAlign w:val="center"/>
            <w:tcMar>
              <w:top w:w="90" w:type="dxa"/>
              <w:start w:w="100" w:type="dxa"/>
              <w:bottom w:w="90" w:type="dxa"/>
              <w:end w:w="100" w:type="dxa"/>
            </w:tcMar>
            <w:shd w:fill="0B172A"/>
          </w:tcPr>
          <w:p>
            <w:pPr>
              <w:spacing w:after="0" w:line="250" w:lineRule="auto"/>
            </w:pPr>
            <w:r/>
            <w:r>
              <w:rPr>
                <w:rFonts w:ascii="Aptos" w:hAnsi="Aptos"/>
                <w:b/>
                <w:color w:val="FFFFFF"/>
                <w:sz w:val="18"/>
              </w:rPr>
              <w:t>Effective from</w:t>
            </w:r>
          </w:p>
        </w:tc>
        <w:tc>
          <w:tcPr>
            <w:tcW w:type="dxa" w:w="6552"/>
            <w:vAlign w:val="center"/>
            <w:tcMar>
              <w:top w:w="90" w:type="dxa"/>
              <w:start w:w="100" w:type="dxa"/>
              <w:bottom w:w="90" w:type="dxa"/>
              <w:end w:w="100" w:type="dxa"/>
            </w:tcMar>
          </w:tcPr>
          <w:p>
            <w:pPr>
              <w:spacing w:after="0" w:line="250" w:lineRule="auto"/>
            </w:pPr>
            <w:r/>
            <w:r>
              <w:rPr>
                <w:rFonts w:ascii="Aptos" w:hAnsi="Aptos"/>
                <w:b w:val="0"/>
                <w:color w:val="172033"/>
                <w:sz w:val="18"/>
              </w:rPr>
            </w:r>
          </w:p>
        </w:tc>
      </w:tr>
      <w:tr>
        <w:tc>
          <w:tcPr>
            <w:tcW w:type="dxa" w:w="2376"/>
            <w:vAlign w:val="center"/>
            <w:tcMar>
              <w:top w:w="90" w:type="dxa"/>
              <w:start w:w="100" w:type="dxa"/>
              <w:bottom w:w="90" w:type="dxa"/>
              <w:end w:w="100" w:type="dxa"/>
            </w:tcMar>
            <w:shd w:fill="0B172A"/>
          </w:tcPr>
          <w:p>
            <w:pPr>
              <w:spacing w:after="0" w:line="250" w:lineRule="auto"/>
            </w:pPr>
            <w:r/>
            <w:r>
              <w:rPr>
                <w:rFonts w:ascii="Aptos" w:hAnsi="Aptos"/>
                <w:b/>
                <w:color w:val="FFFFFF"/>
                <w:sz w:val="18"/>
              </w:rPr>
              <w:t>Recorded in minutes by</w:t>
            </w:r>
          </w:p>
        </w:tc>
        <w:tc>
          <w:tcPr>
            <w:tcW w:type="dxa" w:w="6552"/>
            <w:vAlign w:val="center"/>
            <w:tcMar>
              <w:top w:w="90" w:type="dxa"/>
              <w:start w:w="100" w:type="dxa"/>
              <w:bottom w:w="90" w:type="dxa"/>
              <w:end w:w="100" w:type="dxa"/>
            </w:tcMar>
          </w:tcPr>
          <w:p>
            <w:pPr>
              <w:spacing w:after="0" w:line="250" w:lineRule="auto"/>
            </w:pPr>
            <w:r/>
            <w:r>
              <w:rPr>
                <w:rFonts w:ascii="Aptos" w:hAnsi="Aptos"/>
                <w:b w:val="0"/>
                <w:color w:val="172033"/>
                <w:sz w:val="18"/>
              </w:rPr>
            </w:r>
          </w:p>
        </w:tc>
      </w:tr>
    </w:tbl>
    <w:p>
      <w:pPr>
        <w:widowControl w:val="1"/>
      </w:pPr>
      <w:r>
        <w:rPr>
          <w:i/>
        </w:rPr>
        <w:t>Rules basis: Rules 6(4), 7 and 8 of League Rules 2023/2024 Draft. Confirm these provisions against the latest formally adopted rules before notice is issued.</w:t>
      </w:r>
    </w:p>
    <w:p>
      <w:pPr>
        <w:widowControl w:val="1"/>
      </w:pPr>
      <w:r>
        <w:br w:type="page"/>
      </w:r>
    </w:p>
    <w:p>
      <w:pPr>
        <w:spacing w:after="80"/>
        <w:widowControl w:val="1"/>
      </w:pPr>
      <w:r>
        <w:rPr>
          <w:rFonts w:ascii="Aptos" w:hAnsi="Aptos"/>
          <w:b/>
          <w:color w:val="172033"/>
          <w:sz w:val="18"/>
        </w:rPr>
        <w:t>APPENDIX A</w:t>
      </w:r>
    </w:p>
    <w:p>
      <w:pPr>
        <w:pStyle w:val="Heading1"/>
        <w:widowControl w:val="1"/>
      </w:pPr>
      <w:r>
        <w:t>Rules extracts relevant to the decision</w:t>
      </w:r>
    </w:p>
    <w:p>
      <w:pPr>
        <w:spacing w:before="0" w:after="160"/>
        <w:widowControl w:val="1"/>
      </w:pPr>
    </w:p>
    <w:p>
      <w:pPr>
        <w:pStyle w:val="Heading2"/>
        <w:widowControl w:val="1"/>
      </w:pPr>
      <w:r>
        <w:t>Rule 6(4) rule changes</w:t>
      </w:r>
    </w:p>
    <w:p>
      <w:pPr>
        <w:widowControl w:val="1"/>
      </w:pPr>
      <w:r>
        <w:t>Proposals to alter the rules must be submitted to the Secretary in writing at least 28 days before the AGM or an EGM called for that purpose, considered by the Rules Committee, and circulated in approved draft form to all club representatives at least seven days before the meeting.</w:t>
      </w:r>
    </w:p>
    <w:p>
      <w:pPr>
        <w:pStyle w:val="Heading2"/>
        <w:widowControl w:val="1"/>
      </w:pPr>
      <w:r>
        <w:t>Rule 7 AGM notice</w:t>
      </w:r>
    </w:p>
    <w:p>
      <w:pPr>
        <w:widowControl w:val="1"/>
      </w:pPr>
      <w:r>
        <w:t>Notice of the AGM, the accounts and proposed rule alterations must be sent to each club’s representatives 14 days before the AGM. This rule refers specifically to the AGM and does not supply a complete EGM notice procedure.</w:t>
      </w:r>
    </w:p>
    <w:p>
      <w:pPr>
        <w:pStyle w:val="Heading2"/>
        <w:widowControl w:val="1"/>
      </w:pPr>
      <w:r>
        <w:t>Rule 8 voting</w:t>
      </w:r>
    </w:p>
    <w:p>
      <w:pPr>
        <w:pStyle w:val="ListBullet"/>
        <w:spacing w:after="64" w:line="259" w:lineRule="auto"/>
        <w:ind w:left="317" w:hanging="230"/>
        <w:widowControl w:val="1"/>
      </w:pPr>
      <w:r>
        <w:rPr>
          <w:rFonts w:ascii="Aptos" w:hAnsi="Aptos"/>
          <w:sz w:val="20"/>
        </w:rPr>
        <w:t>Each participating club has up to two votes at a Council meeting.</w:t>
      </w:r>
    </w:p>
    <w:p>
      <w:pPr>
        <w:pStyle w:val="ListBullet"/>
        <w:spacing w:after="64" w:line="259" w:lineRule="auto"/>
        <w:ind w:left="317" w:hanging="230"/>
        <w:widowControl w:val="1"/>
      </w:pPr>
      <w:r>
        <w:rPr>
          <w:rFonts w:ascii="Aptos" w:hAnsi="Aptos"/>
          <w:sz w:val="20"/>
        </w:rPr>
        <w:t>Two representatives must attend for a club to use both votes; one representative gives the club one vote.</w:t>
      </w:r>
    </w:p>
    <w:p>
      <w:pPr>
        <w:pStyle w:val="ListBullet"/>
        <w:spacing w:after="64" w:line="259" w:lineRule="auto"/>
        <w:ind w:left="317" w:hanging="230"/>
        <w:widowControl w:val="1"/>
      </w:pPr>
      <w:r>
        <w:rPr>
          <w:rFonts w:ascii="Aptos" w:hAnsi="Aptos"/>
          <w:sz w:val="20"/>
        </w:rPr>
        <w:t>Only formation-of-divisions votes at the AGM use one vote per registered league team, exercised by an attending team member.</w:t>
      </w:r>
    </w:p>
    <w:p>
      <w:pPr>
        <w:pStyle w:val="ListBullet"/>
        <w:spacing w:after="64" w:line="259" w:lineRule="auto"/>
        <w:ind w:left="317" w:hanging="230"/>
        <w:widowControl w:val="1"/>
      </w:pPr>
      <w:r>
        <w:rPr>
          <w:rFonts w:ascii="Aptos" w:hAnsi="Aptos"/>
          <w:sz w:val="20"/>
        </w:rPr>
        <w:t>The Secretary has a casting vote in a tie if the Secretary wishes to use it.</w:t>
      </w:r>
    </w:p>
    <w:p>
      <w:pPr>
        <w:pStyle w:val="Heading2"/>
        <w:widowControl w:val="1"/>
      </w:pPr>
      <w:r>
        <w:t>Practical conclusion</w:t>
      </w:r>
    </w:p>
    <w:p>
      <w:pPr>
        <w:widowControl w:val="1"/>
      </w:pPr>
      <w:r>
        <w:t>On the supplied wording, the handicap decision should be treated as a club vote at a properly called EGM. It should not be described as a reconvened AGM unless the original AGM was formally adjourned rather than closed.</w:t>
      </w:r>
    </w:p>
    <w:p>
      <w:pPr>
        <w:widowControl w:val="1"/>
      </w:pPr>
      <w:r>
        <w:br w:type="page"/>
      </w:r>
    </w:p>
    <w:p>
      <w:pPr>
        <w:spacing w:after="80"/>
        <w:widowControl w:val="1"/>
      </w:pPr>
      <w:r>
        <w:rPr>
          <w:rFonts w:ascii="Aptos" w:hAnsi="Aptos"/>
          <w:b/>
          <w:color w:val="172033"/>
          <w:sz w:val="18"/>
        </w:rPr>
        <w:t>APPENDIX B</w:t>
      </w:r>
    </w:p>
    <w:p>
      <w:pPr>
        <w:pStyle w:val="Heading1"/>
        <w:widowControl w:val="1"/>
      </w:pPr>
      <w:r>
        <w:t>Rack and Frame Elo calculation method</w:t>
      </w:r>
    </w:p>
    <w:p>
      <w:pPr>
        <w:spacing w:before="0" w:after="160"/>
        <w:widowControl w:val="1"/>
      </w:pPr>
    </w:p>
    <w:p>
      <w:pPr>
        <w:widowControl w:val="1"/>
      </w:pPr>
      <w:r>
        <w:t>Rack &amp; Frame processes every approved eligible frame as a separate result. Singles and doubles use the same Elo principle. Elo records performance continuously; the adopted proposal determines when that evidence changes the published playing handicap.</w:t>
      </w:r>
    </w:p>
    <w:p>
      <w:pPr>
        <w:pStyle w:val="Heading2"/>
        <w:widowControl w:val="1"/>
      </w:pPr>
      <w:r>
        <w:t>Step 1 Determine each side’s rating</w:t>
      </w:r>
    </w:p>
    <w:p>
      <w:pPr>
        <w:pStyle w:val="ListBullet"/>
        <w:spacing w:after="64" w:line="259" w:lineRule="auto"/>
        <w:ind w:left="317" w:hanging="230"/>
        <w:widowControl w:val="1"/>
      </w:pPr>
      <w:r>
        <w:rPr>
          <w:rFonts w:ascii="Aptos" w:hAnsi="Aptos"/>
          <w:sz w:val="20"/>
        </w:rPr>
        <w:t>Singles: the side rating is the player’s Elo immediately before the frame.</w:t>
      </w:r>
    </w:p>
    <w:p>
      <w:pPr>
        <w:pStyle w:val="ListBullet"/>
        <w:spacing w:after="64" w:line="259" w:lineRule="auto"/>
        <w:ind w:left="317" w:hanging="230"/>
        <w:widowControl w:val="1"/>
      </w:pPr>
      <w:r>
        <w:rPr>
          <w:rFonts w:ascii="Aptos" w:hAnsi="Aptos"/>
          <w:sz w:val="20"/>
        </w:rPr>
        <w:t>Doubles: the side rating is the arithmetic mean of the two partners’ Elo ratings immediately before the frame.</w:t>
      </w:r>
    </w:p>
    <w:p>
      <w:pPr>
        <w:pStyle w:val="Heading2"/>
        <w:widowControl w:val="1"/>
      </w:pPr>
      <w:r>
        <w:t>Step 2 Calculate the expected result</w:t>
      </w:r>
    </w:p>
    <w:p w:rsidR="00000000">
      <w:pPr>
        <w:spacing w:before="80" w:after="140"/>
        <w:jc w:val="center"/>
        <w:widowControl w:val="1"/>
      </w:pPr>
      <m:oMathPara>
        <m:oMath>
          <m:r>
            <m:rPr>
              <m:sty m:val="p"/>
            </m:rPr>
            <m:t>Eₐ = </m:t>
          </m:r>
          <m:f>
            <m:num>
              <m:r>
                <m:rPr>
                  <m:sty m:val="p"/>
                </m:rPr>
                <m:t>1</m:t>
              </m:r>
            </m:num>
            <m:den>
              <m:r>
                <m:rPr>
                  <m:sty m:val="p"/>
                </m:rPr>
                <m:t>1 + </m:t>
              </m:r>
              <m:sSup>
                <m:e>
                  <m:r>
                    <m:rPr>
                      <m:sty m:val="p"/>
                    </m:rPr>
                    <m:t>10</m:t>
                  </m:r>
                </m:e>
                <m:sup>
                  <m:f>
                    <m:num>
                      <m:r>
                        <m:rPr>
                          <m:sty m:val="i"/>
                        </m:rPr>
                        <m:t>Rᵦ - Rₐ</m:t>
                      </m:r>
                    </m:num>
                    <m:den>
                      <m:r>
                        <m:rPr>
                          <m:sty m:val="i"/>
                        </m:rPr>
                        <m:t>400</m:t>
                      </m:r>
                    </m:den>
                  </m:f>
                </m:sup>
              </m:sSup>
            </m:den>
          </m:f>
        </m:oMath>
      </m:oMathPara>
    </w:p>
    <w:p>
      <w:pPr>
        <w:widowControl w:val="1"/>
      </w:pPr>
      <w:r>
        <w:t>EA is side A’s expected score. RA and RB are the two side ratings. The expected score is always between 0 and 1; the two sides’ expectations add to 1.</w:t>
      </w:r>
    </w:p>
    <w:p>
      <w:pPr>
        <w:pStyle w:val="Heading2"/>
        <w:widowControl w:val="1"/>
      </w:pPr>
      <w:r>
        <w:t>Step 3 Record the actual result</w:t>
      </w:r>
    </w:p>
    <w:p>
      <w:pPr>
        <w:pStyle w:val="ListBullet"/>
        <w:spacing w:after="64" w:line="259" w:lineRule="auto"/>
        <w:ind w:left="317" w:hanging="230"/>
        <w:widowControl w:val="1"/>
      </w:pPr>
      <w:r>
        <w:rPr>
          <w:rFonts w:ascii="Aptos" w:hAnsi="Aptos"/>
          <w:sz w:val="20"/>
        </w:rPr>
        <w:t>Win: S = 1</w:t>
      </w:r>
    </w:p>
    <w:p>
      <w:pPr>
        <w:pStyle w:val="ListBullet"/>
        <w:spacing w:after="64" w:line="259" w:lineRule="auto"/>
        <w:ind w:left="317" w:hanging="230"/>
        <w:widowControl w:val="1"/>
      </w:pPr>
      <w:r>
        <w:rPr>
          <w:rFonts w:ascii="Aptos" w:hAnsi="Aptos"/>
          <w:sz w:val="20"/>
        </w:rPr>
        <w:t>Loss: S = 0</w:t>
      </w:r>
    </w:p>
    <w:p>
      <w:pPr>
        <w:pStyle w:val="ListBullet"/>
        <w:spacing w:after="64" w:line="259" w:lineRule="auto"/>
        <w:ind w:left="317" w:hanging="230"/>
        <w:widowControl w:val="1"/>
      </w:pPr>
      <w:r>
        <w:rPr>
          <w:rFonts w:ascii="Aptos" w:hAnsi="Aptos"/>
          <w:sz w:val="20"/>
        </w:rPr>
        <w:t>Draw: S = 0.5, if a competition format permits a drawn rated result.</w:t>
      </w:r>
    </w:p>
    <w:p>
      <w:pPr>
        <w:widowControl w:val="1"/>
      </w:pPr>
      <w:r>
        <w:t>Frame points, the winning margin and the handicap start do not alter the Elo calculation.</w:t>
      </w:r>
    </w:p>
    <w:p>
      <w:pPr>
        <w:pStyle w:val="Heading2"/>
        <w:widowControl w:val="1"/>
      </w:pPr>
      <w:r>
        <w:t>Step 4 Choose the K factor</w:t>
      </w:r>
    </w:p>
    <w:tbl>
      <w:tblPr>
        <w:tblStyle w:val="TableGrid"/>
        <w:tblW w:type="auto" w:w="0"/>
        <w:jc w:val="center"/>
        <w:tblLook w:firstColumn="1" w:firstRow="1" w:lastColumn="0" w:lastRow="0" w:noHBand="0" w:noVBand="1" w:val="04A0"/>
        <w:tblCaption w:val="Rack and Frame K factors"/>
        <w:tblDescription w:val="K factor applied according to average rated frames and average Elo."/>
      </w:tblPr>
      <w:tblGrid>
        <w:gridCol w:w="3331"/>
        <w:gridCol w:w="3331"/>
        <w:gridCol w:w="3331"/>
      </w:tblGrid>
      <w:tr>
        <w:trPr>
          <w:tblHeader w:val="true"/>
        </w:trPr>
        <w:tc>
          <w:tcPr>
            <w:tcW w:type="dxa" w:w="3331"/>
            <w:vAlign w:val="center"/>
            <w:tcMar>
              <w:top w:w="90" w:type="dxa"/>
              <w:start w:w="100" w:type="dxa"/>
              <w:bottom w:w="90" w:type="dxa"/>
              <w:end w:w="100" w:type="dxa"/>
            </w:tcMar>
            <w:shd w:fill="0B172A"/>
          </w:tcPr>
          <w:p>
            <w:pPr>
              <w:spacing w:after="0" w:line="250" w:lineRule="auto"/>
            </w:pPr>
            <w:r/>
            <w:r>
              <w:rPr>
                <w:rFonts w:ascii="Aptos" w:hAnsi="Aptos"/>
                <w:b/>
                <w:color w:val="FFFFFF"/>
                <w:sz w:val="18"/>
              </w:rPr>
              <w:t>Condition</w:t>
            </w:r>
          </w:p>
        </w:tc>
        <w:tc>
          <w:tcPr>
            <w:tcW w:type="dxa" w:w="3331"/>
            <w:vAlign w:val="center"/>
            <w:tcMar>
              <w:top w:w="90" w:type="dxa"/>
              <w:start w:w="100" w:type="dxa"/>
              <w:bottom w:w="90" w:type="dxa"/>
              <w:end w:w="100" w:type="dxa"/>
            </w:tcMar>
            <w:shd w:fill="0B172A"/>
          </w:tcPr>
          <w:p>
            <w:pPr>
              <w:spacing w:after="0" w:line="250" w:lineRule="auto"/>
            </w:pPr>
            <w:r/>
            <w:r>
              <w:rPr>
                <w:rFonts w:ascii="Aptos" w:hAnsi="Aptos"/>
                <w:b/>
                <w:color w:val="FFFFFF"/>
                <w:sz w:val="18"/>
              </w:rPr>
              <w:t>K</w:t>
            </w:r>
          </w:p>
        </w:tc>
        <w:tc>
          <w:tcPr>
            <w:tcW w:type="dxa" w:w="3331"/>
            <w:vAlign w:val="center"/>
            <w:tcMar>
              <w:top w:w="90" w:type="dxa"/>
              <w:start w:w="100" w:type="dxa"/>
              <w:bottom w:w="90" w:type="dxa"/>
              <w:end w:w="100" w:type="dxa"/>
            </w:tcMar>
            <w:shd w:fill="0B172A"/>
          </w:tcPr>
          <w:p>
            <w:pPr>
              <w:spacing w:after="0" w:line="250" w:lineRule="auto"/>
            </w:pPr>
            <w:r/>
            <w:r>
              <w:rPr>
                <w:rFonts w:ascii="Aptos" w:hAnsi="Aptos"/>
                <w:b/>
                <w:color w:val="FFFFFF"/>
                <w:sz w:val="18"/>
              </w:rPr>
              <w:t>Effect</w:t>
            </w:r>
          </w:p>
        </w:tc>
      </w:tr>
      <w:tr>
        <w:tc>
          <w:tcPr>
            <w:tcW w:type="dxa" w:w="3331"/>
            <w:vAlign w:val="center"/>
            <w:tcMar>
              <w:top w:w="90" w:type="dxa"/>
              <w:start w:w="100" w:type="dxa"/>
              <w:bottom w:w="90" w:type="dxa"/>
              <w:end w:w="100" w:type="dxa"/>
            </w:tcMar>
          </w:tcPr>
          <w:p>
            <w:pPr>
              <w:spacing w:after="0" w:line="250" w:lineRule="auto"/>
            </w:pPr>
            <w:r/>
            <w:r>
              <w:rPr>
                <w:rFonts w:ascii="Aptos" w:hAnsi="Aptos"/>
                <w:b w:val="0"/>
                <w:color w:val="172033"/>
                <w:sz w:val="18"/>
              </w:rPr>
              <w:t>Average rated frames below 30</w:t>
            </w:r>
          </w:p>
        </w:tc>
        <w:tc>
          <w:tcPr>
            <w:tcW w:type="dxa" w:w="3331"/>
            <w:vAlign w:val="center"/>
            <w:tcMar>
              <w:top w:w="90" w:type="dxa"/>
              <w:start w:w="100" w:type="dxa"/>
              <w:bottom w:w="90" w:type="dxa"/>
              <w:end w:w="100" w:type="dxa"/>
            </w:tcMar>
          </w:tcPr>
          <w:p>
            <w:pPr>
              <w:spacing w:after="0" w:line="250" w:lineRule="auto"/>
              <w:jc w:val="center"/>
            </w:pPr>
            <w:r/>
            <w:r>
              <w:rPr>
                <w:rFonts w:ascii="Aptos" w:hAnsi="Aptos"/>
                <w:b/>
                <w:color w:val="172033"/>
                <w:sz w:val="18"/>
              </w:rPr>
              <w:t>32</w:t>
            </w:r>
          </w:p>
        </w:tc>
        <w:tc>
          <w:tcPr>
            <w:tcW w:type="dxa" w:w="3331"/>
            <w:vAlign w:val="center"/>
            <w:tcMar>
              <w:top w:w="90" w:type="dxa"/>
              <w:start w:w="100" w:type="dxa"/>
              <w:bottom w:w="90" w:type="dxa"/>
              <w:end w:w="100" w:type="dxa"/>
            </w:tcMar>
          </w:tcPr>
          <w:p>
            <w:pPr>
              <w:spacing w:after="0" w:line="250" w:lineRule="auto"/>
            </w:pPr>
            <w:r/>
            <w:r>
              <w:rPr>
                <w:rFonts w:ascii="Aptos" w:hAnsi="Aptos"/>
                <w:b w:val="0"/>
                <w:color w:val="172033"/>
                <w:sz w:val="18"/>
              </w:rPr>
              <w:t>Faster movement while a rating is developing</w:t>
            </w:r>
          </w:p>
        </w:tc>
      </w:tr>
      <w:tr>
        <w:tc>
          <w:tcPr>
            <w:tcW w:type="dxa" w:w="3331"/>
            <w:vAlign w:val="center"/>
            <w:tcMar>
              <w:top w:w="90" w:type="dxa"/>
              <w:start w:w="100" w:type="dxa"/>
              <w:bottom w:w="90" w:type="dxa"/>
              <w:end w:w="100" w:type="dxa"/>
            </w:tcMar>
          </w:tcPr>
          <w:p>
            <w:pPr>
              <w:spacing w:after="0" w:line="250" w:lineRule="auto"/>
            </w:pPr>
            <w:r/>
            <w:r>
              <w:rPr>
                <w:rFonts w:ascii="Aptos" w:hAnsi="Aptos"/>
                <w:b w:val="0"/>
                <w:color w:val="172033"/>
                <w:sz w:val="18"/>
              </w:rPr>
              <w:t>Established and average Elo at least 1800</w:t>
            </w:r>
          </w:p>
        </w:tc>
        <w:tc>
          <w:tcPr>
            <w:tcW w:type="dxa" w:w="3331"/>
            <w:vAlign w:val="center"/>
            <w:tcMar>
              <w:top w:w="90" w:type="dxa"/>
              <w:start w:w="100" w:type="dxa"/>
              <w:bottom w:w="90" w:type="dxa"/>
              <w:end w:w="100" w:type="dxa"/>
            </w:tcMar>
          </w:tcPr>
          <w:p>
            <w:pPr>
              <w:spacing w:after="0" w:line="250" w:lineRule="auto"/>
              <w:jc w:val="center"/>
            </w:pPr>
            <w:r/>
            <w:r>
              <w:rPr>
                <w:rFonts w:ascii="Aptos" w:hAnsi="Aptos"/>
                <w:b/>
                <w:color w:val="172033"/>
                <w:sz w:val="18"/>
              </w:rPr>
              <w:t>16</w:t>
            </w:r>
          </w:p>
        </w:tc>
        <w:tc>
          <w:tcPr>
            <w:tcW w:type="dxa" w:w="3331"/>
            <w:vAlign w:val="center"/>
            <w:tcMar>
              <w:top w:w="90" w:type="dxa"/>
              <w:start w:w="100" w:type="dxa"/>
              <w:bottom w:w="90" w:type="dxa"/>
              <w:end w:w="100" w:type="dxa"/>
            </w:tcMar>
          </w:tcPr>
          <w:p>
            <w:pPr>
              <w:spacing w:after="0" w:line="250" w:lineRule="auto"/>
            </w:pPr>
            <w:r/>
            <w:r>
              <w:rPr>
                <w:rFonts w:ascii="Aptos" w:hAnsi="Aptos"/>
                <w:b w:val="0"/>
                <w:color w:val="172033"/>
                <w:sz w:val="18"/>
              </w:rPr>
              <w:t>Smaller movement for high established ratings</w:t>
            </w:r>
          </w:p>
        </w:tc>
      </w:tr>
      <w:tr>
        <w:tc>
          <w:tcPr>
            <w:tcW w:type="dxa" w:w="3331"/>
            <w:vAlign w:val="center"/>
            <w:tcMar>
              <w:top w:w="90" w:type="dxa"/>
              <w:start w:w="100" w:type="dxa"/>
              <w:bottom w:w="90" w:type="dxa"/>
              <w:end w:w="100" w:type="dxa"/>
            </w:tcMar>
          </w:tcPr>
          <w:p>
            <w:pPr>
              <w:spacing w:after="0" w:line="250" w:lineRule="auto"/>
            </w:pPr>
            <w:r/>
            <w:r>
              <w:rPr>
                <w:rFonts w:ascii="Aptos" w:hAnsi="Aptos"/>
                <w:b w:val="0"/>
                <w:color w:val="172033"/>
                <w:sz w:val="18"/>
              </w:rPr>
              <w:t>All other established cases</w:t>
            </w:r>
          </w:p>
        </w:tc>
        <w:tc>
          <w:tcPr>
            <w:tcW w:type="dxa" w:w="3331"/>
            <w:vAlign w:val="center"/>
            <w:tcMar>
              <w:top w:w="90" w:type="dxa"/>
              <w:start w:w="100" w:type="dxa"/>
              <w:bottom w:w="90" w:type="dxa"/>
              <w:end w:w="100" w:type="dxa"/>
            </w:tcMar>
          </w:tcPr>
          <w:p>
            <w:pPr>
              <w:spacing w:after="0" w:line="250" w:lineRule="auto"/>
              <w:jc w:val="center"/>
            </w:pPr>
            <w:r/>
            <w:r>
              <w:rPr>
                <w:rFonts w:ascii="Aptos" w:hAnsi="Aptos"/>
                <w:b/>
                <w:color w:val="172033"/>
                <w:sz w:val="18"/>
              </w:rPr>
              <w:t>20</w:t>
            </w:r>
          </w:p>
        </w:tc>
        <w:tc>
          <w:tcPr>
            <w:tcW w:type="dxa" w:w="3331"/>
            <w:vAlign w:val="center"/>
            <w:tcMar>
              <w:top w:w="90" w:type="dxa"/>
              <w:start w:w="100" w:type="dxa"/>
              <w:bottom w:w="90" w:type="dxa"/>
              <w:end w:w="100" w:type="dxa"/>
            </w:tcMar>
          </w:tcPr>
          <w:p>
            <w:pPr>
              <w:spacing w:after="0" w:line="250" w:lineRule="auto"/>
            </w:pPr>
            <w:r/>
            <w:r>
              <w:rPr>
                <w:rFonts w:ascii="Aptos" w:hAnsi="Aptos"/>
                <w:b w:val="0"/>
                <w:color w:val="172033"/>
                <w:sz w:val="18"/>
              </w:rPr>
              <w:t>Standard movement</w:t>
            </w:r>
          </w:p>
        </w:tc>
      </w:tr>
    </w:tbl>
    <w:p>
      <w:pPr>
        <w:widowControl w:val="1"/>
      </w:pPr>
      <w:r>
        <w:t>For doubles, average rated-frame counts are calculated for each pair. Rack &amp; Frame uses the larger K factor produced by the two sides, so a developing player or pair is not forced to move at an established-player rate.</w:t>
      </w:r>
    </w:p>
    <w:p>
      <w:pPr>
        <w:widowControl w:val="1"/>
      </w:pPr>
      <w:r>
        <w:br w:type="page"/>
      </w:r>
    </w:p>
    <w:p>
      <w:pPr>
        <w:spacing w:after="80"/>
        <w:widowControl w:val="1"/>
      </w:pPr>
      <w:r>
        <w:rPr>
          <w:rFonts w:ascii="Aptos" w:hAnsi="Aptos"/>
          <w:b/>
          <w:color w:val="172033"/>
          <w:sz w:val="18"/>
        </w:rPr>
        <w:t>APPENDIX B CONTINUED</w:t>
      </w:r>
    </w:p>
    <w:p>
      <w:pPr>
        <w:pStyle w:val="Heading1"/>
        <w:widowControl w:val="1"/>
      </w:pPr>
      <w:r>
        <w:t>Rating changes and handicap conversion</w:t>
      </w:r>
    </w:p>
    <w:p>
      <w:pPr>
        <w:spacing w:before="0" w:after="160"/>
        <w:widowControl w:val="1"/>
      </w:pPr>
    </w:p>
    <w:p>
      <w:pPr>
        <w:pStyle w:val="Heading2"/>
        <w:widowControl w:val="1"/>
      </w:pPr>
      <w:r>
        <w:t>Step 5 Calculate and apply the Elo change</w:t>
      </w:r>
    </w:p>
    <w:p w:rsidR="00000000">
      <w:pPr>
        <w:spacing w:before="80" w:after="140"/>
        <w:jc w:val="center"/>
        <w:widowControl w:val="1"/>
      </w:pPr>
      <m:oMathPara>
        <m:oMath>
          <m:r>
            <m:rPr>
              <m:sty m:val="p"/>
            </m:rPr>
            <m:t>Δₐ = round[K × (Sₐ - Eₐ)]     Δᵦ = -Δₐ</m:t>
          </m:r>
        </m:oMath>
      </m:oMathPara>
    </w:p>
    <w:p>
      <w:pPr>
        <w:widowControl w:val="1"/>
      </w:pPr>
      <w:r>
        <w:t>The change is rounded to the nearest whole Elo point. The winner normally gains Elo and the loser loses the same amount. A result that was less likely produces a larger movement.</w:t>
      </w:r>
    </w:p>
    <w:p w:rsidR="00000000">
      <w:pPr>
        <w:spacing w:before="80" w:after="140"/>
        <w:jc w:val="center"/>
        <w:widowControl w:val="1"/>
      </w:pPr>
      <m:oMathPara>
        <m:oMath>
          <m:r>
            <m:rPr>
              <m:sty m:val="p"/>
            </m:rPr>
            <m:t>R'ₐ = max(100, Rₐ + Δₐ)     R'ᵦ = max(100, Rᵦ + Δᵦ)</m:t>
          </m:r>
        </m:oMath>
      </m:oMathPara>
    </w:p>
    <w:p>
      <w:pPr>
        <w:widowControl w:val="1"/>
      </w:pPr>
      <w:r>
        <w:t>Rack &amp; Frame does not allow an Elo rating to fall below 100.</w:t>
      </w:r>
    </w:p>
    <w:p>
      <w:pPr>
        <w:pStyle w:val="Heading2"/>
        <w:widowControl w:val="1"/>
      </w:pPr>
      <w:r>
        <w:t>How doubles are applied</w:t>
      </w:r>
    </w:p>
    <w:p>
      <w:pPr>
        <w:pStyle w:val="ListBullet"/>
        <w:spacing w:after="64" w:line="259" w:lineRule="auto"/>
        <w:ind w:left="317" w:hanging="230"/>
        <w:widowControl w:val="1"/>
      </w:pPr>
      <w:r>
        <w:rPr>
          <w:rFonts w:ascii="Aptos" w:hAnsi="Aptos"/>
          <w:sz w:val="20"/>
        </w:rPr>
        <w:t>The average Elo of each pair is used to calculate the expected result.</w:t>
      </w:r>
    </w:p>
    <w:p>
      <w:pPr>
        <w:pStyle w:val="ListBullet"/>
        <w:spacing w:after="64" w:line="259" w:lineRule="auto"/>
        <w:ind w:left="317" w:hanging="230"/>
        <w:widowControl w:val="1"/>
      </w:pPr>
      <w:r>
        <w:rPr>
          <w:rFonts w:ascii="Aptos" w:hAnsi="Aptos"/>
          <w:sz w:val="20"/>
        </w:rPr>
        <w:t>The frame produces one team delta for each side.</w:t>
      </w:r>
    </w:p>
    <w:p>
      <w:pPr>
        <w:pStyle w:val="ListBullet"/>
        <w:spacing w:after="64" w:line="259" w:lineRule="auto"/>
        <w:ind w:left="317" w:hanging="230"/>
        <w:widowControl w:val="1"/>
      </w:pPr>
      <w:r>
        <w:rPr>
          <w:rFonts w:ascii="Aptos" w:hAnsi="Aptos"/>
          <w:sz w:val="20"/>
        </w:rPr>
        <w:t>Each player in the winning pair receives the full winning-pair delta; each player in the losing pair receives the full losing-pair delta.</w:t>
      </w:r>
    </w:p>
    <w:p>
      <w:pPr>
        <w:pStyle w:val="ListBullet"/>
        <w:spacing w:after="64" w:line="259" w:lineRule="auto"/>
        <w:ind w:left="317" w:hanging="230"/>
        <w:widowControl w:val="1"/>
      </w:pPr>
      <w:r>
        <w:rPr>
          <w:rFonts w:ascii="Aptos" w:hAnsi="Aptos"/>
          <w:sz w:val="20"/>
        </w:rPr>
        <w:t>An approved doubles frame therefore counts as one rated frame for each of its four players.</w:t>
      </w:r>
    </w:p>
    <w:p>
      <w:pPr>
        <w:pStyle w:val="Heading2"/>
        <w:widowControl w:val="1"/>
      </w:pPr>
      <w:r>
        <w:t>Step 6 Convert Elo to the target handicap</w:t>
      </w:r>
    </w:p>
    <w:p w:rsidR="00000000">
      <w:pPr>
        <w:spacing w:before="80" w:after="140"/>
        <w:jc w:val="center"/>
        <w:widowControl w:val="1"/>
      </w:pPr>
      <m:oMathPara>
        <m:oMath>
          <m:r>
            <m:rPr>
              <m:sty m:val="p"/>
            </m:rPr>
            <m:t>H target = 4 × round(</m:t>
          </m:r>
          <m:f>
            <m:num>
              <m:r>
                <m:rPr>
                  <m:sty m:val="i"/>
                </m:rPr>
                <m:t>1000 - R</m:t>
              </m:r>
            </m:num>
            <m:den>
              <m:r>
                <m:rPr>
                  <m:sty m:val="i"/>
                </m:rPr>
                <m:t>20</m:t>
              </m:r>
            </m:den>
          </m:f>
          <m:r>
            <m:rPr>
              <m:sty m:val="p"/>
            </m:rPr>
            <m:t>)</m:t>
          </m:r>
        </m:oMath>
      </m:oMathPara>
    </w:p>
    <w:p>
      <w:pPr>
        <w:widowControl w:val="1"/>
      </w:pPr>
      <w:r>
        <w:t>This is equivalent to taking one handicap point for every five Elo points below 1000, then rounding the result to the nearest multiple of four. A rating below 1000 produces a positive target handicap; a rating above 1000 produces a negative target handicap. The target becomes the published handicap only at the review point specified by the adopted proposal.</w:t>
      </w:r>
    </w:p>
    <w:p>
      <w:pPr>
        <w:pStyle w:val="Heading2"/>
        <w:widowControl w:val="1"/>
      </w:pPr>
      <w:r>
        <w:t>Worked examples</w:t>
      </w:r>
    </w:p>
    <w:tbl>
      <w:tblPr>
        <w:tblStyle w:val="TableGrid"/>
        <w:tblW w:type="auto" w:w="0"/>
        <w:jc w:val="center"/>
        <w:tblLook w:firstColumn="1" w:firstRow="1" w:lastColumn="0" w:lastRow="0" w:noHBand="0" w:noVBand="1" w:val="04A0"/>
        <w:tblCaption w:val="Worked Elo examples"/>
        <w:tblDescription w:val="Equal singles, singles upset and doubles upset examples using Rack and Frame Elo."/>
      </w:tblPr>
      <w:tblGrid>
        <w:gridCol w:w="2498"/>
        <w:gridCol w:w="2498"/>
        <w:gridCol w:w="2498"/>
        <w:gridCol w:w="2498"/>
      </w:tblGrid>
      <w:tr>
        <w:trPr>
          <w:tblHeader w:val="true"/>
        </w:trPr>
        <w:tc>
          <w:tcPr>
            <w:tcW w:type="dxa" w:w="2498"/>
            <w:vAlign w:val="center"/>
            <w:tcMar>
              <w:top w:w="90" w:type="dxa"/>
              <w:start w:w="100" w:type="dxa"/>
              <w:bottom w:w="90" w:type="dxa"/>
              <w:end w:w="100" w:type="dxa"/>
            </w:tcMar>
            <w:shd w:fill="0B172A"/>
          </w:tcPr>
          <w:p>
            <w:pPr>
              <w:spacing w:after="0" w:line="250" w:lineRule="auto"/>
            </w:pPr>
            <w:r/>
            <w:r>
              <w:rPr>
                <w:rFonts w:ascii="Aptos" w:hAnsi="Aptos"/>
                <w:b/>
                <w:color w:val="FFFFFF"/>
                <w:sz w:val="17"/>
              </w:rPr>
              <w:t>Frame</w:t>
            </w:r>
          </w:p>
        </w:tc>
        <w:tc>
          <w:tcPr>
            <w:tcW w:type="dxa" w:w="2498"/>
            <w:vAlign w:val="center"/>
            <w:tcMar>
              <w:top w:w="90" w:type="dxa"/>
              <w:start w:w="100" w:type="dxa"/>
              <w:bottom w:w="90" w:type="dxa"/>
              <w:end w:w="100" w:type="dxa"/>
            </w:tcMar>
            <w:shd w:fill="0B172A"/>
          </w:tcPr>
          <w:p>
            <w:pPr>
              <w:spacing w:after="0" w:line="250" w:lineRule="auto"/>
            </w:pPr>
            <w:r/>
            <w:r>
              <w:rPr>
                <w:rFonts w:ascii="Aptos" w:hAnsi="Aptos"/>
                <w:b/>
                <w:color w:val="FFFFFF"/>
                <w:sz w:val="17"/>
              </w:rPr>
              <w:t>Expected result</w:t>
            </w:r>
          </w:p>
        </w:tc>
        <w:tc>
          <w:tcPr>
            <w:tcW w:type="dxa" w:w="2498"/>
            <w:vAlign w:val="center"/>
            <w:tcMar>
              <w:top w:w="90" w:type="dxa"/>
              <w:start w:w="100" w:type="dxa"/>
              <w:bottom w:w="90" w:type="dxa"/>
              <w:end w:w="100" w:type="dxa"/>
            </w:tcMar>
            <w:shd w:fill="0B172A"/>
          </w:tcPr>
          <w:p>
            <w:pPr>
              <w:spacing w:after="0" w:line="250" w:lineRule="auto"/>
            </w:pPr>
            <w:r/>
            <w:r>
              <w:rPr>
                <w:rFonts w:ascii="Aptos" w:hAnsi="Aptos"/>
                <w:b/>
                <w:color w:val="FFFFFF"/>
                <w:sz w:val="17"/>
              </w:rPr>
              <w:t>Result</w:t>
            </w:r>
          </w:p>
        </w:tc>
        <w:tc>
          <w:tcPr>
            <w:tcW w:type="dxa" w:w="2498"/>
            <w:vAlign w:val="center"/>
            <w:tcMar>
              <w:top w:w="90" w:type="dxa"/>
              <w:start w:w="100" w:type="dxa"/>
              <w:bottom w:w="90" w:type="dxa"/>
              <w:end w:w="100" w:type="dxa"/>
            </w:tcMar>
            <w:shd w:fill="0B172A"/>
          </w:tcPr>
          <w:p>
            <w:pPr>
              <w:spacing w:after="0" w:line="250" w:lineRule="auto"/>
            </w:pPr>
            <w:r/>
            <w:r>
              <w:rPr>
                <w:rFonts w:ascii="Aptos" w:hAnsi="Aptos"/>
                <w:b/>
                <w:color w:val="FFFFFF"/>
                <w:sz w:val="17"/>
              </w:rPr>
              <w:t>Elo change</w:t>
            </w:r>
          </w:p>
        </w:tc>
      </w:tr>
      <w:tr>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7"/>
              </w:rPr>
              <w:t>Singles 1000 v 1000</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7"/>
              </w:rPr>
              <w:t>50.0% each</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7"/>
              </w:rPr>
              <w:t>1000 player A wins</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7"/>
              </w:rPr>
              <w:t>A +16; B -16 at K 32</w:t>
            </w:r>
          </w:p>
        </w:tc>
      </w:tr>
      <w:tr>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7"/>
              </w:rPr>
              <w:t>Singles 960 v 1040</w:t>
            </w:r>
          </w:p>
        </w:tc>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7"/>
              </w:rPr>
              <w:t>960 player 38.7%</w:t>
            </w:r>
          </w:p>
        </w:tc>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7"/>
              </w:rPr>
              <w:t>960 player wins</w:t>
            </w:r>
          </w:p>
        </w:tc>
        <w:tc>
          <w:tcPr>
            <w:tcW w:type="dxa" w:w="2498"/>
            <w:vAlign w:val="center"/>
            <w:tcMar>
              <w:top w:w="90" w:type="dxa"/>
              <w:start w:w="100" w:type="dxa"/>
              <w:bottom w:w="90" w:type="dxa"/>
              <w:end w:w="100" w:type="dxa"/>
            </w:tcMar>
            <w:shd w:fill="F6F8FB"/>
          </w:tcPr>
          <w:p>
            <w:pPr>
              <w:spacing w:after="0" w:line="250" w:lineRule="auto"/>
            </w:pPr>
            <w:r/>
            <w:r>
              <w:rPr>
                <w:rFonts w:ascii="Aptos" w:hAnsi="Aptos"/>
                <w:b w:val="0"/>
                <w:color w:val="172033"/>
                <w:sz w:val="17"/>
              </w:rPr>
              <w:t>Lower-rated player +20; opponent -20 at K 32</w:t>
            </w:r>
          </w:p>
        </w:tc>
      </w:tr>
      <w:tr>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7"/>
              </w:rPr>
              <w:t>Doubles averages 1000 v 1060</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7"/>
              </w:rPr>
              <w:t>1000 pair 41.5%</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7"/>
              </w:rPr>
              <w:t>1000 pair wins</w:t>
            </w:r>
          </w:p>
        </w:tc>
        <w:tc>
          <w:tcPr>
            <w:tcW w:type="dxa" w:w="2498"/>
            <w:vAlign w:val="center"/>
            <w:tcMar>
              <w:top w:w="90" w:type="dxa"/>
              <w:start w:w="100" w:type="dxa"/>
              <w:bottom w:w="90" w:type="dxa"/>
              <w:end w:w="100" w:type="dxa"/>
            </w:tcMar>
          </w:tcPr>
          <w:p>
            <w:pPr>
              <w:spacing w:after="0" w:line="250" w:lineRule="auto"/>
            </w:pPr>
            <w:r/>
            <w:r>
              <w:rPr>
                <w:rFonts w:ascii="Aptos" w:hAnsi="Aptos"/>
                <w:b w:val="0"/>
                <w:color w:val="172033"/>
                <w:sz w:val="17"/>
              </w:rPr>
              <w:t>Each winner +19; each loser -19 at K 32</w:t>
            </w:r>
          </w:p>
        </w:tc>
      </w:tr>
    </w:tbl>
    <w:p>
      <w:pPr>
        <w:pStyle w:val="Heading2"/>
        <w:widowControl w:val="1"/>
      </w:pPr>
      <w:r>
        <w:t>Frames that do not update Elo</w:t>
      </w:r>
    </w:p>
    <w:p>
      <w:pPr>
        <w:pStyle w:val="ListBullet"/>
        <w:spacing w:after="64" w:line="259" w:lineRule="auto"/>
        <w:ind w:left="317" w:hanging="230"/>
        <w:widowControl w:val="1"/>
      </w:pPr>
      <w:r>
        <w:rPr>
          <w:rFonts w:ascii="Aptos" w:hAnsi="Aptos"/>
          <w:sz w:val="20"/>
        </w:rPr>
        <w:t>A no-show, forfeit or unplayed frame.</w:t>
      </w:r>
    </w:p>
    <w:p>
      <w:pPr>
        <w:pStyle w:val="ListBullet"/>
        <w:spacing w:after="64" w:line="259" w:lineRule="auto"/>
        <w:ind w:left="317" w:hanging="230"/>
        <w:widowControl w:val="1"/>
      </w:pPr>
      <w:r>
        <w:rPr>
          <w:rFonts w:ascii="Aptos" w:hAnsi="Aptos"/>
          <w:sz w:val="20"/>
        </w:rPr>
        <w:t>A frame without a recorded winner.</w:t>
      </w:r>
    </w:p>
    <w:p>
      <w:pPr>
        <w:pStyle w:val="ListBullet"/>
        <w:spacing w:after="64" w:line="259" w:lineRule="auto"/>
        <w:ind w:left="317" w:hanging="230"/>
        <w:widowControl w:val="1"/>
      </w:pPr>
      <w:r>
        <w:rPr>
          <w:rFonts w:ascii="Aptos" w:hAnsi="Aptos"/>
          <w:sz w:val="20"/>
        </w:rPr>
        <w:t>A singles frame without one valid player on each side, or a doubles frame without two valid players on each side.</w:t>
      </w:r>
    </w:p>
    <w:p>
      <w:pPr>
        <w:widowControl w:val="1"/>
      </w:pPr>
      <w:r>
        <w:t>If an approved result is corrected, Rack &amp; Frame reverses the earlier rating events before rebuilding the affected frame ratings, preventing the same frame from being counted twice.</w:t>
      </w:r>
    </w:p>
    <w:sectPr w:rsidR="00FC693F" w:rsidRPr="0006063C" w:rsidSect="00034616">
      <w:headerReference w:type="default" r:id="rId9"/>
      <w:footerReference w:type="default" r:id="rId10"/>
      <w:pgSz w:w="12240" w:h="15840"/>
      <w:pgMar w:top="979" w:right="1123" w:bottom="893" w:left="1123" w:header="432"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26078"/>
        <w:sz w:val="17"/>
      </w:rPr>
      <w:t xml:space="preserve">Premier League handicap decision paper  |  4 September 2026    </w:t>
    </w:r>
    <w:r>
      <w:rPr>
        <w:rFonts w:ascii="Aptos" w:hAnsi="Aptos"/>
        <w:color w:val="526078"/>
        <w:sz w:val="17"/>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72033"/>
        <w:sz w:val="16"/>
      </w:rPr>
      <w:t>RACK &amp; FRAME  •  GRAVESEND &amp; DISTRICT INDOOR GAMES LEAGUE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Aptos Display" w:hAnsi="Aptos Display"/>
      <w:b/>
      <w:bCs/>
      <w:color w:val="0B172A"/>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0B172A"/>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0B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B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tion">
    <w:name w:val="Motion"/>
    <w:pPr>
      <w:spacing w:before="100" w:after="180" w:line="269" w:lineRule="auto"/>
      <w:ind w:left="288" w:right="288"/>
    </w:pPr>
    <w:rPr>
      <w:rFonts w:ascii="Aptos" w:hAnsi="Aptos"/>
      <w:b/>
      <w:color w:val="0B172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Premier League Handicap Proposals 2026 2027</dc:title>
  <dc:subject>Three handicap proposals with rationale, voting procedure and pragmatic unanimous waiver</dc:subject>
  <dc:creator>Rack &amp; Frame League Manager</dc:creator>
  <cp:keywords>snooker, handicap, Elo, Premier League, voting</cp:keywords>
  <dc:description>generated by python-docx</dc:description>
  <cp:lastModifiedBy/>
  <cp:revision>1</cp:revision>
  <dcterms:created xsi:type="dcterms:W3CDTF">2013-12-23T23:15:00Z</dcterms:created>
  <dcterms:modified xsi:type="dcterms:W3CDTF">2013-12-23T23:15:00Z</dcterms:modified>
  <cp:category/>
</cp:coreProperties>
</file>