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545E1" w14:textId="6B1974F4" w:rsidR="00E44ADD" w:rsidRPr="00F12CBA" w:rsidRDefault="00E44ADD" w:rsidP="00E44ADD">
      <w:pPr>
        <w:spacing w:after="0" w:line="480" w:lineRule="auto"/>
        <w:jc w:val="center"/>
        <w:rPr>
          <w:rFonts w:eastAsia="Segoe UI" w:cs="Segoe UI"/>
          <w:color w:val="000000" w:themeColor="text1"/>
          <w:sz w:val="32"/>
          <w:szCs w:val="32"/>
        </w:rPr>
      </w:pPr>
      <w:r w:rsidRPr="00F12CBA">
        <w:rPr>
          <w:rFonts w:eastAsia="Segoe UI" w:cs="Segoe UI"/>
          <w:color w:val="000000" w:themeColor="text1"/>
          <w:sz w:val="32"/>
          <w:szCs w:val="32"/>
        </w:rPr>
        <w:t xml:space="preserve">Assignment </w:t>
      </w:r>
      <w:r w:rsidR="003F5084">
        <w:rPr>
          <w:rFonts w:eastAsia="Segoe UI" w:cs="Segoe UI"/>
          <w:color w:val="000000" w:themeColor="text1"/>
          <w:sz w:val="32"/>
          <w:szCs w:val="32"/>
        </w:rPr>
        <w:t>2</w:t>
      </w:r>
    </w:p>
    <w:p w14:paraId="7076B203" w14:textId="77777777" w:rsidR="00E44ADD" w:rsidRDefault="00E44ADD" w:rsidP="00E44ADD">
      <w:pPr>
        <w:spacing w:after="0" w:line="480" w:lineRule="auto"/>
        <w:jc w:val="center"/>
        <w:rPr>
          <w:rFonts w:eastAsia="Segoe UI" w:cs="Segoe UI"/>
          <w:color w:val="000000" w:themeColor="text1"/>
          <w:sz w:val="32"/>
          <w:szCs w:val="32"/>
        </w:rPr>
      </w:pPr>
    </w:p>
    <w:p w14:paraId="5A3A3C7B" w14:textId="0DA78E6D" w:rsidR="00E44ADD" w:rsidRDefault="003F5084" w:rsidP="00E44ADD">
      <w:pPr>
        <w:spacing w:after="0" w:line="480" w:lineRule="auto"/>
        <w:jc w:val="center"/>
        <w:rPr>
          <w:rFonts w:eastAsia="Segoe UI" w:cs="Segoe UI"/>
          <w:color w:val="000000" w:themeColor="text1"/>
          <w:sz w:val="32"/>
          <w:szCs w:val="32"/>
        </w:rPr>
      </w:pPr>
      <w:r>
        <w:rPr>
          <w:rFonts w:eastAsia="Segoe UI" w:cs="Segoe UI"/>
          <w:color w:val="000000" w:themeColor="text1"/>
          <w:sz w:val="32"/>
          <w:szCs w:val="32"/>
        </w:rPr>
        <w:t>Martin Demel</w:t>
      </w:r>
    </w:p>
    <w:p w14:paraId="33FC8CCF" w14:textId="77777777" w:rsidR="00E44ADD" w:rsidRPr="00F12CBA" w:rsidRDefault="00E44ADD" w:rsidP="00E44ADD">
      <w:pPr>
        <w:spacing w:after="0" w:line="480" w:lineRule="auto"/>
        <w:jc w:val="center"/>
        <w:rPr>
          <w:rFonts w:eastAsia="Segoe UI" w:cs="Segoe UI"/>
          <w:color w:val="000000" w:themeColor="text1"/>
          <w:sz w:val="32"/>
          <w:szCs w:val="32"/>
        </w:rPr>
      </w:pPr>
    </w:p>
    <w:p w14:paraId="1497FECD" w14:textId="77777777" w:rsidR="00E44ADD" w:rsidRDefault="00E44ADD" w:rsidP="00E44ADD">
      <w:pPr>
        <w:spacing w:after="0" w:line="480" w:lineRule="auto"/>
        <w:jc w:val="center"/>
        <w:rPr>
          <w:rFonts w:eastAsia="Segoe UI" w:cs="Segoe UI"/>
          <w:color w:val="000000" w:themeColor="text1"/>
          <w:sz w:val="32"/>
          <w:szCs w:val="32"/>
        </w:rPr>
      </w:pPr>
      <w:r w:rsidRPr="00F12CBA">
        <w:rPr>
          <w:rFonts w:eastAsia="Segoe UI" w:cs="Segoe UI"/>
          <w:color w:val="000000" w:themeColor="text1"/>
          <w:sz w:val="32"/>
          <w:szCs w:val="32"/>
        </w:rPr>
        <w:t>Department of Science, Technology, Engineering &amp; Math, Houston Community College</w:t>
      </w:r>
    </w:p>
    <w:p w14:paraId="35E95E5E" w14:textId="77777777" w:rsidR="00E44ADD" w:rsidRPr="00F12CBA" w:rsidRDefault="00E44ADD" w:rsidP="00E44ADD">
      <w:pPr>
        <w:spacing w:after="0" w:line="480" w:lineRule="auto"/>
        <w:jc w:val="center"/>
        <w:rPr>
          <w:rFonts w:eastAsia="Segoe UI" w:cs="Segoe UI"/>
          <w:color w:val="000000" w:themeColor="text1"/>
          <w:sz w:val="32"/>
          <w:szCs w:val="32"/>
        </w:rPr>
      </w:pPr>
    </w:p>
    <w:p w14:paraId="4EE69243" w14:textId="4EF929DE"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sidRPr="00E44ADD">
        <w:rPr>
          <w:rFonts w:eastAsia="Segoe UI" w:cs="Segoe UI"/>
          <w:color w:val="000000" w:themeColor="text1"/>
          <w:sz w:val="32"/>
          <w:szCs w:val="32"/>
        </w:rPr>
        <w:t>6263-ITAI-4370-AI 5/6G Comm &amp; ORAN Net-S10-14071</w:t>
      </w:r>
    </w:p>
    <w:p w14:paraId="5D63394A" w14:textId="77777777"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p>
    <w:p w14:paraId="1EF293CA" w14:textId="77777777" w:rsidR="00E44ADD" w:rsidRPr="00F12CBA" w:rsidRDefault="00E44ADD" w:rsidP="00E44ADD">
      <w:pPr>
        <w:shd w:val="clear" w:color="auto" w:fill="FFFFFF" w:themeFill="background1"/>
        <w:spacing w:after="0" w:line="480" w:lineRule="auto"/>
        <w:jc w:val="center"/>
        <w:rPr>
          <w:rFonts w:eastAsia="Segoe UI" w:cs="Segoe UI"/>
          <w:color w:val="000000" w:themeColor="text1"/>
          <w:sz w:val="32"/>
          <w:szCs w:val="32"/>
        </w:rPr>
      </w:pPr>
    </w:p>
    <w:p w14:paraId="7A69A5B2" w14:textId="77777777"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sidRPr="00E44ADD">
        <w:rPr>
          <w:rFonts w:eastAsia="Segoe UI" w:cs="Segoe UI"/>
          <w:color w:val="000000" w:themeColor="text1"/>
          <w:sz w:val="32"/>
          <w:szCs w:val="32"/>
        </w:rPr>
        <w:t>Tawanda Chiyangwa</w:t>
      </w:r>
    </w:p>
    <w:p w14:paraId="7176FEBF" w14:textId="52126C3F" w:rsidR="00E44ADD" w:rsidRDefault="00E44ADD" w:rsidP="00E44ADD">
      <w:pPr>
        <w:shd w:val="clear" w:color="auto" w:fill="FFFFFF" w:themeFill="background1"/>
        <w:spacing w:after="0" w:line="480" w:lineRule="auto"/>
        <w:jc w:val="center"/>
        <w:rPr>
          <w:rFonts w:eastAsia="Segoe UI" w:cs="Segoe UI"/>
          <w:color w:val="000000" w:themeColor="text1"/>
          <w:sz w:val="32"/>
          <w:szCs w:val="32"/>
        </w:rPr>
      </w:pPr>
      <w:r>
        <w:rPr>
          <w:rFonts w:eastAsia="Segoe UI" w:cs="Segoe UI"/>
          <w:color w:val="000000" w:themeColor="text1"/>
          <w:sz w:val="32"/>
          <w:szCs w:val="32"/>
        </w:rPr>
        <w:t xml:space="preserve">June </w:t>
      </w:r>
      <w:r w:rsidR="003F5084">
        <w:rPr>
          <w:rFonts w:eastAsia="Segoe UI" w:cs="Segoe UI"/>
          <w:color w:val="000000" w:themeColor="text1"/>
          <w:sz w:val="32"/>
          <w:szCs w:val="32"/>
        </w:rPr>
        <w:t>15</w:t>
      </w:r>
      <w:r w:rsidRPr="00E44ADD">
        <w:rPr>
          <w:rFonts w:eastAsia="Segoe UI" w:cs="Segoe UI"/>
          <w:color w:val="000000" w:themeColor="text1"/>
          <w:sz w:val="32"/>
          <w:szCs w:val="32"/>
          <w:vertAlign w:val="superscript"/>
        </w:rPr>
        <w:t>th</w:t>
      </w:r>
      <w:r w:rsidRPr="00F12CBA">
        <w:rPr>
          <w:rFonts w:eastAsia="Segoe UI" w:cs="Segoe UI"/>
          <w:color w:val="000000" w:themeColor="text1"/>
          <w:sz w:val="32"/>
          <w:szCs w:val="32"/>
        </w:rPr>
        <w:t>, 2026.</w:t>
      </w:r>
    </w:p>
    <w:p w14:paraId="23E14259" w14:textId="77777777" w:rsidR="00E44ADD" w:rsidRDefault="00E44ADD">
      <w:pPr>
        <w:spacing w:after="160"/>
        <w:rPr>
          <w:rFonts w:eastAsia="Segoe UI" w:cs="Segoe UI"/>
          <w:color w:val="000000" w:themeColor="text1"/>
          <w:sz w:val="32"/>
          <w:szCs w:val="32"/>
        </w:rPr>
      </w:pPr>
      <w:r>
        <w:rPr>
          <w:rFonts w:eastAsia="Segoe UI" w:cs="Segoe UI"/>
          <w:color w:val="000000" w:themeColor="text1"/>
          <w:sz w:val="32"/>
          <w:szCs w:val="32"/>
        </w:rPr>
        <w:br w:type="page"/>
      </w:r>
    </w:p>
    <w:p w14:paraId="6E8A1F12" w14:textId="52B213EC" w:rsidR="00E44ADD" w:rsidRDefault="00E44ADD" w:rsidP="00E44ADD">
      <w:pPr>
        <w:pStyle w:val="Heading1"/>
        <w:rPr>
          <w:rFonts w:eastAsia="Segoe UI"/>
        </w:rPr>
      </w:pPr>
      <w:r>
        <w:rPr>
          <w:rFonts w:eastAsia="Segoe UI"/>
        </w:rPr>
        <w:lastRenderedPageBreak/>
        <w:t>Introduction</w:t>
      </w:r>
    </w:p>
    <w:p w14:paraId="35303004" w14:textId="77777777" w:rsidR="00E44ADD" w:rsidRDefault="00E44ADD" w:rsidP="00E44ADD"/>
    <w:p w14:paraId="7B0FF6C6" w14:textId="17ED5D88" w:rsidR="00E44ADD" w:rsidRDefault="003F5084" w:rsidP="00E44ADD">
      <w:r>
        <w:rPr>
          <w:kern w:val="0"/>
          <w14:ligatures w14:val="none"/>
        </w:rPr>
        <w:t>5G is more than a faster radio link. The bigger change is in the core network and in how the system is built from software rather than fixed hardware. This assignment answers five questions about 5G architecture and intelligence: how the 5G core differs from the 4G core, why network slicing matters, what Multi-access Edge Computing is and how it lowers latency, how artificial intelligence helps allocate network resources, and what the Network Repository Function does within the service-based architecture (3GPP, n.d.). The companion laboratory on free-space path loss supports these answers by showing how a signal weakens with distance and frequency.</w:t>
      </w:r>
    </w:p>
    <w:p w14:paraId="3E8BCB31" w14:textId="1D8C5208" w:rsidR="00E44ADD" w:rsidRDefault="00E44ADD" w:rsidP="00E44ADD">
      <w:pPr>
        <w:pStyle w:val="Heading1"/>
      </w:pPr>
      <w:r>
        <w:t>Body</w:t>
      </w:r>
    </w:p>
    <w:p w14:paraId="2028BB08" w14:textId="77777777" w:rsidR="003F5084" w:rsidRDefault="003F5084" w:rsidP="003F5084">
      <w:pPr>
        <w:pStyle w:val="Heading2"/>
      </w:pPr>
      <w:r>
        <w:t>Question 1 - Explain the difference between EPC (4G) and 5GC (5G).</w:t>
      </w:r>
    </w:p>
    <w:p w14:paraId="559BDAED" w14:textId="252276C1" w:rsidR="003F5084" w:rsidRDefault="003F5084" w:rsidP="003F5084">
      <w:r>
        <w:rPr>
          <w:kern w:val="0"/>
          <w14:ligatures w14:val="none"/>
        </w:rPr>
        <w:t>The Evolved Packet Core (EPC) is the core network for 4G LTE, and the 5G Core (5GC) is the core network for 5G. The clearest difference is how they are built. EPC uses a fixed set of dedicated nodes, such as the MME, the serving and packet gateways, and the HSS, connected by point-to-point interfaces and often running on specialized hardware. 5GC instead uses a Service-Based Architecture, in which each function, such as the AMF, SMF, and UPF, is a software service that offers its services to others over a shared bus using common web APIs (3GPP, n.d.). 5GC also fully separates the control plane from the user plane, so the user-plane function can sit close to the user, and it is cloud-native, so functions can scale on their own. EPC was designed mainly for mobile broadband, while 5GC was designed to also support low-latency and massive-device services.</w:t>
      </w:r>
    </w:p>
    <w:p w14:paraId="43407218" w14:textId="77777777" w:rsidR="00E44ADD" w:rsidRDefault="00E44ADD" w:rsidP="00E44ADD"/>
    <w:p w14:paraId="5C6C3B0A" w14:textId="77777777" w:rsidR="003F5084" w:rsidRDefault="003F5084" w:rsidP="003F5084">
      <w:pPr>
        <w:pStyle w:val="Heading2"/>
      </w:pPr>
      <w:r>
        <w:t>Question 2 - Why is network slicing important in 5G? Provide real-world examples.</w:t>
      </w:r>
    </w:p>
    <w:p w14:paraId="3F21CF37" w14:textId="0CD244D0" w:rsidR="003F5084" w:rsidRDefault="003F5084" w:rsidP="003F5084">
      <w:r>
        <w:rPr>
          <w:kern w:val="0"/>
          <w14:ligatures w14:val="none"/>
        </w:rPr>
        <w:t xml:space="preserve">Network slicing lets an operator run several separate virtual networks on a single shared physical network, with each slice tuned for a different type of service. It is important because 5G must serve needs that conflict with one another. Some services require very high speed, some require very low latency, and some need to connect huge numbers of small devices. A single general-purpose network cannot meet all of these at once, so </w:t>
      </w:r>
      <w:r>
        <w:rPr>
          <w:kern w:val="0"/>
          <w14:ligatures w14:val="none"/>
        </w:rPr>
        <w:lastRenderedPageBreak/>
        <w:t>each slice is given its own resources, performance target, and isolation. The standard groups these needs into three families: enhanced mobile broadband, ultra-reliable low-latency communication, and massive machine-type communication (International Telecommunication Union [ITU], 2015). Real examples include a high-bandwidth slice for video and augmented reality at a stadium, a low-latency slice for factory robots or self-driving cars, a massive-device slice for city-wide smart meters, and a separate protected slice for emergency and public-safety traffic.</w:t>
      </w:r>
    </w:p>
    <w:p w14:paraId="0F174FFE" w14:textId="77777777" w:rsidR="003F5084" w:rsidRDefault="003F5084" w:rsidP="003F5084"/>
    <w:p w14:paraId="0C64830A" w14:textId="77777777" w:rsidR="003F5084" w:rsidRDefault="003F5084" w:rsidP="003F5084">
      <w:pPr>
        <w:pStyle w:val="Heading2"/>
      </w:pPr>
      <w:r>
        <w:t>Question 3 - What is Multi-access Edge Computing (MEC), and how does it reduce latency?</w:t>
      </w:r>
    </w:p>
    <w:p w14:paraId="0703E037" w14:textId="7CDECCAF" w:rsidR="003F5084" w:rsidRDefault="003F5084" w:rsidP="003F5084">
      <w:r>
        <w:rPr>
          <w:kern w:val="0"/>
          <w14:ligatures w14:val="none"/>
        </w:rPr>
        <w:t>Multi-access Edge Computing (MEC), defined by ETSI, places cloud computing and storage at the edge of the network, close to the user, rather than only in a distant central data center (Kekki, 2018). In a mobile network, this means servers run at or near the base station or a local aggregation site. It reduces latency in two ways. First, data travels a much shorter distance because it is processed locally rather than crossing the entire network to a remote cloud and back, lowering the round-trip time. Second, traffic can break out locally, avoiding congestion deeper in the network. This matters for services that must respond within a few milliseconds, such as augmented and virtual reality, cloud gaming, video analytics, connected vehicles, and industrial automation. MEC fits 5G well because the 5G user-plane function can also be placed at the edge.</w:t>
      </w:r>
    </w:p>
    <w:p w14:paraId="3ABD5FB1" w14:textId="77777777" w:rsidR="003F5084" w:rsidRDefault="003F5084" w:rsidP="003F5084"/>
    <w:p w14:paraId="0E0CEE9B" w14:textId="77777777" w:rsidR="003F5084" w:rsidRDefault="003F5084" w:rsidP="003F5084">
      <w:pPr>
        <w:pStyle w:val="Heading2"/>
      </w:pPr>
      <w:r>
        <w:t>Question 4 - Describe the role of AI in dynamic resource allocation.</w:t>
      </w:r>
    </w:p>
    <w:p w14:paraId="212A79F7" w14:textId="149F529C" w:rsidR="003F5084" w:rsidRDefault="003F5084" w:rsidP="003F5084">
      <w:r>
        <w:rPr>
          <w:kern w:val="0"/>
          <w14:ligatures w14:val="none"/>
        </w:rPr>
        <w:t xml:space="preserve">Network traffic is never steady. It varies with the time of day, user movement, and events, so a fixed or manual plan wastes capacity and can still cause congestion. Artificial intelligence helps by learning traffic patterns and allocating resources before they are needed, rather than reacting afterward. Machine-learning models predict demand and adjust how radio resources, power, bandwidth, and slice capacity are shared across cells and users in near real time. In Open RAN, this intelligence resides in the RAN Intelligent Controller defined by the O-RAN Alliance, which hosts applications that optimize tasks such as scheduling, beam steering, traffic steering, and energy saving (O-RAN Alliance, n.d.). For example, a machine-learning application can predict a traffic spike and adjust how physical resource blocks are assigned to keep service steady </w:t>
      </w:r>
      <w:r>
        <w:rPr>
          <w:kern w:val="0"/>
          <w14:ligatures w14:val="none"/>
        </w:rPr>
        <w:lastRenderedPageBreak/>
        <w:t>(</w:t>
      </w:r>
      <w:proofErr w:type="spellStart"/>
      <w:r>
        <w:rPr>
          <w:kern w:val="0"/>
          <w14:ligatures w14:val="none"/>
        </w:rPr>
        <w:t>Qazzaz</w:t>
      </w:r>
      <w:proofErr w:type="spellEnd"/>
      <w:r>
        <w:rPr>
          <w:kern w:val="0"/>
          <w14:ligatures w14:val="none"/>
        </w:rPr>
        <w:t xml:space="preserve"> et al., 2024). The result is better use of the spectrum and more stable performance.</w:t>
      </w:r>
    </w:p>
    <w:p w14:paraId="7595C168" w14:textId="77777777" w:rsidR="003F5084" w:rsidRDefault="003F5084" w:rsidP="003F5084"/>
    <w:p w14:paraId="0D29BA54" w14:textId="77777777" w:rsidR="003F5084" w:rsidRDefault="003F5084" w:rsidP="003F5084">
      <w:pPr>
        <w:pStyle w:val="Heading2"/>
      </w:pPr>
      <w:r>
        <w:t>Question 5 - In SBA, what is the role of the Network Repository Function (NRF)?</w:t>
      </w:r>
    </w:p>
    <w:p w14:paraId="14DDF29F" w14:textId="3915B589" w:rsidR="003F5084" w:rsidRDefault="003F5084" w:rsidP="003F5084">
      <w:r>
        <w:rPr>
          <w:kern w:val="0"/>
          <w14:ligatures w14:val="none"/>
        </w:rPr>
        <w:t>In the Service-Based Architecture, the 5G core consists of independent software functions that must be able to find and use one another. The Network Repository Function (NRF) makes this possible. It serves as the directory, or registry, of the 5G core. When a network function starts, it registers its profile with the NRF, including its type, address, and the services and slices it supports (3GPP, n.d.). When one function needs another, for example, when an AMF needs a suitable SMF, it asks the NRF to discover available instances and select one. The NRF therefore handles service registration, discovery, and authorization, and it tracks which functions are currently available. It operates only in the control plane and never touches user data. Without the NRF, the modular design of the 5G core could not scale or reconfigure itself at run time.</w:t>
      </w:r>
    </w:p>
    <w:p w14:paraId="21B189E4" w14:textId="5DAC92B2" w:rsidR="003F5084" w:rsidRDefault="003F5084">
      <w:pPr>
        <w:spacing w:after="160"/>
      </w:pPr>
      <w:r>
        <w:br w:type="page"/>
      </w:r>
    </w:p>
    <w:p w14:paraId="3303B849" w14:textId="77777777" w:rsidR="003F5084" w:rsidRDefault="003F5084" w:rsidP="003F5084">
      <w:pPr>
        <w:pStyle w:val="Heading1"/>
      </w:pPr>
      <w:r>
        <w:lastRenderedPageBreak/>
        <w:t>Conclusion</w:t>
      </w:r>
    </w:p>
    <w:p w14:paraId="30C194CC" w14:textId="1EEE7573" w:rsidR="003F5084" w:rsidRDefault="003F5084" w:rsidP="003F5084">
      <w:pPr>
        <w:spacing w:after="160"/>
      </w:pPr>
      <w:r>
        <w:rPr>
          <w:kern w:val="0"/>
          <w14:ligatures w14:val="none"/>
        </w:rPr>
        <w:t>The main theme across these questions is that 5G shifted the network from fixed hardware to flexible software. The 5G core uses a service-based architecture, which makes network slicing, edge computing, and AI-based control practical rather than difficult. Slicing lets one physical network serve very different services at the same time, edge computing brings processing close to the user to reduce delay, and AI keeps resources matched to changing demand. The Network Repository Function ties the software functions together so they can find each other. Together, these features explain why 5G is built the way it is.</w:t>
      </w:r>
    </w:p>
    <w:p w14:paraId="171F586C" w14:textId="77777777" w:rsidR="00E44ADD" w:rsidRDefault="00E44ADD">
      <w:pPr>
        <w:spacing w:after="160"/>
      </w:pPr>
      <w:r>
        <w:br w:type="page"/>
      </w:r>
    </w:p>
    <w:p w14:paraId="4ED114F4" w14:textId="77777777" w:rsidR="00E44ADD" w:rsidRDefault="00E44ADD" w:rsidP="00E44ADD">
      <w:pPr>
        <w:pStyle w:val="Heading1"/>
      </w:pPr>
      <w:r>
        <w:lastRenderedPageBreak/>
        <w:t>References</w:t>
      </w:r>
    </w:p>
    <w:p w14:paraId="3123055B" w14:textId="77777777" w:rsidR="00E44ADD" w:rsidRDefault="00E44ADD" w:rsidP="00E44ADD">
      <w:pPr>
        <w:ind w:left="720" w:firstLine="720"/>
      </w:pPr>
    </w:p>
    <w:p w14:paraId="51F2504A" w14:textId="77777777" w:rsidR="003F5084" w:rsidRDefault="003F5084" w:rsidP="003F5084">
      <w:pPr>
        <w:ind w:left="720" w:firstLine="720"/>
      </w:pPr>
      <w:r>
        <w:t xml:space="preserve">3GPP. (n.d.). 5G system overview. </w:t>
      </w:r>
      <w:hyperlink r:id="rId4">
        <w:r>
          <w:rPr>
            <w:rStyle w:val="Hyperlink"/>
          </w:rPr>
          <w:t>https://www.3gpp.org/technologies/5g-system-overview</w:t>
        </w:r>
      </w:hyperlink>
      <w:r>
        <w:t xml:space="preserve"> </w:t>
      </w:r>
    </w:p>
    <w:p w14:paraId="57FEF927" w14:textId="77777777" w:rsidR="003F5084" w:rsidRDefault="003F5084" w:rsidP="003F5084"/>
    <w:p w14:paraId="6BA937F0" w14:textId="77777777" w:rsidR="003F5084" w:rsidRDefault="003F5084" w:rsidP="003F5084">
      <w:pPr>
        <w:ind w:left="720" w:firstLine="720"/>
      </w:pPr>
      <w:r>
        <w:t xml:space="preserve">International Telecommunication Union. (2015). Recommendation ITU-R M.2083-0: IMT vision – Framework and overall objectives of the future development of IMT for 2020 and beyond. </w:t>
      </w:r>
      <w:hyperlink r:id="rId5">
        <w:r>
          <w:rPr>
            <w:rStyle w:val="Hyperlink"/>
          </w:rPr>
          <w:t>https://www.itu.int/rec/R-REC-M.2083</w:t>
        </w:r>
      </w:hyperlink>
      <w:r>
        <w:t xml:space="preserve"> </w:t>
      </w:r>
    </w:p>
    <w:p w14:paraId="55D3EC2B" w14:textId="77777777" w:rsidR="003F5084" w:rsidRDefault="003F5084" w:rsidP="003F5084"/>
    <w:p w14:paraId="3E1822BC" w14:textId="77777777" w:rsidR="003F5084" w:rsidRDefault="003F5084" w:rsidP="003F5084">
      <w:pPr>
        <w:ind w:left="720" w:firstLine="720"/>
      </w:pPr>
      <w:r>
        <w:t xml:space="preserve">Kekki, S. (Ed.). (2018). MEC in 5G networks (ETSI White Paper No. 28). European Telecommunications Standards Institute. </w:t>
      </w:r>
      <w:hyperlink r:id="rId6">
        <w:r>
          <w:rPr>
            <w:rStyle w:val="Hyperlink"/>
          </w:rPr>
          <w:t>https://www.etsi.org/images/files/ETSIWhitePapers/etsi_wp28_mec_in_5G_FINAL.pdf</w:t>
        </w:r>
      </w:hyperlink>
      <w:r>
        <w:t xml:space="preserve"> </w:t>
      </w:r>
    </w:p>
    <w:p w14:paraId="3EF95C77" w14:textId="77777777" w:rsidR="003F5084" w:rsidRDefault="003F5084" w:rsidP="003F5084"/>
    <w:p w14:paraId="7F5D16B8" w14:textId="77777777" w:rsidR="003F5084" w:rsidRDefault="003F5084" w:rsidP="003F5084">
      <w:pPr>
        <w:ind w:left="720" w:firstLine="720"/>
      </w:pPr>
      <w:r>
        <w:t xml:space="preserve">O-RAN Alliance. (n.d.). O-RAN Alliance: Specifications for the open, intelligent, virtualized and fully interoperable RAN. </w:t>
      </w:r>
      <w:hyperlink r:id="rId7">
        <w:r>
          <w:rPr>
            <w:rStyle w:val="Hyperlink"/>
          </w:rPr>
          <w:t>https://www.o-ran.org</w:t>
        </w:r>
      </w:hyperlink>
      <w:r>
        <w:t xml:space="preserve"> </w:t>
      </w:r>
    </w:p>
    <w:p w14:paraId="313D9AB7" w14:textId="77777777" w:rsidR="003F5084" w:rsidRDefault="003F5084" w:rsidP="003F5084"/>
    <w:p w14:paraId="23651A5A" w14:textId="77777777" w:rsidR="003F5084" w:rsidRDefault="003F5084" w:rsidP="003F5084">
      <w:pPr>
        <w:ind w:left="720" w:firstLine="720"/>
      </w:pPr>
      <w:proofErr w:type="spellStart"/>
      <w:r>
        <w:t>Qazzaz</w:t>
      </w:r>
      <w:proofErr w:type="spellEnd"/>
      <w:r>
        <w:t xml:space="preserve">, M. M. H., </w:t>
      </w:r>
      <w:proofErr w:type="spellStart"/>
      <w:r>
        <w:t>Kułacz</w:t>
      </w:r>
      <w:proofErr w:type="spellEnd"/>
      <w:r>
        <w:t xml:space="preserve">, Ł., </w:t>
      </w:r>
      <w:proofErr w:type="spellStart"/>
      <w:r>
        <w:t>Kliks</w:t>
      </w:r>
      <w:proofErr w:type="spellEnd"/>
      <w:r>
        <w:t xml:space="preserve">, A., Zaidi, S. A., Dryjanski, M., &amp; McLernon, D. (2024). Machine learning-based </w:t>
      </w:r>
      <w:proofErr w:type="spellStart"/>
      <w:r>
        <w:t>xApp</w:t>
      </w:r>
      <w:proofErr w:type="spellEnd"/>
      <w:r>
        <w:t xml:space="preserve"> for dynamic resource allocation in O-RAN networks. arXiv. </w:t>
      </w:r>
      <w:hyperlink r:id="rId8">
        <w:r>
          <w:rPr>
            <w:rStyle w:val="Hyperlink"/>
          </w:rPr>
          <w:t>https://arxiv.org/abs/2401.07643</w:t>
        </w:r>
      </w:hyperlink>
      <w:r>
        <w:t xml:space="preserve"> </w:t>
      </w:r>
    </w:p>
    <w:p w14:paraId="78B0A730" w14:textId="77777777" w:rsidR="003F5084" w:rsidRDefault="003F5084" w:rsidP="003F5084"/>
    <w:p w14:paraId="5C1B0A40" w14:textId="77777777" w:rsidR="00E44ADD" w:rsidRDefault="00E44ADD" w:rsidP="00E44ADD"/>
    <w:p w14:paraId="06381869" w14:textId="77777777" w:rsidR="00E44ADD" w:rsidRPr="00E44ADD" w:rsidRDefault="00E44ADD" w:rsidP="00E44ADD"/>
    <w:p w14:paraId="1BAF9008" w14:textId="77777777" w:rsidR="00E44ADD" w:rsidRDefault="00E44ADD"/>
    <w:sectPr w:rsidR="00E44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DD"/>
    <w:rsid w:val="003F5084"/>
    <w:rsid w:val="00625D68"/>
    <w:rsid w:val="00B011F0"/>
    <w:rsid w:val="00E44ADD"/>
    <w:rsid w:val="00F31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34288C"/>
  <w15:chartTrackingRefBased/>
  <w15:docId w15:val="{F03711CB-629D-1B4B-81F1-947F8B041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DD"/>
    <w:pPr>
      <w:spacing w:after="40"/>
    </w:pPr>
    <w:rPr>
      <w:rFonts w:ascii="Segoe UI" w:hAnsi="Segoe UI"/>
    </w:rPr>
  </w:style>
  <w:style w:type="paragraph" w:styleId="Heading1">
    <w:name w:val="heading 1"/>
    <w:basedOn w:val="Normal"/>
    <w:next w:val="Normal"/>
    <w:link w:val="Heading1Char"/>
    <w:uiPriority w:val="9"/>
    <w:qFormat/>
    <w:rsid w:val="00E44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A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ADD"/>
    <w:pPr>
      <w:keepNext/>
      <w:keepLines/>
      <w:spacing w:before="8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ADD"/>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A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A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A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A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ADD"/>
    <w:rPr>
      <w:rFonts w:eastAsiaTheme="majorEastAsia" w:cstheme="majorBidi"/>
      <w:color w:val="272727" w:themeColor="text1" w:themeTint="D8"/>
    </w:rPr>
  </w:style>
  <w:style w:type="paragraph" w:styleId="Title">
    <w:name w:val="Title"/>
    <w:basedOn w:val="Normal"/>
    <w:next w:val="Normal"/>
    <w:link w:val="TitleChar"/>
    <w:uiPriority w:val="10"/>
    <w:qFormat/>
    <w:rsid w:val="00E44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A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ADD"/>
    <w:pPr>
      <w:spacing w:before="160" w:after="160"/>
      <w:jc w:val="center"/>
    </w:pPr>
    <w:rPr>
      <w:rFonts w:asciiTheme="minorHAnsi" w:hAnsiTheme="minorHAnsi"/>
      <w:i/>
      <w:iCs/>
      <w:color w:val="404040" w:themeColor="text1" w:themeTint="BF"/>
    </w:rPr>
  </w:style>
  <w:style w:type="character" w:customStyle="1" w:styleId="QuoteChar">
    <w:name w:val="Quote Char"/>
    <w:basedOn w:val="DefaultParagraphFont"/>
    <w:link w:val="Quote"/>
    <w:uiPriority w:val="29"/>
    <w:rsid w:val="00E44ADD"/>
    <w:rPr>
      <w:i/>
      <w:iCs/>
      <w:color w:val="404040" w:themeColor="text1" w:themeTint="BF"/>
    </w:rPr>
  </w:style>
  <w:style w:type="paragraph" w:styleId="ListParagraph">
    <w:name w:val="List Paragraph"/>
    <w:basedOn w:val="Normal"/>
    <w:uiPriority w:val="34"/>
    <w:qFormat/>
    <w:rsid w:val="00E44ADD"/>
    <w:pPr>
      <w:spacing w:after="160"/>
      <w:ind w:left="720"/>
      <w:contextualSpacing/>
    </w:pPr>
    <w:rPr>
      <w:rFonts w:asciiTheme="minorHAnsi" w:hAnsiTheme="minorHAnsi"/>
    </w:rPr>
  </w:style>
  <w:style w:type="character" w:styleId="IntenseEmphasis">
    <w:name w:val="Intense Emphasis"/>
    <w:basedOn w:val="DefaultParagraphFont"/>
    <w:uiPriority w:val="21"/>
    <w:qFormat/>
    <w:rsid w:val="00E44ADD"/>
    <w:rPr>
      <w:i/>
      <w:iCs/>
      <w:color w:val="0F4761" w:themeColor="accent1" w:themeShade="BF"/>
    </w:rPr>
  </w:style>
  <w:style w:type="paragraph" w:styleId="IntenseQuote">
    <w:name w:val="Intense Quote"/>
    <w:basedOn w:val="Normal"/>
    <w:next w:val="Normal"/>
    <w:link w:val="IntenseQuoteChar"/>
    <w:uiPriority w:val="30"/>
    <w:qFormat/>
    <w:rsid w:val="00E44A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rPr>
  </w:style>
  <w:style w:type="character" w:customStyle="1" w:styleId="IntenseQuoteChar">
    <w:name w:val="Intense Quote Char"/>
    <w:basedOn w:val="DefaultParagraphFont"/>
    <w:link w:val="IntenseQuote"/>
    <w:uiPriority w:val="30"/>
    <w:rsid w:val="00E44ADD"/>
    <w:rPr>
      <w:i/>
      <w:iCs/>
      <w:color w:val="0F4761" w:themeColor="accent1" w:themeShade="BF"/>
    </w:rPr>
  </w:style>
  <w:style w:type="character" w:styleId="IntenseReference">
    <w:name w:val="Intense Reference"/>
    <w:basedOn w:val="DefaultParagraphFont"/>
    <w:uiPriority w:val="32"/>
    <w:qFormat/>
    <w:rsid w:val="00E44ADD"/>
    <w:rPr>
      <w:b/>
      <w:bCs/>
      <w:smallCaps/>
      <w:color w:val="0F4761" w:themeColor="accent1" w:themeShade="BF"/>
      <w:spacing w:val="5"/>
    </w:rPr>
  </w:style>
  <w:style w:type="character" w:styleId="Hyperlink">
    <w:name w:val="Hyperlink"/>
    <w:basedOn w:val="DefaultParagraphFont"/>
    <w:uiPriority w:val="99"/>
    <w:unhideWhenUsed/>
    <w:rsid w:val="00E44ADD"/>
    <w:rPr>
      <w:color w:val="467886" w:themeColor="hyperlink"/>
      <w:u w:val="single"/>
    </w:rPr>
  </w:style>
  <w:style w:type="character" w:styleId="UnresolvedMention">
    <w:name w:val="Unresolved Mention"/>
    <w:basedOn w:val="DefaultParagraphFont"/>
    <w:uiPriority w:val="99"/>
    <w:semiHidden/>
    <w:unhideWhenUsed/>
    <w:rsid w:val="00E44ADD"/>
    <w:rPr>
      <w:color w:val="605E5C"/>
      <w:shd w:val="clear" w:color="auto" w:fill="E1DFDD"/>
    </w:rPr>
  </w:style>
  <w:style w:type="character" w:styleId="FollowedHyperlink">
    <w:name w:val="FollowedHyperlink"/>
    <w:basedOn w:val="DefaultParagraphFont"/>
    <w:uiPriority w:val="99"/>
    <w:semiHidden/>
    <w:unhideWhenUsed/>
    <w:rsid w:val="00E44AD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1.07643" TargetMode="External"/><Relationship Id="rId3" Type="http://schemas.openxmlformats.org/officeDocument/2006/relationships/webSettings" Target="webSettings.xml"/><Relationship Id="rId7" Type="http://schemas.openxmlformats.org/officeDocument/2006/relationships/hyperlink" Target="https://www.o-ran.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tsi.org/images/files/ETSIWhitePapers/etsi_wp28_mec_in_5G_FINAL.pdf" TargetMode="External"/><Relationship Id="rId5" Type="http://schemas.openxmlformats.org/officeDocument/2006/relationships/hyperlink" Target="https://www.itu.int/rec/R-REC-M.2083" TargetMode="External"/><Relationship Id="rId10" Type="http://schemas.openxmlformats.org/officeDocument/2006/relationships/theme" Target="theme/theme1.xml"/><Relationship Id="rId4" Type="http://schemas.openxmlformats.org/officeDocument/2006/relationships/hyperlink" Target="https://www.3gpp.org/technologies/5g-system-overview"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1137</Words>
  <Characters>6487</Characters>
  <Application>Microsoft Office Word</Application>
  <DocSecurity>0</DocSecurity>
  <Lines>54</Lines>
  <Paragraphs>15</Paragraphs>
  <ScaleCrop>false</ScaleCrop>
  <Company/>
  <LinksUpToDate>false</LinksUpToDate>
  <CharactersWithSpaces>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martin.demel-W216901110</dc:creator>
  <cp:keywords/>
  <dc:description/>
  <cp:lastModifiedBy>martin.demel-W216901110</cp:lastModifiedBy>
  <cp:revision>3</cp:revision>
  <dcterms:created xsi:type="dcterms:W3CDTF">2026-06-09T01:05:00Z</dcterms:created>
  <dcterms:modified xsi:type="dcterms:W3CDTF">2026-06-16T01:00:00Z</dcterms:modified>
</cp:coreProperties>
</file>