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60B4" w14:textId="77777777" w:rsidR="00376E58" w:rsidRDefault="00000000">
      <w:pPr>
        <w:spacing w:after="0" w:line="480" w:lineRule="auto"/>
        <w:jc w:val="center"/>
        <w:rPr>
          <w:sz w:val="32"/>
          <w:szCs w:val="32"/>
        </w:rPr>
      </w:pPr>
      <w:r>
        <w:rPr>
          <w:rFonts w:eastAsia="Segoe UI" w:cs="Segoe UI"/>
          <w:color w:val="000000"/>
          <w:sz w:val="32"/>
        </w:rPr>
        <w:t>Assignment 3 – AI/ML and Open RAN Questions</w:t>
      </w:r>
    </w:p>
    <w:p w14:paraId="4D5AAE6F" w14:textId="77777777" w:rsidR="00376E58" w:rsidRDefault="00376E58">
      <w:pPr>
        <w:spacing w:after="0" w:line="480" w:lineRule="auto"/>
        <w:jc w:val="center"/>
        <w:rPr>
          <w:sz w:val="32"/>
          <w:szCs w:val="32"/>
        </w:rPr>
      </w:pPr>
    </w:p>
    <w:p w14:paraId="2AE2B862" w14:textId="77777777" w:rsidR="00376E58" w:rsidRDefault="00376E58">
      <w:pPr>
        <w:spacing w:after="0" w:line="480" w:lineRule="auto"/>
        <w:jc w:val="center"/>
        <w:rPr>
          <w:sz w:val="32"/>
          <w:szCs w:val="32"/>
        </w:rPr>
      </w:pPr>
    </w:p>
    <w:p w14:paraId="56C85C32" w14:textId="77777777" w:rsidR="00376E58" w:rsidRDefault="00376E58">
      <w:pPr>
        <w:spacing w:after="0" w:line="480" w:lineRule="auto"/>
        <w:jc w:val="center"/>
        <w:rPr>
          <w:sz w:val="32"/>
          <w:szCs w:val="32"/>
        </w:rPr>
      </w:pPr>
    </w:p>
    <w:p w14:paraId="5F85C6C6" w14:textId="77777777" w:rsidR="00376E58" w:rsidRDefault="00000000">
      <w:pPr>
        <w:spacing w:after="0" w:line="480" w:lineRule="auto"/>
        <w:jc w:val="center"/>
        <w:rPr>
          <w:sz w:val="32"/>
          <w:szCs w:val="32"/>
        </w:rPr>
      </w:pPr>
      <w:r>
        <w:rPr>
          <w:rFonts w:eastAsia="Segoe UI" w:cs="Segoe UI"/>
          <w:color w:val="000000"/>
          <w:sz w:val="32"/>
        </w:rPr>
        <w:t>Department of Science, Technology, Engineering &amp; Math, Houston Community College</w:t>
      </w:r>
    </w:p>
    <w:p w14:paraId="2A278740" w14:textId="77777777" w:rsidR="00376E58" w:rsidRDefault="00376E58">
      <w:pPr>
        <w:spacing w:after="0" w:line="480" w:lineRule="auto"/>
        <w:jc w:val="center"/>
        <w:rPr>
          <w:sz w:val="32"/>
          <w:szCs w:val="32"/>
        </w:rPr>
      </w:pPr>
    </w:p>
    <w:p w14:paraId="497C7C9D" w14:textId="77777777" w:rsidR="00376E58" w:rsidRDefault="00000000">
      <w:pPr>
        <w:spacing w:after="0" w:line="480" w:lineRule="auto"/>
        <w:jc w:val="center"/>
        <w:rPr>
          <w:sz w:val="32"/>
          <w:szCs w:val="32"/>
        </w:rPr>
      </w:pPr>
      <w:r>
        <w:rPr>
          <w:rFonts w:eastAsia="Segoe UI" w:cs="Segoe UI"/>
          <w:color w:val="000000"/>
          <w:sz w:val="32"/>
        </w:rPr>
        <w:t>6263-ITAI-4370-AI 5/6G Comm &amp; ORAN Net-S10-14071</w:t>
      </w:r>
    </w:p>
    <w:p w14:paraId="47C56F1F" w14:textId="77777777" w:rsidR="00376E58" w:rsidRDefault="00376E58">
      <w:pPr>
        <w:spacing w:after="0" w:line="480" w:lineRule="auto"/>
        <w:jc w:val="center"/>
        <w:rPr>
          <w:sz w:val="32"/>
          <w:szCs w:val="32"/>
        </w:rPr>
      </w:pPr>
    </w:p>
    <w:p w14:paraId="7C44DB2A" w14:textId="77777777" w:rsidR="00376E58" w:rsidRDefault="00376E58">
      <w:pPr>
        <w:spacing w:after="0" w:line="480" w:lineRule="auto"/>
        <w:jc w:val="center"/>
        <w:rPr>
          <w:sz w:val="32"/>
          <w:szCs w:val="32"/>
        </w:rPr>
      </w:pPr>
    </w:p>
    <w:p w14:paraId="7898D177" w14:textId="77777777" w:rsidR="00376E58" w:rsidRDefault="00000000">
      <w:pPr>
        <w:spacing w:after="0" w:line="480" w:lineRule="auto"/>
        <w:jc w:val="center"/>
        <w:rPr>
          <w:sz w:val="32"/>
          <w:szCs w:val="32"/>
        </w:rPr>
      </w:pPr>
      <w:r>
        <w:rPr>
          <w:rFonts w:eastAsia="Segoe UI" w:cs="Segoe UI"/>
          <w:color w:val="000000"/>
          <w:sz w:val="32"/>
        </w:rPr>
        <w:t>Tawanda Chiyangwa</w:t>
      </w:r>
    </w:p>
    <w:p w14:paraId="19A8C223" w14:textId="77777777" w:rsidR="00376E58" w:rsidRDefault="00000000">
      <w:pPr>
        <w:spacing w:after="0" w:line="480" w:lineRule="auto"/>
        <w:jc w:val="center"/>
        <w:rPr>
          <w:sz w:val="32"/>
          <w:szCs w:val="32"/>
        </w:rPr>
      </w:pPr>
      <w:r>
        <w:rPr>
          <w:rFonts w:eastAsia="Segoe UI" w:cs="Segoe UI"/>
          <w:color w:val="000000"/>
          <w:sz w:val="32"/>
        </w:rPr>
        <w:t>June 22</w:t>
      </w:r>
      <w:r>
        <w:rPr>
          <w:rFonts w:eastAsia="Segoe UI" w:cs="Segoe UI"/>
          <w:color w:val="000000"/>
          <w:sz w:val="32"/>
          <w:vertAlign w:val="superscript"/>
        </w:rPr>
        <w:t>nd</w:t>
      </w:r>
      <w:r>
        <w:rPr>
          <w:rFonts w:eastAsia="Segoe UI" w:cs="Segoe UI"/>
          <w:color w:val="000000"/>
          <w:sz w:val="32"/>
        </w:rPr>
        <w:t>, 2026.</w:t>
      </w:r>
    </w:p>
    <w:p w14:paraId="7A2C6E96" w14:textId="5353A139" w:rsidR="00B5403F" w:rsidRDefault="00B5403F">
      <w:pPr>
        <w:spacing w:after="160"/>
        <w:rPr>
          <w:sz w:val="32"/>
          <w:szCs w:val="32"/>
        </w:rPr>
      </w:pPr>
      <w:r>
        <w:rPr>
          <w:sz w:val="32"/>
          <w:szCs w:val="32"/>
        </w:rPr>
        <w:br w:type="page"/>
      </w:r>
    </w:p>
    <w:p w14:paraId="159B6156" w14:textId="77777777" w:rsidR="00376E58" w:rsidRDefault="00000000">
      <w:pPr>
        <w:pStyle w:val="Heading1"/>
      </w:pPr>
      <w:r>
        <w:lastRenderedPageBreak/>
        <w:t>Introduction</w:t>
      </w:r>
    </w:p>
    <w:p w14:paraId="04F1E8DA" w14:textId="77777777" w:rsidR="00376E58" w:rsidRDefault="00376E58"/>
    <w:p w14:paraId="4F7EA70C" w14:textId="5A8C1F24" w:rsidR="00376E58" w:rsidRDefault="00000000">
      <w:r>
        <w:t xml:space="preserve">5G and Open RAN networks are too large and too dynamic to </w:t>
      </w:r>
      <w:r w:rsidR="00B5403F">
        <w:t>manage</w:t>
      </w:r>
      <w:r>
        <w:t xml:space="preserve"> by hand, so they increasingly </w:t>
      </w:r>
      <w:r w:rsidR="00B5403F">
        <w:t>rely</w:t>
      </w:r>
      <w:r>
        <w:t xml:space="preserve"> on software intelligence and automation. This assignment answers five questions about how that intelligence </w:t>
      </w:r>
      <w:r w:rsidR="00B5403F">
        <w:t>operate</w:t>
      </w:r>
      <w:r>
        <w:t>s in the radio access network (RAN): how AI and machine learning improve radio resource management and reliability, how Self-Organizing Networks optimize and heal themselves, what normalizing user demand achieves in a resource allocation simulation, how Open RAN differs from traditional RAN, and how the two RAN Intelligent Controllers split their work. The companion laboratory builds a machine-learning model that predicts network traffic, which is the kind of prediction these systems rely on.</w:t>
      </w:r>
    </w:p>
    <w:p w14:paraId="48DB4582" w14:textId="77777777" w:rsidR="00376E58" w:rsidRDefault="00376E58"/>
    <w:p w14:paraId="1F067760" w14:textId="77777777" w:rsidR="00376E58" w:rsidRDefault="00000000">
      <w:pPr>
        <w:pStyle w:val="Heading1"/>
      </w:pPr>
      <w:r>
        <w:t>Body</w:t>
      </w:r>
    </w:p>
    <w:p w14:paraId="561E6DF9" w14:textId="77777777" w:rsidR="00376E58" w:rsidRDefault="00000000">
      <w:pPr>
        <w:pStyle w:val="Heading2"/>
      </w:pPr>
      <w:r>
        <w:t>Question 1 - AI/ML Applications in RAN: Give one example of how AI/ML can improve radio resource management and one example of how it can enhance network reliability in Open RAN.</w:t>
      </w:r>
    </w:p>
    <w:p w14:paraId="686DC9F6" w14:textId="194F828E" w:rsidR="00376E58" w:rsidRDefault="00B5403F">
      <w:r>
        <w:rPr>
          <w:kern w:val="0"/>
          <w14:ligatures w14:val="none"/>
        </w:rPr>
        <w:t xml:space="preserve">AI and machine learning help the RAN in two clear ways. For radio resource management, a machine-learning model can predict how much traffic each cell will carry and then steer users and assign radio resources, such as physical resource blocks, before congestion builds up. For example, an </w:t>
      </w:r>
      <w:proofErr w:type="spellStart"/>
      <w:r>
        <w:rPr>
          <w:kern w:val="0"/>
          <w14:ligatures w14:val="none"/>
        </w:rPr>
        <w:t>xApp</w:t>
      </w:r>
      <w:proofErr w:type="spellEnd"/>
      <w:r>
        <w:rPr>
          <w:kern w:val="0"/>
          <w14:ligatures w14:val="none"/>
        </w:rPr>
        <w:t xml:space="preserve"> running on the Near-RT RIC can predict demand and adjust resource scheduling to keep service steady, using the spectrum more efficiently than a fixed plan (</w:t>
      </w:r>
      <w:proofErr w:type="spellStart"/>
      <w:r>
        <w:rPr>
          <w:kern w:val="0"/>
          <w14:ligatures w14:val="none"/>
        </w:rPr>
        <w:t>Qazzaz</w:t>
      </w:r>
      <w:proofErr w:type="spellEnd"/>
      <w:r>
        <w:rPr>
          <w:kern w:val="0"/>
          <w14:ligatures w14:val="none"/>
        </w:rPr>
        <w:t xml:space="preserve"> et al., 2024). For network reliability, machine learning can monitor the network's performance counters and detect anomalies, meaning unusual patterns that often appear before a fault. When the model flags a problem early, the network can act before users are affected, for example by rerouting traffic or triggering self-healing (O-RAN Alliance, n.d.). The first example keeps the network efficient, and the second keeps it dependable. The traffic-prediction model in the companion lab is an example of the first kind.</w:t>
      </w:r>
    </w:p>
    <w:p w14:paraId="56E9E0C5" w14:textId="77777777" w:rsidR="00376E58" w:rsidRDefault="00376E58"/>
    <w:p w14:paraId="6560CFD0" w14:textId="77777777" w:rsidR="00376E58" w:rsidRDefault="00000000">
      <w:pPr>
        <w:pStyle w:val="Heading2"/>
      </w:pPr>
      <w:r>
        <w:lastRenderedPageBreak/>
        <w:t>Question 2 - SON and Predictive Maintenance: Describe how self-optimization and self-healing work in Self-Organizing Networks (SON). How does predictive maintenance improve Quality of Service (QoS)?</w:t>
      </w:r>
    </w:p>
    <w:p w14:paraId="4E114E21" w14:textId="4E8EEB4D" w:rsidR="00376E58" w:rsidRDefault="00B5403F">
      <w:r>
        <w:rPr>
          <w:kern w:val="0"/>
          <w14:ligatures w14:val="none"/>
        </w:rPr>
        <w:t>Self-Organizing Networks (SON) are an automation technology, standardized by 3GPP, that enables a mobile network to configure, optimize, and heal itself with minimal manual intervention (3GPP, n.d.). Self-optimization means the network continuously monitors itself and adjusts parameters such as antenna tilt, transmit power, handover settings, and load balancing to maintain coverage and capacity as conditions change. Self-healing means the network detects failures, such as a cell going down, and automatically compensates, for example by having neighboring cells increase power or adjust tilt to cover the gap until the fault is repaired. Predictive maintenance adds a proactive step: instead of waiting for equipment to fail, it uses historical data and machine learning to predict faults before they occur, so repairs can be scheduled in advance. This reduces unplanned downtime and outages, keeping Quality of Service steady, with fewer dropped connections and more stable speed and latency for users (Mohamed Jabarullah, 2022).</w:t>
      </w:r>
    </w:p>
    <w:p w14:paraId="08EF3397" w14:textId="77777777" w:rsidR="00376E58" w:rsidRDefault="00376E58"/>
    <w:p w14:paraId="5B9AD509" w14:textId="77777777" w:rsidR="00376E58" w:rsidRDefault="00000000">
      <w:pPr>
        <w:pStyle w:val="Heading2"/>
      </w:pPr>
      <w:r>
        <w:t>Question 3 - Hands-On Lab Application: In the Python-based resource allocation simulation lab, what does normalizing user demand achieve? How does this relate to real-world resource scheduling in Open RAN?</w:t>
      </w:r>
    </w:p>
    <w:p w14:paraId="5DEBA86A" w14:textId="6E2788DF" w:rsidR="00376E58" w:rsidRDefault="00B5403F">
      <w:r>
        <w:rPr>
          <w:kern w:val="0"/>
          <w14:ligatures w14:val="none"/>
        </w:rPr>
        <w:t>Normalizing user demand means rescaling each user's demand onto a common range, for example, so the demands sum to one or all fall between zero and one. This achieves two things. First, it makes users comparable, so a user with a large raw number does not dominate the allocation just because of its units or scale. Second, it turns raw demands into proportional shares, which lets a fixed pool of resources be split fairly according to how much each user actually needs and keeps the algorithm numerically stable. This is essentially what a scheduler does in real Open RAN. A base station has a limited number of physical resource blocks in each time interval, and it shares them among users and network slices in proportion to their demand and priority (</w:t>
      </w:r>
      <w:proofErr w:type="spellStart"/>
      <w:r>
        <w:rPr>
          <w:kern w:val="0"/>
          <w14:ligatures w14:val="none"/>
        </w:rPr>
        <w:t>Qazzaz</w:t>
      </w:r>
      <w:proofErr w:type="spellEnd"/>
      <w:r>
        <w:rPr>
          <w:kern w:val="0"/>
          <w14:ligatures w14:val="none"/>
        </w:rPr>
        <w:t xml:space="preserve"> et al., 2024). Predicting demand, as in the companion lab, and then normalizing it is the first step toward this kind of proportional, demand-aware scheduling.</w:t>
      </w:r>
    </w:p>
    <w:p w14:paraId="34A8C4CC" w14:textId="77777777" w:rsidR="00376E58" w:rsidRDefault="00376E58"/>
    <w:p w14:paraId="49929B3A" w14:textId="77777777" w:rsidR="00376E58" w:rsidRDefault="00000000">
      <w:pPr>
        <w:pStyle w:val="Heading2"/>
      </w:pPr>
      <w:r>
        <w:lastRenderedPageBreak/>
        <w:t>Question 4 - Traditional RAN vs. Open RAN: Explain two key differences between traditional RAN and Open RAN architectures. How does Open RAN promote vendor interoperability?</w:t>
      </w:r>
    </w:p>
    <w:p w14:paraId="1859E719" w14:textId="75D9A8C0" w:rsidR="00376E58" w:rsidRDefault="00000000">
      <w:r>
        <w:t>The first key difference is integration. In traditional RAN</w:t>
      </w:r>
      <w:r w:rsidR="00B5403F">
        <w:t>,</w:t>
      </w:r>
      <w:r>
        <w:t xml:space="preserve"> the base station is a closed, tightly integrated unit whose hardware and software come from a single vendor. Open RAN instead disaggregates the base station into separate parts, the Radio Unit, the Distributed Unit, and the Central Unit, which can come from different suppliers. The second key difference is the interfaces between those parts. Traditional RAN uses proprietary interfaces, while Open RAN uses open, standardized interfaces defined by the O-RAN Alliance and runs the software on general-purpose, virtualized hardware (O-RAN Alliance, n.d.). Open RAN promotes vendor interoperability through exactly those open interfaces: because the connection points are public and standardized, an operator can mix and match equipment and software from several vendors and trust that they will work together. This breaks the single-vendor lock-in of traditional RAN and lets smaller suppliers compete, which encourages innovation and can lower cost</w:t>
      </w:r>
      <w:r w:rsidR="00B5403F">
        <w:t>s</w:t>
      </w:r>
      <w:r>
        <w:t>.</w:t>
      </w:r>
    </w:p>
    <w:p w14:paraId="4C037A8E" w14:textId="77777777" w:rsidR="00376E58" w:rsidRDefault="00376E58"/>
    <w:p w14:paraId="3C817693" w14:textId="77777777" w:rsidR="00376E58" w:rsidRDefault="00000000">
      <w:pPr>
        <w:pStyle w:val="Heading2"/>
      </w:pPr>
      <w:r>
        <w:t>Question 5 - RAN Intelligent Controller (RIC): Distinguish between the roles of the Near-RT RIC and Non-RT RIC. Provide an example function for each.</w:t>
      </w:r>
    </w:p>
    <w:p w14:paraId="4DAEA8D6" w14:textId="1997A416" w:rsidR="00376E58" w:rsidRDefault="00B5403F">
      <w:r>
        <w:rPr>
          <w:kern w:val="0"/>
          <w14:ligatures w14:val="none"/>
        </w:rPr>
        <w:t xml:space="preserve">The RAN Intelligent Controller is the Open RAN component that adds programmable intelligence, and it comes in two versions that operate on different time scales (O-RAN Alliance, n.d.). The Near-RT (near-real-time) RIC runs fast control loops, typically between 10 milliseconds and one second, and sits close to the radio. It hosts small applications called </w:t>
      </w:r>
      <w:proofErr w:type="spellStart"/>
      <w:r>
        <w:rPr>
          <w:kern w:val="0"/>
          <w14:ligatures w14:val="none"/>
        </w:rPr>
        <w:t>xApps</w:t>
      </w:r>
      <w:proofErr w:type="spellEnd"/>
      <w:r>
        <w:rPr>
          <w:kern w:val="0"/>
          <w14:ligatures w14:val="none"/>
        </w:rPr>
        <w:t xml:space="preserve"> that make quick decisions. One example is traffic steering, where an </w:t>
      </w:r>
      <w:proofErr w:type="spellStart"/>
      <w:r>
        <w:rPr>
          <w:kern w:val="0"/>
          <w14:ligatures w14:val="none"/>
        </w:rPr>
        <w:t>xApp</w:t>
      </w:r>
      <w:proofErr w:type="spellEnd"/>
      <w:r>
        <w:rPr>
          <w:kern w:val="0"/>
          <w14:ligatures w14:val="none"/>
        </w:rPr>
        <w:t xml:space="preserve"> moves users between cells in near real time to balance the load. The </w:t>
      </w:r>
      <w:proofErr w:type="gramStart"/>
      <w:r>
        <w:rPr>
          <w:kern w:val="0"/>
          <w14:ligatures w14:val="none"/>
        </w:rPr>
        <w:t>Non-RT</w:t>
      </w:r>
      <w:proofErr w:type="gramEnd"/>
      <w:r>
        <w:rPr>
          <w:kern w:val="0"/>
          <w14:ligatures w14:val="none"/>
        </w:rPr>
        <w:t xml:space="preserve"> (non-</w:t>
      </w:r>
      <w:proofErr w:type="gramStart"/>
      <w:r>
        <w:rPr>
          <w:kern w:val="0"/>
          <w14:ligatures w14:val="none"/>
        </w:rPr>
        <w:t>real-time</w:t>
      </w:r>
      <w:proofErr w:type="gramEnd"/>
      <w:r>
        <w:rPr>
          <w:kern w:val="0"/>
          <w14:ligatures w14:val="none"/>
        </w:rPr>
        <w:t xml:space="preserve">) RIC runs slower loops, longer than one second, and sits in the management and orchestration layer. It hosts applications called </w:t>
      </w:r>
      <w:proofErr w:type="spellStart"/>
      <w:r>
        <w:rPr>
          <w:kern w:val="0"/>
          <w14:ligatures w14:val="none"/>
        </w:rPr>
        <w:t>rApps</w:t>
      </w:r>
      <w:proofErr w:type="spellEnd"/>
      <w:r>
        <w:rPr>
          <w:kern w:val="0"/>
          <w14:ligatures w14:val="none"/>
        </w:rPr>
        <w:t xml:space="preserve"> and handles longer-term tasks. One example is training machine-learning models and setting the policies that the Near-RT RIC then follows. In short, the </w:t>
      </w:r>
      <w:proofErr w:type="gramStart"/>
      <w:r>
        <w:rPr>
          <w:kern w:val="0"/>
          <w14:ligatures w14:val="none"/>
        </w:rPr>
        <w:t>Non-RT RIC</w:t>
      </w:r>
      <w:proofErr w:type="gramEnd"/>
      <w:r>
        <w:rPr>
          <w:kern w:val="0"/>
          <w14:ligatures w14:val="none"/>
        </w:rPr>
        <w:t xml:space="preserve"> plans and learns, while the Near-RT RIC acts quickly on those plans.</w:t>
      </w:r>
    </w:p>
    <w:p w14:paraId="409005DD" w14:textId="77777777" w:rsidR="00376E58" w:rsidRDefault="00376E58"/>
    <w:p w14:paraId="703DCD3E" w14:textId="77777777" w:rsidR="00376E58" w:rsidRDefault="00000000">
      <w:pPr>
        <w:pStyle w:val="Heading1"/>
      </w:pPr>
      <w:r>
        <w:lastRenderedPageBreak/>
        <w:t>Conclusion</w:t>
      </w:r>
    </w:p>
    <w:p w14:paraId="0DF7BB30" w14:textId="7978CFD0" w:rsidR="00376E58" w:rsidRDefault="00000000">
      <w:pPr>
        <w:spacing w:after="160"/>
      </w:pPr>
      <w:r>
        <w:t>Across these questions</w:t>
      </w:r>
      <w:r w:rsidR="00B5403F">
        <w:t>,</w:t>
      </w:r>
      <w:r>
        <w:t xml:space="preserve"> the common idea is that the modern RAN runs on data and automation. AI and machine learning predict traffic and faults so that resources can be managed efficiently and problems caught early. SON lets the network tune and heal itself, and predictive maintenance keeps service quality steady. Open RAN makes all of this possible by opening the network into standard, multi-vendor parts, and the RAN Intelligent Controller gives it a place to run the intelligence, with slow planning in the Non-RT RIC and fast action in the Near-RT RIC. The companion lab shows the first step, predicting traffic from historical data.</w:t>
      </w:r>
    </w:p>
    <w:p w14:paraId="73D4D70F" w14:textId="77777777" w:rsidR="00376E58" w:rsidRDefault="00000000">
      <w:pPr>
        <w:pStyle w:val="Heading1"/>
      </w:pPr>
      <w:r>
        <w:t>References</w:t>
      </w:r>
    </w:p>
    <w:p w14:paraId="474B443F" w14:textId="77777777" w:rsidR="00376E58" w:rsidRDefault="00376E58"/>
    <w:p w14:paraId="2D861102" w14:textId="77777777" w:rsidR="00376E58" w:rsidRDefault="00000000">
      <w:pPr>
        <w:ind w:left="720" w:firstLine="720"/>
      </w:pPr>
      <w:r>
        <w:t xml:space="preserve">3GPP. (n.d.). Self-organising networks (SON). </w:t>
      </w:r>
      <w:hyperlink r:id="rId4">
        <w:r>
          <w:rPr>
            <w:rStyle w:val="Hyperlink"/>
          </w:rPr>
          <w:t>https://www.3gpp.org/technologies/son</w:t>
        </w:r>
      </w:hyperlink>
      <w:r>
        <w:t xml:space="preserve"> </w:t>
      </w:r>
    </w:p>
    <w:p w14:paraId="0B4757B1" w14:textId="77777777" w:rsidR="00376E58" w:rsidRDefault="00376E58"/>
    <w:p w14:paraId="4AFBCC3C" w14:textId="77777777" w:rsidR="00376E58" w:rsidRDefault="00000000">
      <w:pPr>
        <w:ind w:left="720" w:firstLine="720"/>
      </w:pPr>
      <w:r>
        <w:t xml:space="preserve">Mohamed Jabarullah, M. A. K. (2022). PredictNet: AI-enabled predictive maintenance system for telecommunications infrastructure reliability. World Journal of Advanced Research and Reviews. </w:t>
      </w:r>
      <w:hyperlink r:id="rId5">
        <w:r>
          <w:rPr>
            <w:rStyle w:val="Hyperlink"/>
          </w:rPr>
          <w:t>https://wjarr.com/node/7724</w:t>
        </w:r>
      </w:hyperlink>
      <w:r>
        <w:t xml:space="preserve"> </w:t>
      </w:r>
    </w:p>
    <w:p w14:paraId="38D6F6B5" w14:textId="77777777" w:rsidR="00376E58" w:rsidRDefault="00376E58"/>
    <w:p w14:paraId="29C36096" w14:textId="77777777" w:rsidR="00376E58" w:rsidRDefault="00000000">
      <w:pPr>
        <w:ind w:left="720" w:firstLine="720"/>
      </w:pPr>
      <w:r>
        <w:t xml:space="preserve">O-RAN Alliance. (n.d.). O-RAN Alliance: Specifications for the open, intelligent, virtualized and fully interoperable RAN. </w:t>
      </w:r>
      <w:hyperlink r:id="rId6">
        <w:r>
          <w:rPr>
            <w:rStyle w:val="Hyperlink"/>
          </w:rPr>
          <w:t>https://www.o-ran.org</w:t>
        </w:r>
      </w:hyperlink>
      <w:r>
        <w:t xml:space="preserve"> </w:t>
      </w:r>
    </w:p>
    <w:p w14:paraId="475D245F" w14:textId="77777777" w:rsidR="00376E58" w:rsidRDefault="00376E58"/>
    <w:p w14:paraId="5B492E19" w14:textId="77777777" w:rsidR="00376E58" w:rsidRDefault="00000000">
      <w:pPr>
        <w:ind w:left="720" w:firstLine="720"/>
      </w:pPr>
      <w:r>
        <w:t xml:space="preserve">Qazzaz, M. M. H., Kułacz, Ł., Kliks, A., Zaidi, S. A., Dryjanski, M., &amp; McLernon, D. (2024). Machine learning-based xApp for dynamic resource allocation in O-RAN networks. arXiv. </w:t>
      </w:r>
      <w:hyperlink r:id="rId7">
        <w:r>
          <w:rPr>
            <w:rStyle w:val="Hyperlink"/>
          </w:rPr>
          <w:t>https://arxiv.org/abs/2401.07643</w:t>
        </w:r>
      </w:hyperlink>
      <w:r>
        <w:t xml:space="preserve"> </w:t>
      </w:r>
    </w:p>
    <w:p w14:paraId="217A49E7" w14:textId="77777777" w:rsidR="00376E58" w:rsidRDefault="00376E58"/>
    <w:p w14:paraId="6B71EE12" w14:textId="77777777" w:rsidR="00376E58" w:rsidRDefault="00376E58"/>
    <w:sectPr w:rsidR="00376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DD"/>
    <w:rsid w:val="00376E58"/>
    <w:rsid w:val="00B011F0"/>
    <w:rsid w:val="00B5403F"/>
    <w:rsid w:val="00E44ADD"/>
    <w:rsid w:val="00EA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0D2C2"/>
  <w15:chartTrackingRefBased/>
  <w15:docId w15:val="{F03711CB-629D-1B4B-81F1-947F8B04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DD"/>
    <w:pPr>
      <w:spacing w:after="40"/>
    </w:pPr>
    <w:rPr>
      <w:rFonts w:ascii="Segoe UI" w:hAnsi="Segoe UI"/>
    </w:rPr>
  </w:style>
  <w:style w:type="paragraph" w:styleId="Heading1">
    <w:name w:val="heading 1"/>
    <w:basedOn w:val="Normal"/>
    <w:next w:val="Normal"/>
    <w:link w:val="Heading1Char"/>
    <w:uiPriority w:val="9"/>
    <w:qFormat/>
    <w:rsid w:val="00E44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DD"/>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DD"/>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A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A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A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A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DD"/>
    <w:rPr>
      <w:rFonts w:eastAsiaTheme="majorEastAsia" w:cstheme="majorBidi"/>
      <w:color w:val="272727" w:themeColor="text1" w:themeTint="D8"/>
    </w:rPr>
  </w:style>
  <w:style w:type="paragraph" w:styleId="Title">
    <w:name w:val="Title"/>
    <w:basedOn w:val="Normal"/>
    <w:next w:val="Normal"/>
    <w:link w:val="TitleChar"/>
    <w:uiPriority w:val="10"/>
    <w:qFormat/>
    <w:rsid w:val="00E4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DD"/>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E44ADD"/>
    <w:rPr>
      <w:i/>
      <w:iCs/>
      <w:color w:val="404040" w:themeColor="text1" w:themeTint="BF"/>
    </w:rPr>
  </w:style>
  <w:style w:type="paragraph" w:styleId="ListParagraph">
    <w:name w:val="List Paragraph"/>
    <w:basedOn w:val="Normal"/>
    <w:uiPriority w:val="34"/>
    <w:qFormat/>
    <w:rsid w:val="00E44ADD"/>
    <w:pPr>
      <w:spacing w:after="160"/>
      <w:ind w:left="720"/>
      <w:contextualSpacing/>
    </w:pPr>
    <w:rPr>
      <w:rFonts w:asciiTheme="minorHAnsi" w:hAnsiTheme="minorHAnsi"/>
    </w:rPr>
  </w:style>
  <w:style w:type="character" w:styleId="IntenseEmphasis">
    <w:name w:val="Intense Emphasis"/>
    <w:basedOn w:val="DefaultParagraphFont"/>
    <w:uiPriority w:val="21"/>
    <w:qFormat/>
    <w:rsid w:val="00E44ADD"/>
    <w:rPr>
      <w:i/>
      <w:iCs/>
      <w:color w:val="0F4761" w:themeColor="accent1" w:themeShade="BF"/>
    </w:rPr>
  </w:style>
  <w:style w:type="paragraph" w:styleId="IntenseQuote">
    <w:name w:val="Intense Quote"/>
    <w:basedOn w:val="Normal"/>
    <w:next w:val="Normal"/>
    <w:link w:val="IntenseQuoteChar"/>
    <w:uiPriority w:val="30"/>
    <w:qFormat/>
    <w:rsid w:val="00E44A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E44ADD"/>
    <w:rPr>
      <w:i/>
      <w:iCs/>
      <w:color w:val="0F4761" w:themeColor="accent1" w:themeShade="BF"/>
    </w:rPr>
  </w:style>
  <w:style w:type="character" w:styleId="IntenseReference">
    <w:name w:val="Intense Reference"/>
    <w:basedOn w:val="DefaultParagraphFont"/>
    <w:uiPriority w:val="32"/>
    <w:qFormat/>
    <w:rsid w:val="00E44ADD"/>
    <w:rPr>
      <w:b/>
      <w:bCs/>
      <w:smallCaps/>
      <w:color w:val="0F4761" w:themeColor="accent1" w:themeShade="BF"/>
      <w:spacing w:val="5"/>
    </w:rPr>
  </w:style>
  <w:style w:type="character" w:styleId="Hyperlink">
    <w:name w:val="Hyperlink"/>
    <w:basedOn w:val="DefaultParagraphFont"/>
    <w:uiPriority w:val="99"/>
    <w:unhideWhenUsed/>
    <w:rsid w:val="00E44ADD"/>
    <w:rPr>
      <w:color w:val="467886" w:themeColor="hyperlink"/>
      <w:u w:val="single"/>
    </w:rPr>
  </w:style>
  <w:style w:type="character" w:styleId="UnresolvedMention">
    <w:name w:val="Unresolved Mention"/>
    <w:basedOn w:val="DefaultParagraphFont"/>
    <w:uiPriority w:val="99"/>
    <w:semiHidden/>
    <w:unhideWhenUsed/>
    <w:rsid w:val="00E44ADD"/>
    <w:rPr>
      <w:color w:val="605E5C"/>
      <w:shd w:val="clear" w:color="auto" w:fill="E1DFDD"/>
    </w:rPr>
  </w:style>
  <w:style w:type="character" w:styleId="FollowedHyperlink">
    <w:name w:val="FollowedHyperlink"/>
    <w:basedOn w:val="DefaultParagraphFont"/>
    <w:uiPriority w:val="99"/>
    <w:semiHidden/>
    <w:unhideWhenUsed/>
    <w:rsid w:val="00E44A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rxiv.org/abs/2401.0764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n.org" TargetMode="External"/><Relationship Id="rId5" Type="http://schemas.openxmlformats.org/officeDocument/2006/relationships/hyperlink" Target="https://wjarr.com/node/7724" TargetMode="External"/><Relationship Id="rId4" Type="http://schemas.openxmlformats.org/officeDocument/2006/relationships/hyperlink" Target="https://www.3gpp.org/technologies/s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1228</Words>
  <Characters>7004</Characters>
  <Application>Microsoft Office Word</Application>
  <DocSecurity>0</DocSecurity>
  <Lines>58</Lines>
  <Paragraphs>16</Paragraphs>
  <ScaleCrop>false</ScaleCrop>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martin.demel-W216901110</dc:creator>
  <cp:keywords/>
  <dc:description/>
  <cp:lastModifiedBy>martin.demel-W216901110</cp:lastModifiedBy>
  <cp:revision>2</cp:revision>
  <dcterms:created xsi:type="dcterms:W3CDTF">2026-06-09T01:05:00Z</dcterms:created>
  <dcterms:modified xsi:type="dcterms:W3CDTF">2026-06-30T17:44:00Z</dcterms:modified>
</cp:coreProperties>
</file>