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anchor distT="0" distB="0" distL="0" distR="0" simplePos="0" allowOverlap="1" behindDoc="1" locked="0" layoutInCell="1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before="1500"/>
        <w:ind w:left="880" w:right="700"/>
      </w:pPr>
      <w:r>
        <w:drawing>
          <wp:inline distT="0" distB="0" distL="0" distR="0">
            <wp:extent cx="28575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0" w:line="260"/>
        <w:ind w:left="880" w:right="700"/>
      </w:pPr>
      <w:r>
        <w:rPr>
          <w:rFonts w:ascii="Space Grotesk SemiBold" w:cs="Space Grotesk SemiBold" w:eastAsia="Space Grotesk SemiBold" w:hAnsi="Space Grotesk SemiBold"/>
          <w:b/>
          <w:bCs/>
          <w:i w:val="false"/>
          <w:iCs w:val="false"/>
          <w:color w:val="4CE500"/>
          <w:spacing w:val="30"/>
          <w:sz w:val="20"/>
          <w:szCs w:val="20"/>
        </w:rPr>
        <w:t xml:space="preserve">INDIKATIVNÍ ANALÝZA</w:t>
      </w:r>
    </w:p>
    <w:p>
      <w:pPr>
        <w:spacing w:after="120" w:before="120" w:line="900"/>
        <w:ind w:left="880" w:right="700"/>
      </w:pPr>
      <w:r>
        <w:rPr>
          <w:rFonts w:ascii="Space Grotesk" w:cs="Space Grotesk" w:eastAsia="Space Grotesk" w:hAnsi="Space Grotesk"/>
          <w:b/>
          <w:bCs/>
          <w:i w:val="false"/>
          <w:iCs w:val="false"/>
          <w:color w:val="FFFFFF"/>
          <w:sz w:val="76"/>
          <w:szCs w:val="76"/>
        </w:rPr>
        <w:t xml:space="preserve">SEO &amp; PPC</w:t>
      </w:r>
    </w:p>
    <w:p>
      <w:pPr>
        <w:spacing w:after="180" w:before="0" w:line="260"/>
        <w:ind w:left="880" w:right="700"/>
      </w:pPr>
      <w:r>
        <w:rPr>
          <w:rFonts w:ascii="Space Grotesk SemiBold" w:cs="Space Grotesk SemiBold" w:eastAsia="Space Grotesk SemiBold" w:hAnsi="Space Grotesk SemiBold"/>
          <w:b/>
          <w:bCs/>
          <w:i w:val="false"/>
          <w:iCs w:val="false"/>
          <w:color w:val="C9CBC9"/>
          <w:sz w:val="30"/>
          <w:szCs w:val="30"/>
        </w:rPr>
        <w:t xml:space="preserve">schulte-group.cz</w:t>
      </w:r>
    </w:p>
    <w:p>
      <w:pPr>
        <w:spacing w:after="150"/>
        <w:ind w:left="880" w:right="700"/>
      </w:pPr>
      <w:r>
        <w:drawing>
          <wp:inline distT="0" distB="0" distL="0" distR="0">
            <wp:extent cx="2000250" cy="4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60"/>
        <w:ind w:left="880" w:right="7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9CBC9"/>
          <w:sz w:val="22"/>
          <w:szCs w:val="22"/>
        </w:rPr>
        <w:t xml:space="preserve">Průmyslová TZB  /  HVAC  /  Vzduchotechnika  /  Tepelná čerpadla</w:t>
      </w:r>
    </w:p>
    <w:p>
      <w:pPr>
        <w:spacing w:after="0" w:before="6800" w:line="260"/>
        <w:ind w:left="880" w:right="7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B0D0B"/>
          <w:sz w:val="21"/>
          <w:szCs w:val="21"/>
        </w:rPr>
        <w:t xml:space="preserve"/>
      </w:r>
    </w:p>
    <w:p>
      <w:pPr>
        <w:spacing w:after="40" w:before="0" w:line="260"/>
        <w:ind w:left="880" w:right="700"/>
      </w:pPr>
      <w:r>
        <w:rPr>
          <w:rFonts w:ascii="Space Grotesk SemiBold" w:cs="Space Grotesk SemiBold" w:eastAsia="Space Grotesk SemiBold" w:hAnsi="Space Grotesk SemiBold"/>
          <w:b/>
          <w:bCs/>
          <w:i w:val="false"/>
          <w:iCs w:val="false"/>
          <w:color w:val="4CE500"/>
          <w:spacing w:val="30"/>
          <w:sz w:val="16"/>
          <w:szCs w:val="16"/>
        </w:rPr>
        <w:t xml:space="preserve">DATOVÉ PODKLADY</w:t>
      </w:r>
    </w:p>
    <w:p>
      <w:pPr>
        <w:spacing w:after="120" w:before="0" w:line="260"/>
        <w:ind w:left="880" w:right="7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C9CBC9"/>
          <w:sz w:val="18"/>
          <w:szCs w:val="18"/>
        </w:rPr>
        <w:t xml:space="preserve">Google Search Console · Screaming Frog · Collabim · Google Ads Planner · Ahrefs · APIFY</w:t>
      </w:r>
    </w:p>
    <w:p>
      <w:pPr>
        <w:spacing w:after="0" w:before="0" w:line="260"/>
        <w:ind w:left="880" w:right="7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28482"/>
          <w:sz w:val="17"/>
          <w:szCs w:val="17"/>
        </w:rPr>
        <w:t xml:space="preserve">Srpen 2026 · Připravil AITOM</w:t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keepNext/>
        <w:spacing w:after="70" w:before="300"/>
      </w:pPr>
      <w:r>
        <w:drawing>
          <wp:inline distT="0" distB="0" distL="0" distR="0">
            <wp:extent cx="438150" cy="6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0" w:before="0" w:line="240"/>
        <w:outlineLvl w:val="0"/>
      </w:pPr>
      <w:r>
        <w:rPr>
          <w:rFonts w:ascii="Space Grotesk SemiBold" w:cs="Space Grotesk SemiBold" w:eastAsia="Space Grotesk SemiBold" w:hAnsi="Space Grotesk SemiBold"/>
          <w:b/>
          <w:bCs/>
          <w:i w:val="false"/>
          <w:iCs w:val="false"/>
          <w:color w:val="2E8F00"/>
          <w:sz w:val="30"/>
          <w:szCs w:val="30"/>
        </w:rPr>
        <w:t xml:space="preserve">1.  </w:t>
      </w:r>
      <w:r>
        <w:rPr>
          <w:rFonts w:ascii="Space Grotesk" w:cs="Space Grotesk" w:eastAsia="Space Grotesk" w:hAnsi="Space Grotesk"/>
          <w:b/>
          <w:bCs/>
          <w:i w:val="false"/>
          <w:iCs w:val="false"/>
          <w:color w:val="0B0D0B"/>
          <w:sz w:val="30"/>
          <w:szCs w:val="30"/>
        </w:rPr>
        <w:t xml:space="preserve">Executive summary</w:t>
      </w:r>
    </w:p>
    <w:p>
      <w:pPr>
        <w:keepLines/>
        <w:spacing w:after="130" w:before="0" w:line="268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B0D0B"/>
          <w:sz w:val="21"/>
          <w:szCs w:val="21"/>
        </w:rPr>
        <w:t xml:space="preserve">Web schulte-group.cz generuje provoz téměř výhradně prostřednictvím brandových dotazů a na cílová nebrandová klíčová slova je v Google prakticky neviditelný — všechna sledovaná klíčová slova vykazují pozici 30+.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69"/>
        <w:gridCol w:w="300"/>
        <w:gridCol w:w="4669"/>
      </w:tblGrid>
      <w:tr>
        <w:tc>
          <w:tcPr>
            <w:tcW w:type="dxa" w:w="4669"/>
            <w:tcBorders>
              <w:top w:val="single" w:color="E4E6E4" w:sz="4"/>
              <w:left w:val="single" w:color="4CE500" w:sz="20"/>
              <w:bottom w:val="single" w:color="E4E6E4" w:sz="4"/>
              <w:right w:val="single" w:color="E4E6E4" w:sz="4"/>
            </w:tcBorders>
            <w:shd w:fill="FFFFFF" w:color="auto" w:val="clear"/>
            <w:tcMar>
              <w:top w:type="dxa" w:w="170"/>
              <w:left w:type="dxa" w:w="200"/>
              <w:bottom w:type="dxa" w:w="170"/>
              <w:right w:type="dxa" w:w="200"/>
            </w:tcMar>
            <w:vAlign w:val="top"/>
          </w:tcPr>
          <w:p>
            <w:pPr>
              <w:spacing w:after="90" w:line="248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2E8F00"/>
                <w:sz w:val="22"/>
                <w:szCs w:val="22"/>
              </w:rPr>
              <w:t xml:space="preserve">SEO: Doporučeno — ANO</w:t>
            </w:r>
          </w:p>
          <w:p>
            <w:pPr>
              <w:spacing w:after="0" w:line="264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9"/>
                <w:szCs w:val="19"/>
              </w:rPr>
              <w:t xml:space="preserve">Střednědobý základ, nutná podmínka pro organickou viditelnost. Výsledky za 6–12 měsíců. Doporučeno využití generování obsahu pro posílání relevance a zásahu požadovaných klíčových slov.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669"/>
            <w:tcBorders>
              <w:top w:val="single" w:color="E4E6E4" w:sz="4"/>
              <w:left w:val="single" w:color="4CE500" w:sz="20"/>
              <w:bottom w:val="single" w:color="E4E6E4" w:sz="4"/>
              <w:right w:val="single" w:color="E4E6E4" w:sz="4"/>
            </w:tcBorders>
            <w:shd w:fill="FFFFFF" w:color="auto" w:val="clear"/>
            <w:tcMar>
              <w:top w:type="dxa" w:w="170"/>
              <w:left w:type="dxa" w:w="200"/>
              <w:bottom w:type="dxa" w:w="170"/>
              <w:right w:type="dxa" w:w="200"/>
            </w:tcMar>
            <w:vAlign w:val="top"/>
          </w:tcPr>
          <w:p>
            <w:pPr>
              <w:spacing w:after="90" w:line="248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2E8F00"/>
                <w:sz w:val="22"/>
                <w:szCs w:val="22"/>
              </w:rPr>
              <w:t xml:space="preserve">PPC: Doporučeno — ANO</w:t>
            </w:r>
          </w:p>
          <w:p>
            <w:pPr>
              <w:spacing w:after="0" w:line="264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9"/>
                <w:szCs w:val="19"/>
              </w:rPr>
              <w:t xml:space="preserve">Okamžitá viditelnost, validace poptávky. Min. budget 15–20 tis. Kč/měs. + správa.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E4E6E4" w:sz="4"/>
          <w:left w:val="single" w:color="4CE500" w:sz="24"/>
          <w:bottom w:val="single" w:color="E4E6E4" w:sz="4"/>
          <w:right w:val="single" w:color="E4E6E4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9FCE0" w:color="auto" w:val="clear"/>
            <w:tcMar>
              <w:top w:type="dxa" w:w="150"/>
              <w:left w:type="dxa" w:w="240"/>
              <w:bottom w:type="dxa" w:w="150"/>
              <w:right w:type="dxa" w:w="200"/>
            </w:tcMar>
          </w:tcPr>
          <w:p>
            <w:pPr>
              <w:spacing w:after="7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0B0D0B"/>
                <w:sz w:val="21"/>
                <w:szCs w:val="21"/>
              </w:rPr>
              <w:t xml:space="preserve">Klíčové zjištění</w:t>
            </w:r>
          </w:p>
          <w:p>
            <w:pPr>
              <w:spacing w:after="0" w:line="268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20"/>
                <w:szCs w:val="20"/>
              </w:rPr>
              <w:t xml:space="preserve">Hledanost v tomto B2B segmentu je nízká (cílové fráze mají 10–100 hledání/měs. v ČR, většina pod 10). To ale neznamená, že kampaně nemají smysl — zakázky jsou v řádu statisíců až milionů Kč, takže i 1–2 poptávky měsíčně kampaň výrazně amortizují.</w:t>
            </w:r>
          </w:p>
        </w:tc>
      </w:tr>
    </w:tbl>
    <w:p>
      <w:pPr>
        <w:keepNext/>
        <w:spacing w:after="70" w:before="300"/>
      </w:pPr>
      <w:r>
        <w:drawing>
          <wp:inline distT="0" distB="0" distL="0" distR="0">
            <wp:extent cx="438150" cy="6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0" w:before="0" w:line="240"/>
        <w:outlineLvl w:val="0"/>
      </w:pPr>
      <w:r>
        <w:rPr>
          <w:rFonts w:ascii="Space Grotesk SemiBold" w:cs="Space Grotesk SemiBold" w:eastAsia="Space Grotesk SemiBold" w:hAnsi="Space Grotesk SemiBold"/>
          <w:b/>
          <w:bCs/>
          <w:i w:val="false"/>
          <w:iCs w:val="false"/>
          <w:color w:val="2E8F00"/>
          <w:sz w:val="30"/>
          <w:szCs w:val="30"/>
        </w:rPr>
        <w:t xml:space="preserve">2.  </w:t>
      </w:r>
      <w:r>
        <w:rPr>
          <w:rFonts w:ascii="Space Grotesk" w:cs="Space Grotesk" w:eastAsia="Space Grotesk" w:hAnsi="Space Grotesk"/>
          <w:b/>
          <w:bCs/>
          <w:i w:val="false"/>
          <w:iCs w:val="false"/>
          <w:color w:val="0B0D0B"/>
          <w:sz w:val="30"/>
          <w:szCs w:val="30"/>
        </w:rPr>
        <w:t xml:space="preserve">Aktuální stav webu</w:t>
      </w:r>
    </w:p>
    <w:p>
      <w:pPr>
        <w:keepNext/>
        <w:spacing w:after="120" w:before="260" w:line="240"/>
        <w:outlineLvl w:val="1"/>
      </w:pPr>
      <w:r>
        <w:rPr>
          <w:rFonts w:ascii="Space Grotesk SemiBold" w:cs="Space Grotesk SemiBold" w:eastAsia="Space Grotesk SemiBold" w:hAnsi="Space Grotesk SemiBold"/>
          <w:b/>
          <w:bCs/>
          <w:i w:val="false"/>
          <w:iCs w:val="false"/>
          <w:color w:val="0B0D0B"/>
          <w:sz w:val="24"/>
          <w:szCs w:val="24"/>
        </w:rPr>
        <w:t xml:space="preserve">2.1  Organický výkon (Google Search Console, říjen 2025 – duben 2026)</w:t>
      </w:r>
    </w:p>
    <w:tbl>
      <w:tblPr>
        <w:tblW w:type="dxa" w:w="9638"/>
        <w:tblBorders>
          <w:top w:val="single" w:color="E4E6E4" w:sz="4"/>
          <w:left w:val="single" w:color="E4E6E4" w:sz="4"/>
          <w:bottom w:val="single" w:color="E4E6E4" w:sz="4"/>
          <w:right w:val="single" w:color="E4E6E4" w:sz="4"/>
          <w:insideH w:val="single" w:color="E4E6E4" w:sz="4"/>
          <w:insideV w:val="single" w:color="E4E6E4" w:sz="4"/>
        </w:tblBorders>
      </w:tblPr>
      <w:tblGrid>
        <w:gridCol w:w="2600"/>
        <w:gridCol w:w="2219"/>
        <w:gridCol w:w="2600"/>
        <w:gridCol w:w="2219"/>
      </w:tblGrid>
      <w:tr>
        <w:trPr>
          <w:tblHeader/>
        </w:trPr>
        <w:tc>
          <w:tcPr>
            <w:tcW w:type="dxa" w:w="2600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Metrika</w:t>
            </w:r>
          </w:p>
        </w:tc>
        <w:tc>
          <w:tcPr>
            <w:tcW w:type="dxa" w:w="2219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Hodnota</w:t>
            </w:r>
          </w:p>
        </w:tc>
        <w:tc>
          <w:tcPr>
            <w:tcW w:type="dxa" w:w="2600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Metrika</w:t>
            </w:r>
          </w:p>
        </w:tc>
        <w:tc>
          <w:tcPr>
            <w:tcW w:type="dxa" w:w="2219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Hodnota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Celkem kliknutí (6 měs.)</w:t>
            </w:r>
          </w:p>
        </w:tc>
        <w:tc>
          <w:tcPr>
            <w:tcW w:type="dxa" w:w="221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1 339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Celkem zobrazení (6 měs.)</w:t>
            </w:r>
          </w:p>
        </w:tc>
        <w:tc>
          <w:tcPr>
            <w:tcW w:type="dxa" w:w="221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9 447</w:t>
            </w:r>
          </w:p>
        </w:tc>
      </w:tr>
      <w:tr>
        <w:tc>
          <w:tcPr>
            <w:tcW w:type="dxa" w:w="26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Průměrná pozice (GSC)</w:t>
            </w:r>
          </w:p>
        </w:tc>
        <w:tc>
          <w:tcPr>
            <w:tcW w:type="dxa" w:w="2219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9,1</w:t>
            </w:r>
          </w:p>
        </w:tc>
        <w:tc>
          <w:tcPr>
            <w:tcW w:type="dxa" w:w="26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CTR celkem</w:t>
            </w:r>
          </w:p>
        </w:tc>
        <w:tc>
          <w:tcPr>
            <w:tcW w:type="dxa" w:w="2219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14,2 %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Podíl brandového provozu</w:t>
            </w:r>
          </w:p>
        </w:tc>
        <w:tc>
          <w:tcPr>
            <w:tcW w:type="dxa" w:w="221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&gt; 90 %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Neznačkový provoz</w:t>
            </w:r>
          </w:p>
        </w:tc>
        <w:tc>
          <w:tcPr>
            <w:tcW w:type="dxa" w:w="221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&lt; 10 %</w:t>
            </w:r>
          </w:p>
        </w:tc>
      </w:tr>
    </w:tbl>
    <w:p>
      <w:pPr>
        <w:keepLines/>
        <w:spacing w:after="130" w:before="140" w:line="268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B0D0B"/>
          <w:sz w:val="21"/>
          <w:szCs w:val="21"/>
        </w:rPr>
        <w:t xml:space="preserve">Top dotazy z GSC jsou výhradně brandové: schulte (359 kliků), schulte tzb (244), schulte group a.s. (129), schulte group (117). První neznačkový dotaz — </w:t>
      </w:r>
      <w:r>
        <w:rPr>
          <w:rFonts w:ascii="Inter" w:cs="Inter" w:eastAsia="Inter" w:hAnsi="Inter"/>
          <w:b w:val="false"/>
          <w:bCs w:val="false"/>
          <w:i/>
          <w:iCs/>
          <w:color w:val="0B0D0B"/>
          <w:sz w:val="21"/>
          <w:szCs w:val="21"/>
        </w:rPr>
        <w:t xml:space="preserve">„inženýrská činnost“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0B0D0B"/>
          <w:sz w:val="21"/>
          <w:szCs w:val="21"/>
        </w:rPr>
        <w:t xml:space="preserve"> — je až na 9. místě s pouhými 4 kliknutími z 536 zobrazení (CTR 0,75 %).</w:t>
      </w:r>
    </w:p>
    <w:p>
      <w:pPr>
        <w:keepNext/>
        <w:spacing w:after="120" w:before="260" w:line="240"/>
        <w:outlineLvl w:val="1"/>
      </w:pPr>
      <w:r>
        <w:rPr>
          <w:rFonts w:ascii="Space Grotesk SemiBold" w:cs="Space Grotesk SemiBold" w:eastAsia="Space Grotesk SemiBold" w:hAnsi="Space Grotesk SemiBold"/>
          <w:b/>
          <w:bCs/>
          <w:i w:val="false"/>
          <w:iCs w:val="false"/>
          <w:color w:val="0B0D0B"/>
          <w:sz w:val="24"/>
          <w:szCs w:val="24"/>
        </w:rPr>
        <w:t xml:space="preserve">2.2  Technický stav webu (Screaming Frog — issues report)</w:t>
      </w:r>
    </w:p>
    <w:p>
      <w:pPr>
        <w:keepLines/>
        <w:spacing w:after="130" w:before="0" w:line="268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B0D0B"/>
          <w:sz w:val="21"/>
          <w:szCs w:val="21"/>
        </w:rPr>
        <w:t xml:space="preserve">Audit odhalil řadu snadno opravitelných nedostatků, které brzdí organické pozice:</w:t>
      </w:r>
    </w:p>
    <w:tbl>
      <w:tblPr>
        <w:tblW w:type="dxa" w:w="9638"/>
        <w:tblBorders>
          <w:top w:val="single" w:color="E4E6E4" w:sz="4"/>
          <w:left w:val="single" w:color="E4E6E4" w:sz="4"/>
          <w:bottom w:val="single" w:color="E4E6E4" w:sz="4"/>
          <w:right w:val="single" w:color="E4E6E4" w:sz="4"/>
          <w:insideH w:val="single" w:color="E4E6E4" w:sz="4"/>
          <w:insideV w:val="single" w:color="E4E6E4" w:sz="4"/>
        </w:tblBorders>
      </w:tblPr>
      <w:tblGrid>
        <w:gridCol w:w="3400"/>
        <w:gridCol w:w="1238"/>
        <w:gridCol w:w="5000"/>
      </w:tblGrid>
      <w:tr>
        <w:trPr>
          <w:tblHeader/>
        </w:trPr>
        <w:tc>
          <w:tcPr>
            <w:tcW w:type="dxa" w:w="3400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Problém</w:t>
            </w:r>
          </w:p>
        </w:tc>
        <w:tc>
          <w:tcPr>
            <w:tcW w:type="dxa" w:w="1238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% stránek</w:t>
            </w:r>
          </w:p>
        </w:tc>
        <w:tc>
          <w:tcPr>
            <w:tcW w:type="dxa" w:w="5000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Dopad / priorita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Chybějící meta description</w:t>
            </w:r>
          </w:p>
        </w:tc>
        <w:tc>
          <w:tcPr>
            <w:tcW w:type="dxa" w:w="12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56,1 %</w:t>
            </w:r>
          </w:p>
        </w:tc>
        <w:tc>
          <w:tcPr>
            <w:tcW w:type="dxa" w:w="5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Nízké CTR v SERPu — vysoká priorita</w:t>
            </w:r>
          </w:p>
        </w:tc>
      </w:tr>
      <w:tr>
        <w:tc>
          <w:tcPr>
            <w:tcW w:type="dxa" w:w="34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Chybějící canonical tag</w:t>
            </w:r>
          </w:p>
        </w:tc>
        <w:tc>
          <w:tcPr>
            <w:tcW w:type="dxa" w:w="1238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73,2 %</w:t>
            </w:r>
          </w:p>
        </w:tc>
        <w:tc>
          <w:tcPr>
            <w:tcW w:type="dxa" w:w="50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Riziko duplicitního obsahu — střední priorita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Chybějící H2 tag</w:t>
            </w:r>
          </w:p>
        </w:tc>
        <w:tc>
          <w:tcPr>
            <w:tcW w:type="dxa" w:w="12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43,9 %</w:t>
            </w:r>
          </w:p>
        </w:tc>
        <w:tc>
          <w:tcPr>
            <w:tcW w:type="dxa" w:w="5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Slabší strukturování obsahu — nízká priorita</w:t>
            </w:r>
          </w:p>
        </w:tc>
      </w:tr>
      <w:tr>
        <w:tc>
          <w:tcPr>
            <w:tcW w:type="dxa" w:w="34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Chybějící alt texty u obrázků</w:t>
            </w:r>
          </w:p>
        </w:tc>
        <w:tc>
          <w:tcPr>
            <w:tcW w:type="dxa" w:w="1238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34,3 %</w:t>
            </w:r>
          </w:p>
        </w:tc>
        <w:tc>
          <w:tcPr>
            <w:tcW w:type="dxa" w:w="50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Dostupnost + SEO obrázků — nízká priorita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Chybějící structured data</w:t>
            </w:r>
          </w:p>
        </w:tc>
        <w:tc>
          <w:tcPr>
            <w:tcW w:type="dxa" w:w="12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73,2 %</w:t>
            </w:r>
          </w:p>
        </w:tc>
        <w:tc>
          <w:tcPr>
            <w:tcW w:type="dxa" w:w="5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Zmeškaná příležitost pro rich snippets</w:t>
            </w:r>
          </w:p>
        </w:tc>
      </w:tr>
      <w:tr>
        <w:tc>
          <w:tcPr>
            <w:tcW w:type="dxa" w:w="34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Stránky s nízkým počtem slov (&lt; 200)</w:t>
            </w:r>
          </w:p>
        </w:tc>
        <w:tc>
          <w:tcPr>
            <w:tcW w:type="dxa" w:w="1238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34,2 %</w:t>
            </w:r>
          </w:p>
        </w:tc>
        <w:tc>
          <w:tcPr>
            <w:tcW w:type="dxa" w:w="50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Málo obsahu pro indexaci — střední priorita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Lorem ipsum placeholder text</w:t>
            </w:r>
          </w:p>
        </w:tc>
        <w:tc>
          <w:tcPr>
            <w:tcW w:type="dxa" w:w="1238"/>
            <w:shd w:fill="E9FCE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2,4 %</w:t>
            </w:r>
          </w:p>
        </w:tc>
        <w:tc>
          <w:tcPr>
            <w:tcW w:type="dxa" w:w="5000"/>
            <w:shd w:fill="E9FCE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Kritické — okamžitě opravit</w:t>
            </w:r>
          </w:p>
        </w:tc>
      </w:tr>
      <w:tr>
        <w:tc>
          <w:tcPr>
            <w:tcW w:type="dxa" w:w="34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Stránky s noindex direktivou</w:t>
            </w:r>
          </w:p>
        </w:tc>
        <w:tc>
          <w:tcPr>
            <w:tcW w:type="dxa" w:w="1238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9,5 %</w:t>
            </w:r>
          </w:p>
        </w:tc>
        <w:tc>
          <w:tcPr>
            <w:tcW w:type="dxa" w:w="50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Zkontrolovat, zda záměrně</w:t>
            </w:r>
          </w:p>
        </w:tc>
      </w:tr>
    </w:tbl>
    <w:p>
      <w:pPr>
        <w:keepNext/>
        <w:spacing w:after="120" w:before="260" w:line="240"/>
        <w:outlineLvl w:val="1"/>
      </w:pPr>
      <w:r>
        <w:rPr>
          <w:rFonts w:ascii="Space Grotesk SemiBold" w:cs="Space Grotesk SemiBold" w:eastAsia="Space Grotesk SemiBold" w:hAnsi="Space Grotesk SemiBold"/>
          <w:b/>
          <w:bCs/>
          <w:i w:val="false"/>
          <w:iCs w:val="false"/>
          <w:color w:val="0B0D0B"/>
          <w:sz w:val="24"/>
          <w:szCs w:val="24"/>
        </w:rPr>
        <w:t xml:space="preserve">2.3  Zpětné odkazy — Ahrefs backlink profil</w:t>
      </w:r>
    </w:p>
    <w:p>
      <w:pPr>
        <w:keepLines/>
        <w:spacing w:after="130" w:before="0" w:line="268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B0D0B"/>
          <w:sz w:val="21"/>
          <w:szCs w:val="21"/>
        </w:rPr>
        <w:t xml:space="preserve">Celkový backlink profil je slabý, odpovídající novému webu. Kvalitních (dofollow, DR &gt; 10, aktivní) zpětných odkazů je minimum:</w:t>
      </w:r>
    </w:p>
    <w:tbl>
      <w:tblPr>
        <w:tblW w:type="dxa" w:w="9638"/>
        <w:tblBorders>
          <w:top w:val="single" w:color="E4E6E4" w:sz="4"/>
          <w:left w:val="single" w:color="E4E6E4" w:sz="4"/>
          <w:bottom w:val="single" w:color="E4E6E4" w:sz="4"/>
          <w:right w:val="single" w:color="E4E6E4" w:sz="4"/>
          <w:insideH w:val="single" w:color="E4E6E4" w:sz="4"/>
          <w:insideV w:val="single" w:color="E4E6E4" w:sz="4"/>
        </w:tblBorders>
      </w:tblPr>
      <w:tblGrid>
        <w:gridCol w:w="3100"/>
        <w:gridCol w:w="900"/>
        <w:gridCol w:w="1800"/>
        <w:gridCol w:w="3838"/>
      </w:tblGrid>
      <w:tr>
        <w:trPr>
          <w:tblHeader/>
        </w:trPr>
        <w:tc>
          <w:tcPr>
            <w:tcW w:type="dxa" w:w="3100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Zdroj odkazu</w:t>
            </w:r>
          </w:p>
        </w:tc>
        <w:tc>
          <w:tcPr>
            <w:tcW w:type="dxa" w:w="900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DR</w:t>
            </w:r>
          </w:p>
        </w:tc>
        <w:tc>
          <w:tcPr>
            <w:tcW w:type="dxa" w:w="1800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</w:t>
            </w:r>
          </w:p>
        </w:tc>
        <w:tc>
          <w:tcPr>
            <w:tcW w:type="dxa" w:w="3838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Poznámka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Atmoskop.cz (recenze zaměstnavatelů)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67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text, dofollow</w:t>
            </w:r>
          </w:p>
        </w:tc>
        <w:tc>
          <w:tcPr>
            <w:tcW w:type="dxa" w:w="38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Přirozený, relevantní</w:t>
            </w:r>
          </w:p>
        </w:tc>
      </w:tr>
      <w:tr>
        <w:tc>
          <w:tcPr>
            <w:tcW w:type="dxa" w:w="31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TZB-info.cz (profil firmy)</w:t>
            </w:r>
          </w:p>
        </w:tc>
        <w:tc>
          <w:tcPr>
            <w:tcW w:type="dxa" w:w="9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76</w:t>
            </w:r>
          </w:p>
        </w:tc>
        <w:tc>
          <w:tcPr>
            <w:tcW w:type="dxa" w:w="18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text, dofollow</w:t>
            </w:r>
          </w:p>
        </w:tc>
        <w:tc>
          <w:tcPr>
            <w:tcW w:type="dxa" w:w="3838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Velmi relevantní oborový portál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Genesis Capital (portfolio)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28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text, dofollow</w:t>
            </w:r>
          </w:p>
        </w:tc>
        <w:tc>
          <w:tcPr>
            <w:tcW w:type="dxa" w:w="38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Investorský odkaz, přirozený</w:t>
            </w:r>
          </w:p>
        </w:tc>
      </w:tr>
      <w:tr>
        <w:tc>
          <w:tcPr>
            <w:tcW w:type="dxa" w:w="31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Penize.cz / Finmag.cz (obchodní rejstřík)</w:t>
            </w:r>
          </w:p>
        </w:tc>
        <w:tc>
          <w:tcPr>
            <w:tcW w:type="dxa" w:w="9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67–77</w:t>
            </w:r>
          </w:p>
        </w:tc>
        <w:tc>
          <w:tcPr>
            <w:tcW w:type="dxa" w:w="18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text, nofollow</w:t>
            </w:r>
          </w:p>
        </w:tc>
        <w:tc>
          <w:tcPr>
            <w:tcW w:type="dxa" w:w="3838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Autoritativní, ale nofollow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Najisto.cz (katalog firem)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81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text, dofollow</w:t>
            </w:r>
          </w:p>
        </w:tc>
        <w:tc>
          <w:tcPr>
            <w:tcW w:type="dxa" w:w="38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Katalog, obecný</w:t>
            </w:r>
          </w:p>
        </w:tc>
      </w:tr>
      <w:tr>
        <w:tc>
          <w:tcPr>
            <w:tcW w:type="dxa" w:w="31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Crunchbase.com</w:t>
            </w:r>
          </w:p>
        </w:tc>
        <w:tc>
          <w:tcPr>
            <w:tcW w:type="dxa" w:w="9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91</w:t>
            </w:r>
          </w:p>
        </w:tc>
        <w:tc>
          <w:tcPr>
            <w:tcW w:type="dxa" w:w="18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text, nofollow</w:t>
            </w:r>
          </w:p>
        </w:tc>
        <w:tc>
          <w:tcPr>
            <w:tcW w:type="dxa" w:w="3838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Nofollow — bez SEO efektu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Lenner Motors (partner)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32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image, dofollow</w:t>
            </w:r>
          </w:p>
        </w:tc>
        <w:tc>
          <w:tcPr>
            <w:tcW w:type="dxa" w:w="38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Relevantní partnerský odkaz</w:t>
            </w:r>
          </w:p>
        </w:tc>
      </w:tr>
      <w:tr>
        <w:tc>
          <w:tcPr>
            <w:tcW w:type="dxa" w:w="31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Stavebniserver.com</w:t>
            </w:r>
          </w:p>
        </w:tc>
        <w:tc>
          <w:tcPr>
            <w:tcW w:type="dxa" w:w="9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47</w:t>
            </w:r>
          </w:p>
        </w:tc>
        <w:tc>
          <w:tcPr>
            <w:tcW w:type="dxa" w:w="18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text, dofollow</w:t>
            </w:r>
          </w:p>
        </w:tc>
        <w:tc>
          <w:tcPr>
            <w:tcW w:type="dxa" w:w="3838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Oborový adresář — OK</w:t>
            </w:r>
          </w:p>
        </w:tc>
      </w:tr>
    </w:tbl>
    <w:p>
      <w:pPr>
        <w:keepLines/>
        <w:spacing w:after="130" w:before="140" w:line="268"/>
      </w:pPr>
      <w:r>
        <w:rPr>
          <w:rFonts w:ascii="Inter SemiBold" w:cs="Inter SemiBold" w:eastAsia="Inter SemiBold" w:hAnsi="Inter SemiBold"/>
          <w:b/>
          <w:bCs/>
          <w:i w:val="false"/>
          <w:iCs w:val="false"/>
          <w:color w:val="0B0D0B"/>
          <w:sz w:val="21"/>
          <w:szCs w:val="21"/>
        </w:rPr>
        <w:t xml:space="preserve">Shrnutí: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0B0D0B"/>
          <w:sz w:val="21"/>
          <w:szCs w:val="21"/>
        </w:rPr>
        <w:t xml:space="preserve">Z 390 odkazů v exportu je aktivních a nespamových cca 33 odkazů s DR &gt; 10. Spam a ztracené (lost) odkazy tvoří většinu záznamu. Přirozený profil je čistý, ale velmi slabý. Pro konkurenci na klíčových frázích bude třeba aktivně budovat zpětné odkazy.</w:t>
      </w:r>
    </w:p>
    <w:p>
      <w:pPr>
        <w:keepNext/>
        <w:spacing w:after="70" w:before="300"/>
      </w:pPr>
      <w:r>
        <w:drawing>
          <wp:inline distT="0" distB="0" distL="0" distR="0">
            <wp:extent cx="438150" cy="6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0" w:before="0" w:line="240"/>
        <w:outlineLvl w:val="0"/>
      </w:pPr>
      <w:r>
        <w:rPr>
          <w:rFonts w:ascii="Space Grotesk SemiBold" w:cs="Space Grotesk SemiBold" w:eastAsia="Space Grotesk SemiBold" w:hAnsi="Space Grotesk SemiBold"/>
          <w:b/>
          <w:bCs/>
          <w:i w:val="false"/>
          <w:iCs w:val="false"/>
          <w:color w:val="2E8F00"/>
          <w:sz w:val="30"/>
          <w:szCs w:val="30"/>
        </w:rPr>
        <w:t xml:space="preserve">3.  </w:t>
      </w:r>
      <w:r>
        <w:rPr>
          <w:rFonts w:ascii="Space Grotesk" w:cs="Space Grotesk" w:eastAsia="Space Grotesk" w:hAnsi="Space Grotesk"/>
          <w:b/>
          <w:bCs/>
          <w:i w:val="false"/>
          <w:iCs w:val="false"/>
          <w:color w:val="0B0D0B"/>
          <w:sz w:val="30"/>
          <w:szCs w:val="30"/>
        </w:rPr>
        <w:t xml:space="preserve">Analýza klíčových slov</w:t>
      </w:r>
    </w:p>
    <w:p>
      <w:pPr>
        <w:keepNext/>
        <w:spacing w:after="120" w:before="260" w:line="240"/>
        <w:outlineLvl w:val="1"/>
      </w:pPr>
      <w:r>
        <w:rPr>
          <w:rFonts w:ascii="Space Grotesk SemiBold" w:cs="Space Grotesk SemiBold" w:eastAsia="Space Grotesk SemiBold" w:hAnsi="Space Grotesk SemiBold"/>
          <w:b/>
          <w:bCs/>
          <w:i w:val="false"/>
          <w:iCs w:val="false"/>
          <w:color w:val="0B0D0B"/>
          <w:sz w:val="24"/>
          <w:szCs w:val="24"/>
        </w:rPr>
        <w:t xml:space="preserve">3.1  Hledanost a CPC — Google Ads Planner + Collabim</w:t>
      </w:r>
    </w:p>
    <w:p>
      <w:pPr>
        <w:keepLines/>
        <w:spacing w:after="130" w:before="0" w:line="268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B0D0B"/>
          <w:sz w:val="21"/>
          <w:szCs w:val="21"/>
        </w:rPr>
        <w:t xml:space="preserve">Data z Google Ads Planner potvrzují, že větší část sledovaných frází má velmi nízký objem (tj. pod prahem měřitelnosti &lt; 10 hledání/měs. v ČR). Z poskytnutého seznamu klíčových slov máme jen 3 fráze s měřitelným objemem hledanosti:</w:t>
      </w:r>
    </w:p>
    <w:tbl>
      <w:tblPr>
        <w:tblW w:type="dxa" w:w="9638"/>
        <w:tblBorders>
          <w:top w:val="single" w:color="E4E6E4" w:sz="4"/>
          <w:left w:val="single" w:color="E4E6E4" w:sz="4"/>
          <w:bottom w:val="single" w:color="E4E6E4" w:sz="4"/>
          <w:right w:val="single" w:color="E4E6E4" w:sz="4"/>
          <w:insideH w:val="single" w:color="E4E6E4" w:sz="4"/>
          <w:insideV w:val="single" w:color="E4E6E4" w:sz="4"/>
        </w:tblBorders>
      </w:tblPr>
      <w:tblGrid>
        <w:gridCol w:w="2900"/>
        <w:gridCol w:w="1300"/>
        <w:gridCol w:w="1150"/>
        <w:gridCol w:w="1150"/>
        <w:gridCol w:w="1350"/>
        <w:gridCol w:w="1788"/>
      </w:tblGrid>
      <w:tr>
        <w:trPr>
          <w:tblHeader/>
        </w:trPr>
        <w:tc>
          <w:tcPr>
            <w:tcW w:type="dxa" w:w="2900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Klíčové slovo</w:t>
            </w:r>
          </w:p>
        </w:tc>
        <w:tc>
          <w:tcPr>
            <w:tcW w:type="dxa" w:w="1300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Hled./měs.</w:t>
            </w:r>
          </w:p>
        </w:tc>
        <w:tc>
          <w:tcPr>
            <w:tcW w:type="dxa" w:w="1150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CPC low (Kč)</w:t>
            </w:r>
          </w:p>
        </w:tc>
        <w:tc>
          <w:tcPr>
            <w:tcW w:type="dxa" w:w="1150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CPC high (Kč)</w:t>
            </w:r>
          </w:p>
        </w:tc>
        <w:tc>
          <w:tcPr>
            <w:tcW w:type="dxa" w:w="1350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Konkurence</w:t>
            </w:r>
          </w:p>
        </w:tc>
        <w:tc>
          <w:tcPr>
            <w:tcW w:type="dxa" w:w="1788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Pozice Schulte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Průmyslová tepelná čerpadla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10–100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34,99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246,65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Vysoká</w:t>
            </w:r>
          </w:p>
        </w:tc>
        <w:tc>
          <w:tcPr>
            <w:tcW w:type="dxa" w:w="178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30+</w:t>
            </w:r>
          </w:p>
        </w:tc>
      </w:tr>
      <w:tr>
        <w:tc>
          <w:tcPr>
            <w:tcW w:type="dxa" w:w="29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Průmyslová vzduchotechnika</w:t>
            </w:r>
          </w:p>
        </w:tc>
        <w:tc>
          <w:tcPr>
            <w:tcW w:type="dxa" w:w="13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10–100</w:t>
            </w:r>
          </w:p>
        </w:tc>
        <w:tc>
          <w:tcPr>
            <w:tcW w:type="dxa" w:w="115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18,72</w:t>
            </w:r>
          </w:p>
        </w:tc>
        <w:tc>
          <w:tcPr>
            <w:tcW w:type="dxa" w:w="115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40,62</w:t>
            </w:r>
          </w:p>
        </w:tc>
        <w:tc>
          <w:tcPr>
            <w:tcW w:type="dxa" w:w="135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Vysoká</w:t>
            </w:r>
          </w:p>
        </w:tc>
        <w:tc>
          <w:tcPr>
            <w:tcW w:type="dxa" w:w="1788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30+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Průmyslové chlazení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10–100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25,15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110,33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Vysoká</w:t>
            </w:r>
          </w:p>
        </w:tc>
        <w:tc>
          <w:tcPr>
            <w:tcW w:type="dxa" w:w="178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30+</w:t>
            </w:r>
          </w:p>
        </w:tc>
      </w:tr>
      <w:tr>
        <w:tc>
          <w:tcPr>
            <w:tcW w:type="dxa" w:w="29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Vytápění průmyslových hal</w:t>
            </w:r>
          </w:p>
        </w:tc>
        <w:tc>
          <w:tcPr>
            <w:tcW w:type="dxa" w:w="13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10–100*</w:t>
            </w:r>
          </w:p>
        </w:tc>
        <w:tc>
          <w:tcPr>
            <w:tcW w:type="dxa" w:w="115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—</w:t>
            </w:r>
          </w:p>
        </w:tc>
        <w:tc>
          <w:tcPr>
            <w:tcW w:type="dxa" w:w="115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Nízká*</w:t>
            </w:r>
          </w:p>
        </w:tc>
        <w:tc>
          <w:tcPr>
            <w:tcW w:type="dxa" w:w="1788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30+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Ostatní fráze (9 KW)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&lt; 10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—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N/A</w:t>
            </w:r>
          </w:p>
        </w:tc>
        <w:tc>
          <w:tcPr>
            <w:tcW w:type="dxa" w:w="178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30+</w:t>
            </w:r>
          </w:p>
        </w:tc>
      </w:tr>
    </w:tbl>
    <w:p>
      <w:pPr>
        <w:keepLines/>
        <w:spacing w:after="130" w:before="120" w:line="268"/>
      </w:pPr>
      <w:r>
        <w:rPr>
          <w:rFonts w:ascii="Inter" w:cs="Inter" w:eastAsia="Inter" w:hAnsi="Inter"/>
          <w:b/>
          <w:bCs/>
          <w:i w:val="false"/>
          <w:iCs w:val="false"/>
          <w:color w:val="0B0D0B"/>
          <w:sz w:val="19"/>
          <w:szCs w:val="19"/>
        </w:rPr>
        <w:t xml:space="preserve">*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828482"/>
          <w:sz w:val="19"/>
          <w:szCs w:val="19"/>
        </w:rPr>
        <w:t xml:space="preserve">Collabim uvádí pro „vytápění průmyslových hal“ objem 22–31/měs. a konkurenci 14 (nízká) s CPC 2,92 EUR (cca 73 Kč). Google Ads Planner tuto frázi jako měřitelnou nezobrazil — pravděpodobně je pod prahem nebo kategorizována jinak. Collabim data jsou v Kč vypočtena přepočtovým kurzem 25 Kč/EUR.</w:t>
      </w:r>
    </w:p>
    <w:p>
      <w:pPr>
        <w:keepNext/>
        <w:spacing w:after="120" w:before="260" w:line="240"/>
        <w:outlineLvl w:val="1"/>
      </w:pPr>
      <w:r>
        <w:rPr>
          <w:rFonts w:ascii="Space Grotesk SemiBold" w:cs="Space Grotesk SemiBold" w:eastAsia="Space Grotesk SemiBold" w:hAnsi="Space Grotesk SemiBold"/>
          <w:b/>
          <w:bCs/>
          <w:i w:val="false"/>
          <w:iCs w:val="false"/>
          <w:color w:val="0B0D0B"/>
          <w:sz w:val="24"/>
          <w:szCs w:val="24"/>
        </w:rPr>
        <w:t xml:space="preserve">3.2  Analýza organické konkurence (APIFY — SERP scraper)</w:t>
      </w:r>
    </w:p>
    <w:p>
      <w:pPr>
        <w:keepLines/>
        <w:spacing w:after="130" w:before="0" w:line="268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B0D0B"/>
          <w:sz w:val="21"/>
          <w:szCs w:val="21"/>
        </w:rPr>
        <w:t xml:space="preserve">Export z APIFY Google SERP scraperu ukázal následující dominantní hráče v organických výsledcích:</w:t>
      </w:r>
    </w:p>
    <w:tbl>
      <w:tblPr>
        <w:tblW w:type="dxa" w:w="9638"/>
        <w:tblBorders>
          <w:top w:val="single" w:color="E4E6E4" w:sz="4"/>
          <w:left w:val="single" w:color="E4E6E4" w:sz="4"/>
          <w:bottom w:val="single" w:color="E4E6E4" w:sz="4"/>
          <w:right w:val="single" w:color="E4E6E4" w:sz="4"/>
          <w:insideH w:val="single" w:color="E4E6E4" w:sz="4"/>
          <w:insideV w:val="single" w:color="E4E6E4" w:sz="4"/>
        </w:tblBorders>
      </w:tblPr>
      <w:tblGrid>
        <w:gridCol w:w="2600"/>
        <w:gridCol w:w="2600"/>
        <w:gridCol w:w="4438"/>
      </w:tblGrid>
      <w:tr>
        <w:trPr>
          <w:tblHeader/>
        </w:trPr>
        <w:tc>
          <w:tcPr>
            <w:tcW w:type="dxa" w:w="2600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Fráze (skupina)</w:t>
            </w:r>
          </w:p>
        </w:tc>
        <w:tc>
          <w:tcPr>
            <w:tcW w:type="dxa" w:w="2600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Dominantní konkurent</w:t>
            </w:r>
          </w:p>
        </w:tc>
        <w:tc>
          <w:tcPr>
            <w:tcW w:type="dxa" w:w="4438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Další konkurenti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Vzduchotechnika / větrání hal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schwank.cz (#1 nebo #2)</w:t>
            </w:r>
          </w:p>
        </w:tc>
        <w:tc>
          <w:tcPr>
            <w:tcW w:type="dxa" w:w="44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klimoss.cz, zikom.cz, tzb-info.cz, tigeng.cz</w:t>
            </w:r>
          </w:p>
        </w:tc>
      </w:tr>
      <w:tr>
        <w:tc>
          <w:tcPr>
            <w:tcW w:type="dxa" w:w="26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HVAC průmyslových hal</w:t>
            </w:r>
          </w:p>
        </w:tc>
        <w:tc>
          <w:tcPr>
            <w:tcW w:type="dxa" w:w="26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schwank.cz, tzb-info.cz</w:t>
            </w:r>
          </w:p>
        </w:tc>
        <w:tc>
          <w:tcPr>
            <w:tcW w:type="dxa" w:w="4438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hyundai.eu.com, encofa.cz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Průmyslová tepelná čerpadla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veskom.cz, czrg.eu</w:t>
            </w:r>
          </w:p>
        </w:tc>
        <w:tc>
          <w:tcPr>
            <w:tcW w:type="dxa" w:w="44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mastertherm.cz, tepelka.cz, skadec.de/cs</w:t>
            </w:r>
          </w:p>
        </w:tc>
      </w:tr>
      <w:tr>
        <w:tc>
          <w:tcPr>
            <w:tcW w:type="dxa" w:w="26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Průmyslové chlazení</w:t>
            </w:r>
          </w:p>
        </w:tc>
        <w:tc>
          <w:tcPr>
            <w:tcW w:type="dxa" w:w="26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veskom.cz, sinop.cz</w:t>
            </w:r>
          </w:p>
        </w:tc>
        <w:tc>
          <w:tcPr>
            <w:tcW w:type="dxa" w:w="4438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chsjedlicka.cz, carrier/liebherr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TZB projekce / Design &amp; Build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build-systemy.cz, azklima.com</w:t>
            </w:r>
          </w:p>
        </w:tc>
        <w:tc>
          <w:tcPr>
            <w:tcW w:type="dxa" w:w="44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esl.cz, cesky-prumysl.cz, tzb-projekt.eu</w:t>
            </w:r>
          </w:p>
        </w:tc>
      </w:tr>
      <w:tr>
        <w:tc>
          <w:tcPr>
            <w:tcW w:type="dxa" w:w="26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Tepelná čerpadla pro průmysl</w:t>
            </w:r>
          </w:p>
        </w:tc>
        <w:tc>
          <w:tcPr>
            <w:tcW w:type="dxa" w:w="26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mastertherm.cz, tzb-info.cz</w:t>
            </w:r>
          </w:p>
        </w:tc>
        <w:tc>
          <w:tcPr>
            <w:tcW w:type="dxa" w:w="4438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atlascopco.com, tcmach.cz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Průmyslová vzduchotechnika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tzb-info.cz, artprofi.cz</w:t>
            </w:r>
          </w:p>
        </w:tc>
        <w:tc>
          <w:tcPr>
            <w:tcW w:type="dxa" w:w="44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techniklima.cz, vetrani.tzb-info.cz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E4E6E4" w:sz="4"/>
          <w:left w:val="single" w:color="4CE500" w:sz="24"/>
          <w:bottom w:val="single" w:color="E4E6E4" w:sz="4"/>
          <w:right w:val="single" w:color="E4E6E4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9FCE0" w:color="auto" w:val="clear"/>
            <w:tcMar>
              <w:top w:type="dxa" w:w="150"/>
              <w:left w:type="dxa" w:w="240"/>
              <w:bottom w:type="dxa" w:w="150"/>
              <w:right w:type="dxa" w:w="200"/>
            </w:tcMar>
          </w:tcPr>
          <w:p>
            <w:pPr>
              <w:spacing w:after="7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0B0D0B"/>
                <w:sz w:val="21"/>
                <w:szCs w:val="21"/>
              </w:rPr>
              <w:t xml:space="preserve">Obtížnost SEO</w:t>
            </w:r>
          </w:p>
          <w:p>
            <w:pPr>
              <w:spacing w:after="0" w:line="268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20"/>
                <w:szCs w:val="20"/>
              </w:rPr>
              <w:t xml:space="preserve">Schwank.cz je dominantní specialista na vytápění/větrání hal a vyskytuje se na #1–2 u většiny frází. TZB-info.cz jako oborový portál obsazuje featured snippety. Veskom.cz a mastertherm.cz ovládají segment tepelných čerpadel. Obtížnost je vysoká, ale ne nepřekonatelná — u frází s nízkou hledaností (TZB projekce, Design &amp; Build) má Schulte reálnou šanci se dostat na top stránky do 6–9 měsíců.</w:t>
            </w:r>
          </w:p>
        </w:tc>
      </w:tr>
    </w:tbl>
    <w:p>
      <w:pPr>
        <w:keepNext/>
        <w:spacing w:after="70" w:before="300"/>
      </w:pPr>
      <w:r>
        <w:drawing>
          <wp:inline distT="0" distB="0" distL="0" distR="0">
            <wp:extent cx="438150" cy="6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0" w:before="0" w:line="240"/>
        <w:outlineLvl w:val="0"/>
      </w:pPr>
      <w:r>
        <w:rPr>
          <w:rFonts w:ascii="Space Grotesk SemiBold" w:cs="Space Grotesk SemiBold" w:eastAsia="Space Grotesk SemiBold" w:hAnsi="Space Grotesk SemiBold"/>
          <w:b/>
          <w:bCs/>
          <w:i w:val="false"/>
          <w:iCs w:val="false"/>
          <w:color w:val="2E8F00"/>
          <w:sz w:val="30"/>
          <w:szCs w:val="30"/>
        </w:rPr>
        <w:t xml:space="preserve">4.  </w:t>
      </w:r>
      <w:r>
        <w:rPr>
          <w:rFonts w:ascii="Space Grotesk" w:cs="Space Grotesk" w:eastAsia="Space Grotesk" w:hAnsi="Space Grotesk"/>
          <w:b/>
          <w:bCs/>
          <w:i w:val="false"/>
          <w:iCs w:val="false"/>
          <w:color w:val="0B0D0B"/>
          <w:sz w:val="30"/>
          <w:szCs w:val="30"/>
        </w:rPr>
        <w:t xml:space="preserve">PPC — Google Ads a Sklik</w:t>
      </w:r>
    </w:p>
    <w:p>
      <w:pPr>
        <w:keepNext/>
        <w:spacing w:after="120" w:before="260" w:line="240"/>
        <w:outlineLvl w:val="1"/>
      </w:pPr>
      <w:r>
        <w:rPr>
          <w:rFonts w:ascii="Space Grotesk SemiBold" w:cs="Space Grotesk SemiBold" w:eastAsia="Space Grotesk SemiBold" w:hAnsi="Space Grotesk SemiBold"/>
          <w:b/>
          <w:bCs/>
          <w:i w:val="false"/>
          <w:iCs w:val="false"/>
          <w:color w:val="0B0D0B"/>
          <w:sz w:val="24"/>
          <w:szCs w:val="24"/>
        </w:rPr>
        <w:t xml:space="preserve">4.1  Situace před spuštěním</w:t>
      </w:r>
    </w:p>
    <w:p>
      <w:pPr>
        <w:keepLines/>
        <w:spacing w:after="130" w:before="0" w:line="268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B0D0B"/>
          <w:sz w:val="21"/>
          <w:szCs w:val="21"/>
        </w:rPr>
        <w:t xml:space="preserve">Historicky žádné PPC kampaně nebyly spuštěny. Web nemá konverzní tracking, landing pages nejsou optimalizovány pro konverze a meta descriptions chybí u 56 % stránek. Tyto nedostatky je vhodné před spuštěním napravit, jinak platby za kliky nepřinesou adekvátní návratnost. (Pro kampaně je stále důležitým faktorem quality score dopadových stránek.)</w:t>
      </w:r>
    </w:p>
    <w:p>
      <w:pPr>
        <w:keepNext/>
        <w:spacing w:after="120" w:before="260" w:line="240"/>
        <w:outlineLvl w:val="1"/>
      </w:pPr>
      <w:r>
        <w:rPr>
          <w:rFonts w:ascii="Space Grotesk SemiBold" w:cs="Space Grotesk SemiBold" w:eastAsia="Space Grotesk SemiBold" w:hAnsi="Space Grotesk SemiBold"/>
          <w:b/>
          <w:bCs/>
          <w:i w:val="false"/>
          <w:iCs w:val="false"/>
          <w:color w:val="0B0D0B"/>
          <w:sz w:val="24"/>
          <w:szCs w:val="24"/>
        </w:rPr>
        <w:t xml:space="preserve">4.2  Indikativní kalkulace minimálního budgetu</w:t>
      </w:r>
    </w:p>
    <w:p>
      <w:pPr>
        <w:keepLines/>
        <w:spacing w:after="130" w:before="0" w:line="268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B0D0B"/>
          <w:sz w:val="21"/>
          <w:szCs w:val="21"/>
        </w:rPr>
        <w:t xml:space="preserve">Kalkulace vychází z Google Ads Planner (CPC v Kč), Collabim a odhadu impression share ~40–60 %. Kurz EUR/CZK = 25 Kč.</w:t>
      </w:r>
    </w:p>
    <w:tbl>
      <w:tblPr>
        <w:tblW w:type="dxa" w:w="9638"/>
        <w:tblBorders>
          <w:top w:val="single" w:color="E4E6E4" w:sz="4"/>
          <w:left w:val="single" w:color="E4E6E4" w:sz="4"/>
          <w:bottom w:val="single" w:color="E4E6E4" w:sz="4"/>
          <w:right w:val="single" w:color="E4E6E4" w:sz="4"/>
          <w:insideH w:val="single" w:color="E4E6E4" w:sz="4"/>
          <w:insideV w:val="single" w:color="E4E6E4" w:sz="4"/>
        </w:tblBorders>
      </w:tblPr>
      <w:tblGrid>
        <w:gridCol w:w="2500"/>
        <w:gridCol w:w="900"/>
        <w:gridCol w:w="1350"/>
        <w:gridCol w:w="1350"/>
        <w:gridCol w:w="1700"/>
        <w:gridCol w:w="1838"/>
      </w:tblGrid>
      <w:tr>
        <w:trPr>
          <w:tblHeader/>
        </w:trPr>
        <w:tc>
          <w:tcPr>
            <w:tcW w:type="dxa" w:w="2500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Skupina kampaně</w:t>
            </w:r>
          </w:p>
        </w:tc>
        <w:tc>
          <w:tcPr>
            <w:tcW w:type="dxa" w:w="900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Fráze</w:t>
            </w:r>
          </w:p>
        </w:tc>
        <w:tc>
          <w:tcPr>
            <w:tcW w:type="dxa" w:w="1350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Odh. kliky/měs.</w:t>
            </w:r>
          </w:p>
        </w:tc>
        <w:tc>
          <w:tcPr>
            <w:tcW w:type="dxa" w:w="1350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CPC průměr (Kč)</w:t>
            </w:r>
          </w:p>
        </w:tc>
        <w:tc>
          <w:tcPr>
            <w:tcW w:type="dxa" w:w="1700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Budget/měs. (Kč)</w:t>
            </w:r>
          </w:p>
        </w:tc>
        <w:tc>
          <w:tcPr>
            <w:tcW w:type="dxa" w:w="1838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Průmyslová tepelná čerpadla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2–3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20–40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80–140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1 600–5 600</w:t>
            </w:r>
          </w:p>
        </w:tc>
        <w:tc>
          <w:tcPr>
            <w:tcW w:type="dxa" w:w="18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Google Ads</w:t>
            </w:r>
          </w:p>
        </w:tc>
      </w:tr>
      <w:tr>
        <w:tc>
          <w:tcPr>
            <w:tcW w:type="dxa" w:w="25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Průmyslové chlazení</w:t>
            </w:r>
          </w:p>
        </w:tc>
        <w:tc>
          <w:tcPr>
            <w:tcW w:type="dxa" w:w="9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2–3</w:t>
            </w:r>
          </w:p>
        </w:tc>
        <w:tc>
          <w:tcPr>
            <w:tcW w:type="dxa" w:w="135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30–50</w:t>
            </w:r>
          </w:p>
        </w:tc>
        <w:tc>
          <w:tcPr>
            <w:tcW w:type="dxa" w:w="135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50–90</w:t>
            </w:r>
          </w:p>
        </w:tc>
        <w:tc>
          <w:tcPr>
            <w:tcW w:type="dxa" w:w="17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1 500–4 500</w:t>
            </w:r>
          </w:p>
        </w:tc>
        <w:tc>
          <w:tcPr>
            <w:tcW w:type="dxa" w:w="1838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Google Ads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Vzduchotechnika / větrání hal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3–4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20–40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30–70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600–2 800</w:t>
            </w:r>
          </w:p>
        </w:tc>
        <w:tc>
          <w:tcPr>
            <w:tcW w:type="dxa" w:w="18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Google Ads</w:t>
            </w:r>
          </w:p>
        </w:tc>
      </w:tr>
      <w:tr>
        <w:tc>
          <w:tcPr>
            <w:tcW w:type="dxa" w:w="25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Vytápění průmyslových hal</w:t>
            </w:r>
          </w:p>
        </w:tc>
        <w:tc>
          <w:tcPr>
            <w:tcW w:type="dxa" w:w="9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2–3</w:t>
            </w:r>
          </w:p>
        </w:tc>
        <w:tc>
          <w:tcPr>
            <w:tcW w:type="dxa" w:w="135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15–30</w:t>
            </w:r>
          </w:p>
        </w:tc>
        <w:tc>
          <w:tcPr>
            <w:tcW w:type="dxa" w:w="135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30–75</w:t>
            </w:r>
          </w:p>
        </w:tc>
        <w:tc>
          <w:tcPr>
            <w:tcW w:type="dxa" w:w="17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450–2 250</w:t>
            </w:r>
          </w:p>
        </w:tc>
        <w:tc>
          <w:tcPr>
            <w:tcW w:type="dxa" w:w="1838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Google + Sklik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TZB projekce / D&amp;B / niche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4–6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5–15</w:t>
            </w:r>
          </w:p>
        </w:tc>
        <w:tc>
          <w:tcPr>
            <w:tcW w:type="dxa" w:w="13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30–60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150–900</w:t>
            </w:r>
          </w:p>
        </w:tc>
        <w:tc>
          <w:tcPr>
            <w:tcW w:type="dxa" w:w="18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Google + Sklik</w:t>
            </w:r>
          </w:p>
        </w:tc>
      </w:tr>
      <w:tr>
        <w:tc>
          <w:tcPr>
            <w:tcW w:type="dxa" w:w="2500"/>
            <w:shd w:fill="E9FCE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 SemiBold" w:cs="Inter SemiBold" w:eastAsia="Inter SemiBold" w:hAnsi="Inter SemiBold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CELKEM (minimální scénář)</w:t>
            </w:r>
          </w:p>
        </w:tc>
        <w:tc>
          <w:tcPr>
            <w:tcW w:type="dxa" w:w="900"/>
            <w:shd w:fill="E9FCE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 SemiBold" w:cs="Inter SemiBold" w:eastAsia="Inter SemiBold" w:hAnsi="Inter SemiBold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14</w:t>
            </w:r>
          </w:p>
        </w:tc>
        <w:tc>
          <w:tcPr>
            <w:tcW w:type="dxa" w:w="1350"/>
            <w:shd w:fill="E9FCE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 SemiBold" w:cs="Inter SemiBold" w:eastAsia="Inter SemiBold" w:hAnsi="Inter SemiBold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90–175</w:t>
            </w:r>
          </w:p>
        </w:tc>
        <w:tc>
          <w:tcPr>
            <w:tcW w:type="dxa" w:w="1350"/>
            <w:shd w:fill="E9FCE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 SemiBold" w:cs="Inter SemiBold" w:eastAsia="Inter SemiBold" w:hAnsi="Inter SemiBold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shd w:fill="E9FCE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 SemiBold" w:cs="Inter SemiBold" w:eastAsia="Inter SemiBold" w:hAnsi="Inter SemiBold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4 300–16 050</w:t>
            </w:r>
          </w:p>
        </w:tc>
        <w:tc>
          <w:tcPr>
            <w:tcW w:type="dxa" w:w="1838"/>
            <w:shd w:fill="E9FCE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 SemiBold" w:cs="Inter SemiBold" w:eastAsia="Inter SemiBold" w:hAnsi="Inter SemiBold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Google + Sklik</w:t>
            </w:r>
          </w:p>
        </w:tc>
      </w:tr>
      <w:tr>
        <w:tc>
          <w:tcPr>
            <w:tcW w:type="dxa" w:w="2500"/>
            <w:shd w:fill="E9FCE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 SemiBold" w:cs="Inter SemiBold" w:eastAsia="Inter SemiBold" w:hAnsi="Inter SemiBold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CELKEM (doporučený scénář)</w:t>
            </w:r>
          </w:p>
        </w:tc>
        <w:tc>
          <w:tcPr>
            <w:tcW w:type="dxa" w:w="900"/>
            <w:shd w:fill="E9FCE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 SemiBold" w:cs="Inter SemiBold" w:eastAsia="Inter SemiBold" w:hAnsi="Inter SemiBold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14</w:t>
            </w:r>
          </w:p>
        </w:tc>
        <w:tc>
          <w:tcPr>
            <w:tcW w:type="dxa" w:w="1350"/>
            <w:shd w:fill="E9FCE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 SemiBold" w:cs="Inter SemiBold" w:eastAsia="Inter SemiBold" w:hAnsi="Inter SemiBold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150–250</w:t>
            </w:r>
          </w:p>
        </w:tc>
        <w:tc>
          <w:tcPr>
            <w:tcW w:type="dxa" w:w="1350"/>
            <w:shd w:fill="E9FCE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 SemiBold" w:cs="Inter SemiBold" w:eastAsia="Inter SemiBold" w:hAnsi="Inter SemiBold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shd w:fill="E9FCE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 SemiBold" w:cs="Inter SemiBold" w:eastAsia="Inter SemiBold" w:hAnsi="Inter SemiBold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15 000–25 000</w:t>
            </w:r>
          </w:p>
        </w:tc>
        <w:tc>
          <w:tcPr>
            <w:tcW w:type="dxa" w:w="1838"/>
            <w:shd w:fill="E9FCE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 SemiBold" w:cs="Inter SemiBold" w:eastAsia="Inter SemiBold" w:hAnsi="Inter SemiBold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Google + Sklik</w:t>
            </w:r>
          </w:p>
        </w:tc>
      </w:tr>
    </w:tbl>
    <w:p>
      <w:pPr>
        <w:keepLines/>
        <w:spacing w:after="130" w:before="120" w:line="268"/>
      </w:pPr>
      <w:r>
        <w:rPr>
          <w:rFonts w:ascii="Inter SemiBold" w:cs="Inter SemiBold" w:eastAsia="Inter SemiBold" w:hAnsi="Inter SemiBold"/>
          <w:b/>
          <w:bCs/>
          <w:i w:val="false"/>
          <w:iCs w:val="false"/>
          <w:color w:val="828482"/>
          <w:sz w:val="19"/>
          <w:szCs w:val="19"/>
        </w:rPr>
        <w:t xml:space="preserve">Poznámka: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828482"/>
          <w:sz w:val="19"/>
          <w:szCs w:val="19"/>
        </w:rPr>
        <w:t xml:space="preserve">Google Ads Planner nezobrazil data pro 9 z 14 frází (objem pod prahem). Pro tyto fráze jsou kliknutí a budget na základě kvalifikovaného odhadu z Collabim + zkušenosti s podobnými B2B kampaněmi. CPC tepelných čerpadel je výrazně vyšší (Ads Planner: 35–247 Kč/klik) než ostatní skupiny — to je největší nákladová položka.</w:t>
      </w:r>
    </w:p>
    <w:p>
      <w:pPr>
        <w:keepNext/>
        <w:spacing w:after="120" w:before="260" w:line="240"/>
        <w:outlineLvl w:val="1"/>
      </w:pPr>
      <w:r>
        <w:rPr>
          <w:rFonts w:ascii="Space Grotesk SemiBold" w:cs="Space Grotesk SemiBold" w:eastAsia="Space Grotesk SemiBold" w:hAnsi="Space Grotesk SemiBold"/>
          <w:b/>
          <w:bCs/>
          <w:i w:val="false"/>
          <w:iCs w:val="false"/>
          <w:color w:val="0B0D0B"/>
          <w:sz w:val="24"/>
          <w:szCs w:val="24"/>
        </w:rPr>
        <w:t xml:space="preserve">4.3  Sklik (Seznam.cz) — doplňkový kanál</w:t>
      </w:r>
    </w:p>
    <w:p>
      <w:pPr>
        <w:keepLines/>
        <w:spacing w:after="130" w:before="0" w:line="268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B0D0B"/>
          <w:sz w:val="21"/>
          <w:szCs w:val="21"/>
        </w:rPr>
        <w:t xml:space="preserve">Sklik má v B2B segmentu v ČR menší dosah než Google, ale pro niche průmyslové fráze může doplnit pokrytí při nižších CPC:</w:t>
      </w:r>
    </w:p>
    <w:tbl>
      <w:tblPr>
        <w:tblW w:type="dxa" w:w="9638"/>
        <w:tblBorders>
          <w:top w:val="single" w:color="E4E6E4" w:sz="4"/>
          <w:left w:val="single" w:color="E4E6E4" w:sz="4"/>
          <w:bottom w:val="single" w:color="E4E6E4" w:sz="4"/>
          <w:right w:val="single" w:color="E4E6E4" w:sz="4"/>
          <w:insideH w:val="single" w:color="E4E6E4" w:sz="4"/>
          <w:insideV w:val="single" w:color="E4E6E4" w:sz="4"/>
        </w:tblBorders>
      </w:tblPr>
      <w:tblGrid>
        <w:gridCol w:w="3200"/>
        <w:gridCol w:w="2200"/>
        <w:gridCol w:w="4238"/>
      </w:tblGrid>
      <w:tr>
        <w:trPr>
          <w:tblHeader/>
        </w:trPr>
        <w:tc>
          <w:tcPr>
            <w:tcW w:type="dxa" w:w="3200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Fráze</w:t>
            </w:r>
          </w:p>
        </w:tc>
        <w:tc>
          <w:tcPr>
            <w:tcW w:type="dxa" w:w="2200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Sklik CPC (Kč)</w:t>
            </w:r>
          </w:p>
        </w:tc>
        <w:tc>
          <w:tcPr>
            <w:tcW w:type="dxa" w:w="4238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Poznámka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Průmyslová tepelná čerpadla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24,40 Kč</w:t>
            </w:r>
          </w:p>
        </w:tc>
        <w:tc>
          <w:tcPr>
            <w:tcW w:type="dxa" w:w="42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Výrazně nižší než Google</w:t>
            </w:r>
          </w:p>
        </w:tc>
      </w:tr>
      <w:tr>
        <w:tc>
          <w:tcPr>
            <w:tcW w:type="dxa" w:w="32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Průmyslová vzduchotechnika</w:t>
            </w:r>
          </w:p>
        </w:tc>
        <w:tc>
          <w:tcPr>
            <w:tcW w:type="dxa" w:w="22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7,80 Kč</w:t>
            </w:r>
          </w:p>
        </w:tc>
        <w:tc>
          <w:tcPr>
            <w:tcW w:type="dxa" w:w="4238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Velmi nízké CPC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Průmyslové chlazení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2,83 Kč</w:t>
            </w:r>
          </w:p>
        </w:tc>
        <w:tc>
          <w:tcPr>
            <w:tcW w:type="dxa" w:w="42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Velmi nízké CPC</w:t>
            </w:r>
          </w:p>
        </w:tc>
      </w:tr>
      <w:tr>
        <w:tc>
          <w:tcPr>
            <w:tcW w:type="dxa" w:w="32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Vytápění průmyslových hal</w:t>
            </w:r>
          </w:p>
        </w:tc>
        <w:tc>
          <w:tcPr>
            <w:tcW w:type="dxa" w:w="22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0 Kč (neměřeno)</w:t>
            </w:r>
          </w:p>
        </w:tc>
        <w:tc>
          <w:tcPr>
            <w:tcW w:type="dxa" w:w="4238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Přidat do testování</w:t>
            </w:r>
          </w:p>
        </w:tc>
      </w:tr>
    </w:tbl>
    <w:p>
      <w:pPr>
        <w:keepLines/>
        <w:spacing w:after="130" w:before="140" w:line="268"/>
      </w:pPr>
      <w:r>
        <w:rPr>
          <w:rFonts w:ascii="Inter SemiBold" w:cs="Inter SemiBold" w:eastAsia="Inter SemiBold" w:hAnsi="Inter SemiBold"/>
          <w:b/>
          <w:bCs/>
          <w:i w:val="false"/>
          <w:iCs w:val="false"/>
          <w:color w:val="0B0D0B"/>
          <w:sz w:val="21"/>
          <w:szCs w:val="21"/>
        </w:rPr>
        <w:t xml:space="preserve">Doporučení Sklik: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0B0D0B"/>
          <w:sz w:val="21"/>
          <w:szCs w:val="21"/>
        </w:rPr>
        <w:t xml:space="preserve">Přidat Sklik jako sekundární kanál s budgetem 3–5 tis. Kč/měs. Nižší CPC umožní sbírat data a poptávky za příznivější cenu, zejm. u tepelných čerpadel.</w:t>
      </w:r>
    </w:p>
    <w:p>
      <w:pPr>
        <w:keepNext/>
        <w:spacing w:after="120" w:before="260" w:line="240"/>
        <w:outlineLvl w:val="1"/>
      </w:pPr>
      <w:r>
        <w:rPr>
          <w:rFonts w:ascii="Space Grotesk SemiBold" w:cs="Space Grotesk SemiBold" w:eastAsia="Space Grotesk SemiBold" w:hAnsi="Space Grotesk SemiBold"/>
          <w:b/>
          <w:bCs/>
          <w:i w:val="false"/>
          <w:iCs w:val="false"/>
          <w:color w:val="0B0D0B"/>
          <w:sz w:val="24"/>
          <w:szCs w:val="24"/>
        </w:rPr>
        <w:t xml:space="preserve">4.4  Co je potřeba před spuštěním PPC</w:t>
      </w:r>
    </w:p>
    <w:p>
      <w:pPr>
        <w:pStyle w:val="ListParagraph"/>
        <w:keepLines/>
        <w:numPr>
          <w:ilvl w:val="0"/>
          <w:numId w:val="2"/>
        </w:numPr>
        <w:spacing w:after="90" w:before="0" w:line="264"/>
      </w:pPr>
      <w:r>
        <w:rPr>
          <w:rFonts w:ascii="Inter SemiBold" w:cs="Inter SemiBold" w:eastAsia="Inter SemiBold" w:hAnsi="Inter SemiBold"/>
          <w:b/>
          <w:bCs/>
          <w:i w:val="false"/>
          <w:iCs w:val="false"/>
          <w:color w:val="0B0D0B"/>
          <w:sz w:val="21"/>
          <w:szCs w:val="21"/>
        </w:rPr>
        <w:t xml:space="preserve">Konverzní tracking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0B0D0B"/>
          <w:sz w:val="21"/>
          <w:szCs w:val="21"/>
        </w:rPr>
        <w:t xml:space="preserve"> — Google Tag Manager + GA4 + cíle (odeslání formuláře, klik na telefon).</w:t>
      </w:r>
    </w:p>
    <w:p>
      <w:pPr>
        <w:pStyle w:val="ListParagraph"/>
        <w:keepLines/>
        <w:numPr>
          <w:ilvl w:val="0"/>
          <w:numId w:val="2"/>
        </w:numPr>
        <w:spacing w:after="90" w:before="0" w:line="264"/>
      </w:pPr>
      <w:r>
        <w:rPr>
          <w:rFonts w:ascii="Inter SemiBold" w:cs="Inter SemiBold" w:eastAsia="Inter SemiBold" w:hAnsi="Inter SemiBold"/>
          <w:b/>
          <w:bCs/>
          <w:i w:val="false"/>
          <w:iCs w:val="false"/>
          <w:color w:val="0B0D0B"/>
          <w:sz w:val="21"/>
          <w:szCs w:val="21"/>
        </w:rPr>
        <w:t xml:space="preserve">Landing pages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0B0D0B"/>
          <w:sz w:val="21"/>
          <w:szCs w:val="21"/>
        </w:rPr>
        <w:t xml:space="preserve"> — doplnit nebo optimalizovat stránky služeb (vytápění hal, vzduchotechnika, tepelná čerpadla, čisté prostory) s jasnou výzvou k akci.</w:t>
      </w:r>
    </w:p>
    <w:p>
      <w:pPr>
        <w:pStyle w:val="ListParagraph"/>
        <w:keepLines/>
        <w:numPr>
          <w:ilvl w:val="0"/>
          <w:numId w:val="2"/>
        </w:numPr>
        <w:spacing w:after="90" w:before="0" w:line="264"/>
      </w:pPr>
      <w:r>
        <w:rPr>
          <w:rFonts w:ascii="Inter SemiBold" w:cs="Inter SemiBold" w:eastAsia="Inter SemiBold" w:hAnsi="Inter SemiBold"/>
          <w:b/>
          <w:bCs/>
          <w:i w:val="false"/>
          <w:iCs w:val="false"/>
          <w:color w:val="0B0D0B"/>
          <w:sz w:val="21"/>
          <w:szCs w:val="21"/>
        </w:rPr>
        <w:t xml:space="preserve">Meta descriptions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0B0D0B"/>
          <w:sz w:val="21"/>
          <w:szCs w:val="21"/>
        </w:rPr>
        <w:t xml:space="preserve"> — doplnit na klíčové stránky (56 % chybí).</w:t>
      </w:r>
    </w:p>
    <w:p>
      <w:pPr>
        <w:pStyle w:val="ListParagraph"/>
        <w:keepLines/>
        <w:numPr>
          <w:ilvl w:val="0"/>
          <w:numId w:val="2"/>
        </w:numPr>
        <w:spacing w:after="90" w:before="0" w:line="264"/>
      </w:pPr>
      <w:r>
        <w:rPr>
          <w:rFonts w:ascii="Inter SemiBold" w:cs="Inter SemiBold" w:eastAsia="Inter SemiBold" w:hAnsi="Inter SemiBold"/>
          <w:b/>
          <w:bCs/>
          <w:i w:val="false"/>
          <w:iCs w:val="false"/>
          <w:color w:val="0B0D0B"/>
          <w:sz w:val="21"/>
          <w:szCs w:val="21"/>
        </w:rPr>
        <w:t xml:space="preserve">Zřízení Google Ads a Sklik účtu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0B0D0B"/>
          <w:sz w:val="21"/>
          <w:szCs w:val="21"/>
        </w:rPr>
        <w:t xml:space="preserve">, nastavení remarketing publika.</w:t>
      </w:r>
    </w:p>
    <w:p>
      <w:pPr>
        <w:keepNext/>
        <w:spacing w:after="70" w:before="300"/>
      </w:pPr>
      <w:r>
        <w:drawing>
          <wp:inline distT="0" distB="0" distL="0" distR="0">
            <wp:extent cx="438150" cy="6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0" w:before="0" w:line="240"/>
        <w:outlineLvl w:val="0"/>
      </w:pPr>
      <w:r>
        <w:rPr>
          <w:rFonts w:ascii="Space Grotesk SemiBold" w:cs="Space Grotesk SemiBold" w:eastAsia="Space Grotesk SemiBold" w:hAnsi="Space Grotesk SemiBold"/>
          <w:b/>
          <w:bCs/>
          <w:i w:val="false"/>
          <w:iCs w:val="false"/>
          <w:color w:val="2E8F00"/>
          <w:sz w:val="30"/>
          <w:szCs w:val="30"/>
        </w:rPr>
        <w:t xml:space="preserve">5.  </w:t>
      </w:r>
      <w:r>
        <w:rPr>
          <w:rFonts w:ascii="Space Grotesk" w:cs="Space Grotesk" w:eastAsia="Space Grotesk" w:hAnsi="Space Grotesk"/>
          <w:b/>
          <w:bCs/>
          <w:i w:val="false"/>
          <w:iCs w:val="false"/>
          <w:color w:val="0B0D0B"/>
          <w:sz w:val="30"/>
          <w:szCs w:val="30"/>
        </w:rPr>
        <w:t xml:space="preserve">SEO — organické vyhledávání</w:t>
      </w:r>
    </w:p>
    <w:p>
      <w:pPr>
        <w:keepNext/>
        <w:spacing w:after="120" w:before="260" w:line="240"/>
        <w:outlineLvl w:val="1"/>
      </w:pPr>
      <w:r>
        <w:rPr>
          <w:rFonts w:ascii="Space Grotesk SemiBold" w:cs="Space Grotesk SemiBold" w:eastAsia="Space Grotesk SemiBold" w:hAnsi="Space Grotesk SemiBold"/>
          <w:b/>
          <w:bCs/>
          <w:i w:val="false"/>
          <w:iCs w:val="false"/>
          <w:color w:val="0B0D0B"/>
          <w:sz w:val="24"/>
          <w:szCs w:val="24"/>
        </w:rPr>
        <w:t xml:space="preserve">5.1  Odůvodnění</w:t>
      </w:r>
    </w:p>
    <w:p>
      <w:pPr>
        <w:keepLines/>
        <w:spacing w:after="130" w:before="0" w:line="268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B0D0B"/>
          <w:sz w:val="21"/>
          <w:szCs w:val="21"/>
        </w:rPr>
        <w:t xml:space="preserve">Přestože hledanost cílových frází je nízká, charakter B2B poptávky znamená, že každé organické umístění na první stránce má vysokou hodnotu. Zákazník, který hledá „TZB projekce průmyslových hal“, má kupní záměr a zakázka může mít hodnotu milionů Kč. Investice do SEO má pozitivní ROI i při relativně nízké hledanosti.</w:t>
      </w:r>
    </w:p>
    <w:p>
      <w:pPr>
        <w:keepNext/>
        <w:spacing w:after="120" w:before="260" w:line="240"/>
        <w:outlineLvl w:val="1"/>
      </w:pPr>
      <w:r>
        <w:rPr>
          <w:rFonts w:ascii="Space Grotesk SemiBold" w:cs="Space Grotesk SemiBold" w:eastAsia="Space Grotesk SemiBold" w:hAnsi="Space Grotesk SemiBold"/>
          <w:b/>
          <w:bCs/>
          <w:i w:val="false"/>
          <w:iCs w:val="false"/>
          <w:color w:val="0B0D0B"/>
          <w:sz w:val="24"/>
          <w:szCs w:val="24"/>
        </w:rPr>
        <w:t xml:space="preserve">5.2  Technické SEO — prioritní opravy</w:t>
      </w:r>
    </w:p>
    <w:tbl>
      <w:tblPr>
        <w:tblW w:type="dxa" w:w="9638"/>
        <w:tblBorders>
          <w:top w:val="single" w:color="E4E6E4" w:sz="4"/>
          <w:left w:val="single" w:color="E4E6E4" w:sz="4"/>
          <w:bottom w:val="single" w:color="E4E6E4" w:sz="4"/>
          <w:right w:val="single" w:color="E4E6E4" w:sz="4"/>
          <w:insideH w:val="single" w:color="E4E6E4" w:sz="4"/>
          <w:insideV w:val="single" w:color="E4E6E4" w:sz="4"/>
        </w:tblBorders>
      </w:tblPr>
      <w:tblGrid>
        <w:gridCol w:w="3000"/>
        <w:gridCol w:w="1500"/>
        <w:gridCol w:w="5138"/>
      </w:tblGrid>
      <w:tr>
        <w:trPr>
          <w:tblHeader/>
        </w:trPr>
        <w:tc>
          <w:tcPr>
            <w:tcW w:type="dxa" w:w="3000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Úkol</w:t>
            </w:r>
          </w:p>
        </w:tc>
        <w:tc>
          <w:tcPr>
            <w:tcW w:type="dxa" w:w="1500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Priorita</w:t>
            </w:r>
          </w:p>
        </w:tc>
        <w:tc>
          <w:tcPr>
            <w:tcW w:type="dxa" w:w="5138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Popis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Doplnit meta descriptions</w:t>
            </w:r>
          </w:p>
        </w:tc>
        <w:tc>
          <w:tcPr>
            <w:tcW w:type="dxa" w:w="1500"/>
            <w:shd w:fill="E9FCE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VYSOKÁ</w:t>
            </w:r>
          </w:p>
        </w:tc>
        <w:tc>
          <w:tcPr>
            <w:tcW w:type="dxa" w:w="51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56 % stránek nemá meta description. Přímý vliv na CTR v SERPu.</w:t>
            </w:r>
          </w:p>
        </w:tc>
      </w:tr>
      <w:tr>
        <w:tc>
          <w:tcPr>
            <w:tcW w:type="dxa" w:w="30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Doplnit canonical tagy</w:t>
            </w:r>
          </w:p>
        </w:tc>
        <w:tc>
          <w:tcPr>
            <w:tcW w:type="dxa" w:w="15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STŘEDNÍ</w:t>
            </w:r>
          </w:p>
        </w:tc>
        <w:tc>
          <w:tcPr>
            <w:tcW w:type="dxa" w:w="5138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73 % stránek bez canonical. Riziko duplicitního obsahu v Google indexu.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Odstranit Lorem ipsum</w:t>
            </w:r>
          </w:p>
        </w:tc>
        <w:tc>
          <w:tcPr>
            <w:tcW w:type="dxa" w:w="1500"/>
            <w:shd w:fill="E9FCE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KRITICKÁ</w:t>
            </w:r>
          </w:p>
        </w:tc>
        <w:tc>
          <w:tcPr>
            <w:tcW w:type="dxa" w:w="51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Placeholder text na 2,4 % stránek. Okamžitě opravit.</w:t>
            </w:r>
          </w:p>
        </w:tc>
      </w:tr>
      <w:tr>
        <w:tc>
          <w:tcPr>
            <w:tcW w:type="dxa" w:w="30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Přidat H2 nadpisy</w:t>
            </w:r>
          </w:p>
        </w:tc>
        <w:tc>
          <w:tcPr>
            <w:tcW w:type="dxa" w:w="15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NÍZKÁ</w:t>
            </w:r>
          </w:p>
        </w:tc>
        <w:tc>
          <w:tcPr>
            <w:tcW w:type="dxa" w:w="5138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43,9 % stránek bez H2. Pomáhá strukturovat obsah pro Google i uživatele.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Doplnit alt texty obrázků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NÍZKÁ</w:t>
            </w:r>
          </w:p>
        </w:tc>
        <w:tc>
          <w:tcPr>
            <w:tcW w:type="dxa" w:w="51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34,3 % obrázků bez alt textu. Dostupnost + SEO.</w:t>
            </w:r>
          </w:p>
        </w:tc>
      </w:tr>
      <w:tr>
        <w:tc>
          <w:tcPr>
            <w:tcW w:type="dxa" w:w="30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Implementovat structured data (JSON-LD)</w:t>
            </w:r>
          </w:p>
        </w:tc>
        <w:tc>
          <w:tcPr>
            <w:tcW w:type="dxa" w:w="15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STŘEDNÍ</w:t>
            </w:r>
          </w:p>
        </w:tc>
        <w:tc>
          <w:tcPr>
            <w:tcW w:type="dxa" w:w="5138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Organization, LocalBusiness, Service schema. Pomáhá rich snippets.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Zkontrolovat noindex stránky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STŘEDNÍ</w:t>
            </w:r>
          </w:p>
        </w:tc>
        <w:tc>
          <w:tcPr>
            <w:tcW w:type="dxa" w:w="51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9,5 % stránek má noindex. Ověřit záměrnost.</w:t>
            </w:r>
          </w:p>
        </w:tc>
      </w:tr>
    </w:tbl>
    <w:p>
      <w:pPr>
        <w:keepNext/>
        <w:spacing w:after="120" w:before="260" w:line="240"/>
        <w:outlineLvl w:val="1"/>
      </w:pPr>
      <w:r>
        <w:rPr>
          <w:rFonts w:ascii="Space Grotesk SemiBold" w:cs="Space Grotesk SemiBold" w:eastAsia="Space Grotesk SemiBold" w:hAnsi="Space Grotesk SemiBold"/>
          <w:b/>
          <w:bCs/>
          <w:i w:val="false"/>
          <w:iCs w:val="false"/>
          <w:color w:val="0B0D0B"/>
          <w:sz w:val="24"/>
          <w:szCs w:val="24"/>
        </w:rPr>
        <w:t xml:space="preserve">5.3  Obsahová strategie — nové landing pages</w:t>
      </w:r>
    </w:p>
    <w:p>
      <w:pPr>
        <w:keepLines/>
        <w:spacing w:after="130" w:before="0" w:line="268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B0D0B"/>
          <w:sz w:val="21"/>
          <w:szCs w:val="21"/>
        </w:rPr>
        <w:t xml:space="preserve">Největší SEO příležitostí je tvorba dedikovaných stránek pro každou hlavní službu s dostatečným objemem textu (800–1 200 slov) a zaměřením na cílové klíčové slovo. Stávající stránky jsou příliš generické nebo mají nízký počet slov.</w:t>
      </w:r>
    </w:p>
    <w:tbl>
      <w:tblPr>
        <w:tblW w:type="dxa" w:w="9638"/>
        <w:tblBorders>
          <w:top w:val="single" w:color="E4E6E4" w:sz="4"/>
          <w:left w:val="single" w:color="E4E6E4" w:sz="4"/>
          <w:bottom w:val="single" w:color="E4E6E4" w:sz="4"/>
          <w:right w:val="single" w:color="E4E6E4" w:sz="4"/>
          <w:insideH w:val="single" w:color="E4E6E4" w:sz="4"/>
          <w:insideV w:val="single" w:color="E4E6E4" w:sz="4"/>
        </w:tblBorders>
      </w:tblPr>
      <w:tblGrid>
        <w:gridCol w:w="3800"/>
        <w:gridCol w:w="3400"/>
        <w:gridCol w:w="2438"/>
      </w:tblGrid>
      <w:tr>
        <w:trPr>
          <w:tblHeader/>
        </w:trPr>
        <w:tc>
          <w:tcPr>
            <w:tcW w:type="dxa" w:w="3800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Stránka / URL (návrh)</w:t>
            </w:r>
          </w:p>
        </w:tc>
        <w:tc>
          <w:tcPr>
            <w:tcW w:type="dxa" w:w="3400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Cílové KW</w:t>
            </w:r>
          </w:p>
        </w:tc>
        <w:tc>
          <w:tcPr>
            <w:tcW w:type="dxa" w:w="2438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Priorita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 Medium" w:cs="Inter Medium" w:eastAsia="Inter Medium" w:hAnsi="Inter Medium"/>
                <w:b w:val="false"/>
                <w:bCs w:val="false"/>
                <w:i w:val="false"/>
                <w:iCs w:val="false"/>
                <w:color w:val="2E8F00"/>
                <w:sz w:val="18"/>
                <w:szCs w:val="18"/>
              </w:rPr>
              <w:t xml:space="preserve">/vytapeni-prumyslovych-hal/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Vytápění průmyslových hal</w:t>
            </w:r>
          </w:p>
        </w:tc>
        <w:tc>
          <w:tcPr>
            <w:tcW w:type="dxa" w:w="2438"/>
            <w:shd w:fill="E9FCE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1 — nejvyšší</w:t>
            </w:r>
          </w:p>
        </w:tc>
      </w:tr>
      <w:tr>
        <w:tc>
          <w:tcPr>
            <w:tcW w:type="dxa" w:w="38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 Medium" w:cs="Inter Medium" w:eastAsia="Inter Medium" w:hAnsi="Inter Medium"/>
                <w:b w:val="false"/>
                <w:bCs w:val="false"/>
                <w:i w:val="false"/>
                <w:iCs w:val="false"/>
                <w:color w:val="2E8F00"/>
                <w:sz w:val="18"/>
                <w:szCs w:val="18"/>
              </w:rPr>
              <w:t xml:space="preserve">/vzduchotechnika-prumyslovych-hal/</w:t>
            </w:r>
          </w:p>
        </w:tc>
        <w:tc>
          <w:tcPr>
            <w:tcW w:type="dxa" w:w="34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Vzduchotechnika průmyslových hal</w:t>
            </w:r>
          </w:p>
        </w:tc>
        <w:tc>
          <w:tcPr>
            <w:tcW w:type="dxa" w:w="2438"/>
            <w:shd w:fill="E9FCE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1 — nejvyšší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 Medium" w:cs="Inter Medium" w:eastAsia="Inter Medium" w:hAnsi="Inter Medium"/>
                <w:b w:val="false"/>
                <w:bCs w:val="false"/>
                <w:i w:val="false"/>
                <w:iCs w:val="false"/>
                <w:color w:val="2E8F00"/>
                <w:sz w:val="18"/>
                <w:szCs w:val="18"/>
              </w:rPr>
              <w:t xml:space="preserve">/prumyslova-tepelna-cerpadla/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Průmyslová tepelná čerpadla</w:t>
            </w:r>
          </w:p>
        </w:tc>
        <w:tc>
          <w:tcPr>
            <w:tcW w:type="dxa" w:w="24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2 — vysoká</w:t>
            </w:r>
          </w:p>
        </w:tc>
      </w:tr>
      <w:tr>
        <w:tc>
          <w:tcPr>
            <w:tcW w:type="dxa" w:w="38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 Medium" w:cs="Inter Medium" w:eastAsia="Inter Medium" w:hAnsi="Inter Medium"/>
                <w:b w:val="false"/>
                <w:bCs w:val="false"/>
                <w:i w:val="false"/>
                <w:iCs w:val="false"/>
                <w:color w:val="2E8F00"/>
                <w:sz w:val="18"/>
                <w:szCs w:val="18"/>
              </w:rPr>
              <w:t xml:space="preserve">/prumyslove-chlazeni/</w:t>
            </w:r>
          </w:p>
        </w:tc>
        <w:tc>
          <w:tcPr>
            <w:tcW w:type="dxa" w:w="34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Průmyslové chlazení</w:t>
            </w:r>
          </w:p>
        </w:tc>
        <w:tc>
          <w:tcPr>
            <w:tcW w:type="dxa" w:w="2438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2 — vysoká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 Medium" w:cs="Inter Medium" w:eastAsia="Inter Medium" w:hAnsi="Inter Medium"/>
                <w:b w:val="false"/>
                <w:bCs w:val="false"/>
                <w:i w:val="false"/>
                <w:iCs w:val="false"/>
                <w:color w:val="2E8F00"/>
                <w:sz w:val="18"/>
                <w:szCs w:val="18"/>
              </w:rPr>
              <w:t xml:space="preserve">/realizace-cistych-prostor/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Realizace čistých prostor</w:t>
            </w:r>
          </w:p>
        </w:tc>
        <w:tc>
          <w:tcPr>
            <w:tcW w:type="dxa" w:w="24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3 — střední</w:t>
            </w:r>
          </w:p>
        </w:tc>
      </w:tr>
      <w:tr>
        <w:tc>
          <w:tcPr>
            <w:tcW w:type="dxa" w:w="38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 Medium" w:cs="Inter Medium" w:eastAsia="Inter Medium" w:hAnsi="Inter Medium"/>
                <w:b w:val="false"/>
                <w:bCs w:val="false"/>
                <w:i w:val="false"/>
                <w:iCs w:val="false"/>
                <w:color w:val="2E8F00"/>
                <w:sz w:val="18"/>
                <w:szCs w:val="18"/>
              </w:rPr>
              <w:t xml:space="preserve">/dekarbonizace-vytapeni/</w:t>
            </w:r>
          </w:p>
        </w:tc>
        <w:tc>
          <w:tcPr>
            <w:tcW w:type="dxa" w:w="34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Dekarbonizace vytápění</w:t>
            </w:r>
          </w:p>
        </w:tc>
        <w:tc>
          <w:tcPr>
            <w:tcW w:type="dxa" w:w="2438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3 — střední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 Medium" w:cs="Inter Medium" w:eastAsia="Inter Medium" w:hAnsi="Inter Medium"/>
                <w:b w:val="false"/>
                <w:bCs w:val="false"/>
                <w:i w:val="false"/>
                <w:iCs w:val="false"/>
                <w:color w:val="2E8F00"/>
                <w:sz w:val="18"/>
                <w:szCs w:val="18"/>
              </w:rPr>
              <w:t xml:space="preserve">/tzb-projekce-prumyslovych-hal/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TZB projekce průmyslových hal</w:t>
            </w:r>
          </w:p>
        </w:tc>
        <w:tc>
          <w:tcPr>
            <w:tcW w:type="dxa" w:w="24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3 — střední</w:t>
            </w:r>
          </w:p>
        </w:tc>
      </w:tr>
      <w:tr>
        <w:tc>
          <w:tcPr>
            <w:tcW w:type="dxa" w:w="38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 Medium" w:cs="Inter Medium" w:eastAsia="Inter Medium" w:hAnsi="Inter Medium"/>
                <w:b w:val="false"/>
                <w:bCs w:val="false"/>
                <w:i w:val="false"/>
                <w:iCs w:val="false"/>
                <w:color w:val="2E8F00"/>
                <w:sz w:val="18"/>
                <w:szCs w:val="18"/>
              </w:rPr>
              <w:t xml:space="preserve">/design-build-tzb/</w:t>
            </w:r>
          </w:p>
        </w:tc>
        <w:tc>
          <w:tcPr>
            <w:tcW w:type="dxa" w:w="34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Design and build TZB</w:t>
            </w:r>
          </w:p>
        </w:tc>
        <w:tc>
          <w:tcPr>
            <w:tcW w:type="dxa" w:w="2438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4 — doplňková</w:t>
            </w:r>
          </w:p>
        </w:tc>
      </w:tr>
    </w:tbl>
    <w:p>
      <w:pPr>
        <w:keepNext/>
        <w:spacing w:after="120" w:before="260" w:line="240"/>
        <w:outlineLvl w:val="1"/>
      </w:pPr>
      <w:r>
        <w:rPr>
          <w:rFonts w:ascii="Space Grotesk SemiBold" w:cs="Space Grotesk SemiBold" w:eastAsia="Space Grotesk SemiBold" w:hAnsi="Space Grotesk SemiBold"/>
          <w:b/>
          <w:bCs/>
          <w:i w:val="false"/>
          <w:iCs w:val="false"/>
          <w:color w:val="0B0D0B"/>
          <w:sz w:val="24"/>
          <w:szCs w:val="24"/>
        </w:rPr>
        <w:t xml:space="preserve">5.4  Budování zpětných odkazů</w:t>
      </w:r>
    </w:p>
    <w:p>
      <w:pPr>
        <w:keepLines/>
        <w:spacing w:after="130" w:before="0" w:line="268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B0D0B"/>
          <w:sz w:val="21"/>
          <w:szCs w:val="21"/>
        </w:rPr>
        <w:t xml:space="preserve">Backlink profil je slabý. Pro dosažení první stránky u konkurenčních frází bude potřeba aktivní link building:</w:t>
      </w:r>
    </w:p>
    <w:p>
      <w:pPr>
        <w:pStyle w:val="ListParagraph"/>
        <w:keepLines/>
        <w:numPr>
          <w:ilvl w:val="0"/>
          <w:numId w:val="3"/>
        </w:numPr>
        <w:spacing w:after="70" w:before="0" w:line="264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B0D0B"/>
          <w:sz w:val="21"/>
          <w:szCs w:val="21"/>
        </w:rPr>
        <w:t xml:space="preserve">Zápis do oborových katalogů: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0B0D0B"/>
          <w:sz w:val="21"/>
          <w:szCs w:val="21"/>
        </w:rPr>
        <w:t xml:space="preserve">TZB-info.cz (profil je, rozšířit), CZrg.eu, Stavebniserver.com, Firmy.cz, Zivefirmy.cz.</w:t>
      </w:r>
    </w:p>
    <w:p>
      <w:pPr>
        <w:pStyle w:val="ListParagraph"/>
        <w:keepLines/>
        <w:numPr>
          <w:ilvl w:val="0"/>
          <w:numId w:val="3"/>
        </w:numPr>
        <w:spacing w:after="70" w:before="0" w:line="264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B0D0B"/>
          <w:sz w:val="21"/>
          <w:szCs w:val="21"/>
        </w:rPr>
        <w:t xml:space="preserve">PR články v odborných médiích: TZB-info.cz, stavebnictvi-architektura.cz, prumyslslovaktech.cz.</w:t>
      </w:r>
    </w:p>
    <w:p>
      <w:pPr>
        <w:pStyle w:val="ListParagraph"/>
        <w:keepLines/>
        <w:numPr>
          <w:ilvl w:val="0"/>
          <w:numId w:val="3"/>
        </w:numPr>
        <w:spacing w:after="70" w:before="0" w:line="264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B0D0B"/>
          <w:sz w:val="21"/>
          <w:szCs w:val="21"/>
        </w:rPr>
        <w:t xml:space="preserve">Partnerské spolupráce: zákazníci, dodavatelé, projektanti — odkaz z jejich referencí/partnerů.</w:t>
      </w:r>
    </w:p>
    <w:p>
      <w:pPr>
        <w:pStyle w:val="ListParagraph"/>
        <w:keepLines/>
        <w:numPr>
          <w:ilvl w:val="0"/>
          <w:numId w:val="3"/>
        </w:numPr>
        <w:spacing w:after="70" w:before="0" w:line="264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B0D0B"/>
          <w:sz w:val="21"/>
          <w:szCs w:val="21"/>
        </w:rPr>
        <w:t xml:space="preserve">Případové studie a reference na vlastním webu s bohatým popisem projektu (přirozený linkbait).</w:t>
      </w:r>
    </w:p>
    <w:p>
      <w:pPr>
        <w:pStyle w:val="ListParagraph"/>
        <w:keepLines/>
        <w:numPr>
          <w:ilvl w:val="0"/>
          <w:numId w:val="3"/>
        </w:numPr>
        <w:spacing w:after="70" w:before="0" w:line="264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B0D0B"/>
          <w:sz w:val="21"/>
          <w:szCs w:val="21"/>
        </w:rPr>
        <w:t xml:space="preserve">Registrace do Genesis Capital / investor PR — zpětné odkazy z webu investora jsou již aktivní.</w:t>
      </w:r>
    </w:p>
    <w:p>
      <w:pPr>
        <w:keepNext/>
        <w:spacing w:after="120" w:before="260" w:line="240"/>
        <w:outlineLvl w:val="1"/>
      </w:pPr>
      <w:r>
        <w:rPr>
          <w:rFonts w:ascii="Space Grotesk SemiBold" w:cs="Space Grotesk SemiBold" w:eastAsia="Space Grotesk SemiBold" w:hAnsi="Space Grotesk SemiBold"/>
          <w:b/>
          <w:bCs/>
          <w:i w:val="false"/>
          <w:iCs w:val="false"/>
          <w:color w:val="0B0D0B"/>
          <w:sz w:val="24"/>
          <w:szCs w:val="24"/>
        </w:rPr>
        <w:t xml:space="preserve">5.5  Časový plán a očekávání</w:t>
      </w:r>
    </w:p>
    <w:tbl>
      <w:tblPr>
        <w:tblW w:type="dxa" w:w="9638"/>
        <w:tblBorders>
          <w:top w:val="single" w:color="E4E6E4" w:sz="4"/>
          <w:left w:val="single" w:color="E4E6E4" w:sz="4"/>
          <w:bottom w:val="single" w:color="E4E6E4" w:sz="4"/>
          <w:right w:val="single" w:color="E4E6E4" w:sz="4"/>
          <w:insideH w:val="single" w:color="E4E6E4" w:sz="4"/>
          <w:insideV w:val="single" w:color="E4E6E4" w:sz="4"/>
        </w:tblBorders>
      </w:tblPr>
      <w:tblGrid>
        <w:gridCol w:w="900"/>
        <w:gridCol w:w="3200"/>
        <w:gridCol w:w="5538"/>
      </w:tblGrid>
      <w:tr>
        <w:trPr>
          <w:tblHeader/>
        </w:trPr>
        <w:tc>
          <w:tcPr>
            <w:tcW w:type="dxa" w:w="900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Fáze</w:t>
            </w:r>
          </w:p>
        </w:tc>
        <w:tc>
          <w:tcPr>
            <w:tcW w:type="dxa" w:w="3200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Časový horizont</w:t>
            </w:r>
          </w:p>
        </w:tc>
        <w:tc>
          <w:tcPr>
            <w:tcW w:type="dxa" w:w="5538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Očekávané výsledky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Měsíc 1–2: Technické SEO + tracking</w:t>
            </w:r>
          </w:p>
        </w:tc>
        <w:tc>
          <w:tcPr>
            <w:tcW w:type="dxa" w:w="55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Opravy meta, canonical, Lorem ipsum, structured data, GA4 tracking.</w:t>
            </w:r>
          </w:p>
        </w:tc>
      </w:tr>
      <w:tr>
        <w:tc>
          <w:tcPr>
            <w:tcW w:type="dxa" w:w="9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Měsíc 2–4: Nový obsah (první 4 LP)</w:t>
            </w:r>
          </w:p>
        </w:tc>
        <w:tc>
          <w:tcPr>
            <w:tcW w:type="dxa" w:w="5538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Vytvoření landing pages pro top fráze, optimalizace stávajících stránek.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Měsíc 3–6: Link building + zbývající LP</w:t>
            </w:r>
          </w:p>
        </w:tc>
        <w:tc>
          <w:tcPr>
            <w:tcW w:type="dxa" w:w="55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Oborové zápisy, PR, partnerské odkazy, 4 další landing pages.</w:t>
            </w:r>
          </w:p>
        </w:tc>
      </w:tr>
      <w:tr>
        <w:tc>
          <w:tcPr>
            <w:tcW w:type="dxa" w:w="9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Měsíc 6–12: Konsolidace + měření</w:t>
            </w:r>
          </w:p>
        </w:tc>
        <w:tc>
          <w:tcPr>
            <w:tcW w:type="dxa" w:w="5538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První organické kliky z neznačkových frází, průběžná optimalizace.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Měsíc 12+: Škálování</w:t>
            </w:r>
          </w:p>
        </w:tc>
        <w:tc>
          <w:tcPr>
            <w:tcW w:type="dxa" w:w="55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Rozšíření obsahu, blog/case studies, pokračování link buildingu.</w:t>
            </w:r>
          </w:p>
        </w:tc>
      </w:tr>
    </w:tbl>
    <w:p>
      <w:pPr>
        <w:keepNext/>
        <w:spacing w:after="70" w:before="300"/>
      </w:pPr>
      <w:r>
        <w:drawing>
          <wp:inline distT="0" distB="0" distL="0" distR="0">
            <wp:extent cx="438150" cy="6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0" w:before="0" w:line="240"/>
        <w:outlineLvl w:val="0"/>
      </w:pPr>
      <w:r>
        <w:rPr>
          <w:rFonts w:ascii="Space Grotesk SemiBold" w:cs="Space Grotesk SemiBold" w:eastAsia="Space Grotesk SemiBold" w:hAnsi="Space Grotesk SemiBold"/>
          <w:b/>
          <w:bCs/>
          <w:i w:val="false"/>
          <w:iCs w:val="false"/>
          <w:color w:val="2E8F00"/>
          <w:sz w:val="30"/>
          <w:szCs w:val="30"/>
        </w:rPr>
        <w:t xml:space="preserve">6.  </w:t>
      </w:r>
      <w:r>
        <w:rPr>
          <w:rFonts w:ascii="Space Grotesk" w:cs="Space Grotesk" w:eastAsia="Space Grotesk" w:hAnsi="Space Grotesk"/>
          <w:b/>
          <w:bCs/>
          <w:i w:val="false"/>
          <w:iCs w:val="false"/>
          <w:color w:val="0B0D0B"/>
          <w:sz w:val="30"/>
          <w:szCs w:val="30"/>
        </w:rPr>
        <w:t xml:space="preserve">Doporučení a další kroky</w:t>
      </w:r>
    </w:p>
    <w:p>
      <w:pPr>
        <w:keepNext/>
        <w:spacing w:after="120" w:before="260" w:line="240"/>
        <w:outlineLvl w:val="1"/>
      </w:pPr>
      <w:r>
        <w:rPr>
          <w:rFonts w:ascii="Space Grotesk SemiBold" w:cs="Space Grotesk SemiBold" w:eastAsia="Space Grotesk SemiBold" w:hAnsi="Space Grotesk SemiBold"/>
          <w:b/>
          <w:bCs/>
          <w:i w:val="false"/>
          <w:iCs w:val="false"/>
          <w:color w:val="0B0D0B"/>
          <w:sz w:val="24"/>
          <w:szCs w:val="24"/>
        </w:rPr>
        <w:t xml:space="preserve">6.1  Souběžná strategie PPC + SEO</w:t>
      </w:r>
    </w:p>
    <w:p>
      <w:pPr>
        <w:keepLines/>
        <w:spacing w:after="130" w:before="0" w:line="268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B0D0B"/>
          <w:sz w:val="21"/>
          <w:szCs w:val="21"/>
        </w:rPr>
        <w:t xml:space="preserve">Doporučujeme spustit oba kanály souběžně, protože plní různé funkce a vzájemně se doplňují:</w:t>
      </w:r>
    </w:p>
    <w:p>
      <w:pPr>
        <w:pStyle w:val="ListParagraph"/>
        <w:keepLines/>
        <w:numPr>
          <w:ilvl w:val="0"/>
          <w:numId w:val="3"/>
        </w:numPr>
        <w:spacing w:after="70" w:before="0" w:line="264"/>
      </w:pPr>
      <w:r>
        <w:rPr>
          <w:rFonts w:ascii="Inter SemiBold" w:cs="Inter SemiBold" w:eastAsia="Inter SemiBold" w:hAnsi="Inter SemiBold"/>
          <w:b/>
          <w:bCs/>
          <w:i w:val="false"/>
          <w:iCs w:val="false"/>
          <w:color w:val="2E8F00"/>
          <w:sz w:val="21"/>
          <w:szCs w:val="21"/>
        </w:rPr>
        <w:t xml:space="preserve">PPC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0B0D0B"/>
          <w:sz w:val="21"/>
          <w:szCs w:val="21"/>
        </w:rPr>
        <w:t xml:space="preserve"> přinese okamžitou viditelnost a sběr dat o tom, která klíčová slova a texty reklam reálně konvertují na poptávku.</w:t>
      </w:r>
    </w:p>
    <w:p>
      <w:pPr>
        <w:pStyle w:val="ListParagraph"/>
        <w:keepLines/>
        <w:numPr>
          <w:ilvl w:val="0"/>
          <w:numId w:val="3"/>
        </w:numPr>
        <w:spacing w:after="70" w:before="0" w:line="264"/>
      </w:pPr>
      <w:r>
        <w:rPr>
          <w:rFonts w:ascii="Inter SemiBold" w:cs="Inter SemiBold" w:eastAsia="Inter SemiBold" w:hAnsi="Inter SemiBold"/>
          <w:b/>
          <w:bCs/>
          <w:i w:val="false"/>
          <w:iCs w:val="false"/>
          <w:color w:val="2E8F00"/>
          <w:sz w:val="21"/>
          <w:szCs w:val="21"/>
        </w:rPr>
        <w:t xml:space="preserve">SEO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0B0D0B"/>
          <w:sz w:val="21"/>
          <w:szCs w:val="21"/>
        </w:rPr>
        <w:t xml:space="preserve"> buduje dlouhodobý organický základ, který v horizontu 12 měsíců sníží závislost na placených kampaních.</w:t>
      </w:r>
    </w:p>
    <w:p>
      <w:pPr>
        <w:pStyle w:val="ListParagraph"/>
        <w:keepLines/>
        <w:numPr>
          <w:ilvl w:val="0"/>
          <w:numId w:val="3"/>
        </w:numPr>
        <w:spacing w:after="70" w:before="0" w:line="264"/>
      </w:pPr>
      <w:r>
        <w:rPr>
          <w:rFonts w:ascii="Inter SemiBold" w:cs="Inter SemiBold" w:eastAsia="Inter SemiBold" w:hAnsi="Inter SemiBold"/>
          <w:b/>
          <w:bCs/>
          <w:i w:val="false"/>
          <w:iCs w:val="false"/>
          <w:color w:val="2E8F00"/>
          <w:sz w:val="21"/>
          <w:szCs w:val="21"/>
        </w:rPr>
        <w:t xml:space="preserve">PPC data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0B0D0B"/>
          <w:sz w:val="21"/>
          <w:szCs w:val="21"/>
        </w:rPr>
        <w:t xml:space="preserve"> zpřesní prioritizaci obsahu pro SEO — zaměříme se na stránky, které reálně generují lead, ne jen kliknutí.</w:t>
      </w:r>
    </w:p>
    <w:p>
      <w:pPr>
        <w:keepNext/>
        <w:spacing w:after="120" w:before="260" w:line="240"/>
        <w:outlineLvl w:val="1"/>
      </w:pPr>
      <w:r>
        <w:rPr>
          <w:rFonts w:ascii="Space Grotesk SemiBold" w:cs="Space Grotesk SemiBold" w:eastAsia="Space Grotesk SemiBold" w:hAnsi="Space Grotesk SemiBold"/>
          <w:b/>
          <w:bCs/>
          <w:i w:val="false"/>
          <w:iCs w:val="false"/>
          <w:color w:val="0B0D0B"/>
          <w:sz w:val="24"/>
          <w:szCs w:val="24"/>
        </w:rPr>
        <w:t xml:space="preserve">6.2  Doporučený budget (orientační)</w:t>
      </w:r>
    </w:p>
    <w:tbl>
      <w:tblPr>
        <w:tblW w:type="dxa" w:w="9638"/>
        <w:tblBorders>
          <w:top w:val="single" w:color="E4E6E4" w:sz="4"/>
          <w:left w:val="single" w:color="E4E6E4" w:sz="4"/>
          <w:bottom w:val="single" w:color="E4E6E4" w:sz="4"/>
          <w:right w:val="single" w:color="E4E6E4" w:sz="4"/>
          <w:insideH w:val="single" w:color="E4E6E4" w:sz="4"/>
          <w:insideV w:val="single" w:color="E4E6E4" w:sz="4"/>
        </w:tblBorders>
      </w:tblPr>
      <w:tblGrid>
        <w:gridCol w:w="3200"/>
        <w:gridCol w:w="2400"/>
        <w:gridCol w:w="4038"/>
      </w:tblGrid>
      <w:tr>
        <w:trPr>
          <w:tblHeader/>
        </w:trPr>
        <w:tc>
          <w:tcPr>
            <w:tcW w:type="dxa" w:w="3200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Aktivita</w:t>
            </w:r>
          </w:p>
        </w:tc>
        <w:tc>
          <w:tcPr>
            <w:tcW w:type="dxa" w:w="2400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Investice (Kč/měs.)</w:t>
            </w:r>
          </w:p>
        </w:tc>
        <w:tc>
          <w:tcPr>
            <w:tcW w:type="dxa" w:w="4038"/>
            <w:shd w:fill="0B0D0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Space Grotesk SemiBold" w:cs="Space Grotesk SemiBold" w:eastAsia="Space Grotesk SemiBold" w:hAnsi="Space Grotesk SemiBold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Poznámka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PPC — Google Ads budget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15 000–25 000 Kč</w:t>
            </w:r>
          </w:p>
        </w:tc>
        <w:tc>
          <w:tcPr>
            <w:tcW w:type="dxa" w:w="40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Reklamní výdaje</w:t>
            </w:r>
          </w:p>
        </w:tc>
      </w:tr>
      <w:tr>
        <w:tc>
          <w:tcPr>
            <w:tcW w:type="dxa" w:w="32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PPC — Sklik budget</w:t>
            </w:r>
          </w:p>
        </w:tc>
        <w:tc>
          <w:tcPr>
            <w:tcW w:type="dxa" w:w="24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3 000–5 000 Kč</w:t>
            </w:r>
          </w:p>
        </w:tc>
        <w:tc>
          <w:tcPr>
            <w:tcW w:type="dxa" w:w="4038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Doplňkový kanál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PPC správa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??</w:t>
            </w:r>
          </w:p>
        </w:tc>
        <w:tc>
          <w:tcPr>
            <w:tcW w:type="dxa" w:w="40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Nastavení + průběžná správa ~6–10 h</w:t>
            </w:r>
          </w:p>
        </w:tc>
      </w:tr>
      <w:tr>
        <w:tc>
          <w:tcPr>
            <w:tcW w:type="dxa" w:w="32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SEO — tvorba obsahu (8 LP)</w:t>
            </w:r>
          </w:p>
        </w:tc>
        <w:tc>
          <w:tcPr>
            <w:tcW w:type="dxa" w:w="24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20 000–40 000 Kč</w:t>
            </w:r>
          </w:p>
        </w:tc>
        <w:tc>
          <w:tcPr>
            <w:tcW w:type="dxa" w:w="4038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Copywriting + optimalizace stránek = využití Copyboosteru (jednorázově)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SEO — technické opravy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5 000–15 000 Kč</w:t>
            </w:r>
          </w:p>
        </w:tc>
        <w:tc>
          <w:tcPr>
            <w:tcW w:type="dxa" w:w="40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Jednorázově</w:t>
            </w:r>
          </w:p>
        </w:tc>
      </w:tr>
      <w:tr>
        <w:tc>
          <w:tcPr>
            <w:tcW w:type="dxa" w:w="32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SEO průběžná správa</w:t>
            </w:r>
          </w:p>
        </w:tc>
        <w:tc>
          <w:tcPr>
            <w:tcW w:type="dxa" w:w="2400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5 000 Kč/měs.</w:t>
            </w:r>
          </w:p>
        </w:tc>
        <w:tc>
          <w:tcPr>
            <w:tcW w:type="dxa" w:w="4038"/>
            <w:shd w:fill="F8FA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D0B"/>
                <w:sz w:val="18"/>
                <w:szCs w:val="18"/>
              </w:rPr>
              <w:t xml:space="preserve">Monitoring, reporting, nové úpravy</w:t>
            </w:r>
          </w:p>
        </w:tc>
      </w:tr>
      <w:tr>
        <w:tc>
          <w:tcPr>
            <w:tcW w:type="dxa" w:w="3200"/>
            <w:shd w:fill="E9FCE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 SemiBold" w:cs="Inter SemiBold" w:eastAsia="Inter SemiBold" w:hAnsi="Inter SemiBold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CELKEM první 3 měsíce (orientačně)</w:t>
            </w:r>
          </w:p>
        </w:tc>
        <w:tc>
          <w:tcPr>
            <w:tcW w:type="dxa" w:w="2400"/>
            <w:shd w:fill="E9FCE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 SemiBold" w:cs="Inter SemiBold" w:eastAsia="Inter SemiBold" w:hAnsi="Inter SemiBold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cca 60 000–120 000 Kč</w:t>
            </w:r>
          </w:p>
        </w:tc>
        <w:tc>
          <w:tcPr>
            <w:tcW w:type="dxa" w:w="4038"/>
            <w:shd w:fill="E9FCE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Inter SemiBold" w:cs="Inter SemiBold" w:eastAsia="Inter SemiBold" w:hAnsi="Inter SemiBold"/>
                <w:b/>
                <w:bCs/>
                <w:i w:val="false"/>
                <w:iCs w:val="false"/>
                <w:color w:val="0B0D0B"/>
                <w:sz w:val="18"/>
                <w:szCs w:val="18"/>
              </w:rPr>
              <w:t xml:space="preserve">Včetně jednorázových nákladů na obsah a nástroje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418" w:right="1134" w:bottom="1276" w:left="1134" w:header="720" w:footer="6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6E4" w:sz="4" w:space="6"/>
      </w:pBdr>
      <w:tabs>
        <w:tab w:val="right" w:pos="9638"/>
      </w:tabs>
      <w:spacing w:before="40"/>
    </w:pPr>
    <w:r>
      <w:rPr>
        <w:rFonts w:ascii="Inter" w:cs="Inter" w:eastAsia="Inter" w:hAnsi="Inter"/>
        <w:b w:val="false"/>
        <w:bCs w:val="false"/>
        <w:i w:val="false"/>
        <w:iCs w:val="false"/>
        <w:color w:val="828482"/>
        <w:sz w:val="15"/>
        <w:szCs w:val="15"/>
      </w:rPr>
      <w:t xml:space="preserve">AITOM · Indikativní analýza</w:t>
    </w:r>
    <w:r>
      <w:rPr>
        <w:rFonts w:ascii="Inter" w:cs="Inter" w:eastAsia="Inter" w:hAnsi="Inter"/>
      </w:rPr>
      <w:t xml:space="preserve">	</w:t>
    </w:r>
    <w:r>
      <w:rPr>
        <w:rFonts w:ascii="Inter" w:cs="Inter" w:eastAsia="Inter" w:hAnsi="Inter"/>
        <w:b w:val="false"/>
        <w:bCs w:val="false"/>
        <w:i w:val="false"/>
        <w:iCs w:val="false"/>
        <w:color w:val="828482"/>
        <w:sz w:val="15"/>
        <w:szCs w:val="15"/>
      </w:rPr>
      <w:t xml:space="preserve"/>
    </w:r>
    <w:r>
      <w:rPr>
        <w:rFonts w:ascii="Inter" w:cs="Inter" w:eastAsia="Inter" w:hAnsi="Inter"/>
        <w:color w:val="828482"/>
        <w:sz w:val="15"/>
        <w:szCs w:val="15"/>
      </w:rPr>
      <w:t xml:space="preserve">Strana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single" w:color="E4E6E4" w:sz="4"/>
        <w:right w:val="none" w:color="FFFFFF" w:sz="0"/>
        <w:insideH w:val="none" w:color="FFFFFF" w:sz="0"/>
        <w:insideV w:val="none" w:color="FFFFFF" w:sz="0"/>
      </w:tblBorders>
    </w:tblPr>
    <w:tblGrid>
      <w:gridCol w:w="4819"/>
      <w:gridCol w:w="4819"/>
    </w:tblGrid>
    <w:tr>
      <w:tc>
        <w:tcPr>
          <w:tcW w:type="dxa" w:w="481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bottom w:type="dxa" w:w="6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914400" cy="1809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180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bottom w:type="dxa" w:w="60"/>
          </w:tcMar>
          <w:vAlign w:val="center"/>
        </w:tcPr>
        <w:p>
          <w:pPr>
            <w:spacing w:after="0"/>
            <w:jc w:val="right"/>
          </w:pPr>
          <w:r>
            <w:rPr>
              <w:rFonts w:ascii="Inter" w:cs="Inter" w:eastAsia="Inter" w:hAnsi="Inter"/>
              <w:b w:val="false"/>
              <w:bCs w:val="false"/>
              <w:i w:val="false"/>
              <w:iCs w:val="false"/>
              <w:color w:val="828482"/>
              <w:sz w:val="15"/>
              <w:szCs w:val="15"/>
            </w:rPr>
            <w:t xml:space="preserve">SEO &amp; PPC analýza · schulte-group.cz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200"/>
      </w:pPr>
      <w:rPr>
        <w:rFonts w:ascii="Inter" w:cs="Inter" w:eastAsia="Inter" w:hAnsi="Inter"/>
        <w:color w:val="4CE50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  <w:rPr>
        <w:rFonts w:ascii="Space Grotesk SemiBold" w:cs="Space Grotesk SemiBold" w:eastAsia="Space Grotesk SemiBold" w:hAnsi="Space Grotesk SemiBold"/>
        <w:b/>
        <w:bCs/>
        <w:color w:val="2E8F0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B0D0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ec6b7eb2499ea0af25c4bb46435d90182af022e.jpg"/><Relationship Id="rId10" Type="http://schemas.openxmlformats.org/officeDocument/2006/relationships/image" Target="media/81911ca356992fb856e8ed96c7f431e7f3861ffc.png"/><Relationship Id="rId11" Type="http://schemas.openxmlformats.org/officeDocument/2006/relationships/image" Target="media/72af6946a137ba3d345949e36bb027963d8e0193.png"/><Relationship Id="rId12" Type="http://schemas.openxmlformats.org/officeDocument/2006/relationships/image" Target="media/42fbc7c5593d0858d8de9e4b9ba0aebae3135ab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132c8460a0544049c704bb9056f966fd0f19b3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Schulte-group.cz — SEO &amp; PPC analýza</dc:title>
  <dc:creator>AITOM</dc:creator>
  <cp:lastModifiedBy>Un-named</cp:lastModifiedBy>
  <cp:revision>1</cp:revision>
  <dcterms:created xsi:type="dcterms:W3CDTF">2026-08-14T09:39:42.545Z</dcterms:created>
  <dcterms:modified xsi:type="dcterms:W3CDTF">2026-08-14T09:39:42.545Z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