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pagos e ID digital LUFA</w:t>
      </w:r>
    </w:p>
    <w:p>
      <w:pPr>
        <w:spacing w:after="260"/>
      </w:pPr>
      <w:r>
        <w:rPr>
          <w:color w:val="286E7D"/>
          <w:sz w:val="26"/>
        </w:rPr>
        <w:t>Propuesta para fortalecer la identidad, la pertenencia y la operación internacional del fútbol americano</w:t>
      </w:r>
    </w:p>
    <w:p>
      <w:pPr>
        <w:spacing w:after="360"/>
      </w:pPr>
      <w:r>
        <w:rPr>
          <w:b/>
        </w:rPr>
        <w:t>Preparado para LUFA</w:t>
      </w:r>
      <w:r>
        <w:t xml:space="preserve">  |  Documento ejecutivo no técnico</w:t>
      </w:r>
    </w:p>
    <w:p>
      <w:pPr>
        <w:pStyle w:val="Heading1"/>
        <w:keepNext/>
      </w:pPr>
      <w:r>
        <w:t>Resumen ejecutivo</w:t>
      </w:r>
    </w:p>
    <w:p>
      <w:r>
        <w:t>Se propone que LUFA implemente una experiencia unificada en la que cada jugador, coach, juez y organizador cuente con una ID digital verificable, vinculada a su registro institucional y a su situación de afiliación. La obtención y renovación de esa identidad se asociará al pago de la cuota anual y/o semestral del campeonato mediante Mercado Pago.</w:t>
      </w:r>
    </w:p>
    <w:p>
      <w:r>
        <w:t>El resultado esperado es una comunidad mejor identificada, pagos más ordenados y una credencial que acompañe a cada persona cuando participe en actividades de LUFA dentro y fuera del país. La propuesta se plantea por etapas para reducir riesgos, validar la experiencia y escalar de forma controlada.</w:t>
      </w:r>
    </w:p>
    <w:p>
      <w:pPr>
        <w:pStyle w:val="Heading1"/>
        <w:keepNext/>
      </w:pPr>
      <w:r>
        <w:t>Qué se propone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2232"/>
            <w:vAlign w:val="center"/>
            <w:shd w:fill="173B5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7920"/>
            <w:vAlign w:val="center"/>
            <w:shd w:fill="173B5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Propuesta de valor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ID digital LUFA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Credencial personal con nombre, foto, rol, país o club, vigencia y código QR para verificar la información autorizada.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Pagos integrados</w:t>
            </w:r>
          </w:p>
        </w:tc>
        <w:tc>
          <w:tcPr>
            <w:tcW w:type="dxa" w:w="792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Mercado Pago como medio simple y conocido para abonar la cuota anual y semestral del campeonato.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Registro único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Una ficha por persona, con su historial de participación, estado de afiliación y permisos según su rol.</w:t>
            </w:r>
          </w:p>
        </w:tc>
      </w:tr>
      <w:tr>
        <w:tc>
          <w:tcPr>
            <w:tcW w:type="dxa" w:w="223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Reconocimiento internacional</w:t>
            </w:r>
          </w:p>
        </w:tc>
        <w:tc>
          <w:tcPr>
            <w:tcW w:type="dxa" w:w="792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Una identidad institucional consistente que facilite validar quién es cada integrante en torneos, clínicas y actividades internacionales.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Objetivos para LUFA</w:t>
      </w:r>
    </w:p>
    <w:p>
      <w:pPr>
        <w:pStyle w:val="ListBullet"/>
        <w:spacing w:after="80"/>
      </w:pPr>
      <w:r>
        <w:t>Dar a cada integrante una identidad oficial, clara y fácil de verificar.</w:t>
      </w:r>
    </w:p>
    <w:p>
      <w:pPr>
        <w:pStyle w:val="ListBullet"/>
        <w:spacing w:after="80"/>
      </w:pPr>
      <w:r>
        <w:t>Facilitar el cobro y el seguimiento de cuotas, reduciendo tareas manuales y confusiones.</w:t>
      </w:r>
    </w:p>
    <w:p>
      <w:pPr>
        <w:pStyle w:val="ListBullet"/>
        <w:spacing w:after="80"/>
      </w:pPr>
      <w:r>
        <w:t>Elevar la confianza de clubes, organizadores y entidades internacionales.</w:t>
      </w:r>
    </w:p>
    <w:p>
      <w:pPr>
        <w:pStyle w:val="ListBullet"/>
        <w:spacing w:after="80"/>
      </w:pPr>
      <w:r>
        <w:t>Construir una base institucional que pueda crecer hacia rankings, historial deportivo, certificaciones y beneficios para miembros.</w:t>
      </w:r>
    </w:p>
    <w:p>
      <w:pPr>
        <w:pStyle w:val="Heading1"/>
        <w:keepNext/>
      </w:pPr>
      <w:r>
        <w:t>Experiencia esperada para el usuario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1800"/>
            <w:vAlign w:val="center"/>
            <w:shd w:fill="173B5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Momento</w:t>
            </w:r>
          </w:p>
        </w:tc>
        <w:tc>
          <w:tcPr>
            <w:tcW w:type="dxa" w:w="8352"/>
            <w:vAlign w:val="center"/>
            <w:shd w:fill="173B5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Qué vive la persona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1. Registro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Completa sus datos, elige su rol y adjunta la información necesaria para ser identificado.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2. Elección de cuota</w:t>
            </w:r>
          </w:p>
        </w:tc>
        <w:tc>
          <w:tcPr>
            <w:tcW w:type="dxa" w:w="835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Selecciona la modalidad anual o semestral del campeonato y revisa el período de vigencia.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3. Pago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Abona a través de Mercado Pago y recibe la confirmación correspondiente.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4. Emisión</w:t>
            </w:r>
          </w:p>
        </w:tc>
        <w:tc>
          <w:tcPr>
            <w:tcW w:type="dxa" w:w="835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LUFA valida el registro y habilita la ID digital con la vigencia asociada al pago.</w:t>
            </w:r>
          </w:p>
        </w:tc>
      </w:tr>
      <w:tr>
        <w:tc>
          <w:tcPr>
            <w:tcW w:type="dxa" w:w="1800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5. Uso</w:t>
            </w:r>
          </w:p>
        </w:tc>
        <w:tc>
          <w:tcPr>
            <w:tcW w:type="dxa" w:w="835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Presenta la credencial desde su teléfono o comparte el QR cuando sea necesario verificar su identidad.</w:t>
            </w:r>
          </w:p>
        </w:tc>
      </w:tr>
      <w:tr>
        <w:tc>
          <w:tcPr>
            <w:tcW w:type="dxa" w:w="1800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6. Renovación</w:t>
            </w:r>
          </w:p>
        </w:tc>
        <w:tc>
          <w:tcPr>
            <w:tcW w:type="dxa" w:w="835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Recibe un aviso antes del vencimiento y renueva su condición manteniendo su historial.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Alcance de la ID digital</w:t>
      </w:r>
    </w:p>
    <w:p>
      <w:r>
        <w:t>La credencial debe ser reconocible, simple y segura. Como referencia visual, las imágenes adjuntas muestran una tarjeta institucional con fotografía y datos principales, junto con una pantalla específica para consultar o escanear un código QR. Para LUFA se recomienda adaptar ese concepto a su identidad de marca y a los distintos perfiles de la comunidad.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3024"/>
            <w:vAlign w:val="center"/>
            <w:shd w:fill="173B5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Dato visible</w:t>
            </w:r>
          </w:p>
        </w:tc>
        <w:tc>
          <w:tcPr>
            <w:tcW w:type="dxa" w:w="7128"/>
            <w:vAlign w:val="center"/>
            <w:shd w:fill="173B5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Nombre y fotografía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Reconocimiento rápido de la persona.</w:t>
            </w:r>
          </w:p>
        </w:tc>
      </w:tr>
      <w:tr>
        <w:tc>
          <w:tcPr>
            <w:tcW w:type="dxa" w:w="302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Número o código LUFA</w:t>
            </w:r>
          </w:p>
        </w:tc>
        <w:tc>
          <w:tcPr>
            <w:tcW w:type="dxa" w:w="712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Identificador institucional único.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Rol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Jugador, coach, juez, organizador u otro perfil aprobado.</w:t>
            </w:r>
          </w:p>
        </w:tc>
      </w:tr>
      <w:tr>
        <w:tc>
          <w:tcPr>
            <w:tcW w:type="dxa" w:w="302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Club, país o región</w:t>
            </w:r>
          </w:p>
        </w:tc>
        <w:tc>
          <w:tcPr>
            <w:tcW w:type="dxa" w:w="712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Contexto de pertenencia y representación.</w:t>
            </w:r>
          </w:p>
        </w:tc>
      </w:tr>
      <w:tr>
        <w:tc>
          <w:tcPr>
            <w:tcW w:type="dxa" w:w="302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Estado y vigencia</w:t>
            </w:r>
          </w:p>
        </w:tc>
        <w:tc>
          <w:tcPr>
            <w:tcW w:type="dxa" w:w="712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Indica si la persona está habilitada y hasta cuándo.</w:t>
            </w:r>
          </w:p>
        </w:tc>
      </w:tr>
      <w:tr>
        <w:tc>
          <w:tcPr>
            <w:tcW w:type="dxa" w:w="302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Código QR</w:t>
            </w:r>
          </w:p>
        </w:tc>
        <w:tc>
          <w:tcPr>
            <w:tcW w:type="dxa" w:w="712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Permite verificar la credencial sin exponer información innecesaria.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Implementación por etapas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c>
          <w:tcPr>
            <w:tcW w:type="dxa" w:w="1656"/>
            <w:vAlign w:val="center"/>
            <w:shd w:fill="173B5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104"/>
            <w:vAlign w:val="center"/>
            <w:shd w:fill="173B5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Enfoque</w:t>
            </w:r>
          </w:p>
        </w:tc>
        <w:tc>
          <w:tcPr>
            <w:tcW w:type="dxa" w:w="4392"/>
            <w:vAlign w:val="center"/>
            <w:shd w:fill="173B5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16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1. Definición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Acordar roles, datos, reglas de vigencia, cuotas y responsables de aprobación.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Modelo institucional aprobado.</w:t>
            </w:r>
          </w:p>
        </w:tc>
      </w:tr>
      <w:tr>
        <w:tc>
          <w:tcPr>
            <w:tcW w:type="dxa" w:w="1656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2. Diseño</w:t>
            </w:r>
          </w:p>
        </w:tc>
        <w:tc>
          <w:tcPr>
            <w:tcW w:type="dxa" w:w="410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Definir la apariencia de la credencial y el recorrido de registro, pago y renovación.</w:t>
            </w:r>
          </w:p>
        </w:tc>
        <w:tc>
          <w:tcPr>
            <w:tcW w:type="dxa" w:w="439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Prototipo de experiencia LUFA.</w:t>
            </w:r>
          </w:p>
        </w:tc>
      </w:tr>
      <w:tr>
        <w:tc>
          <w:tcPr>
            <w:tcW w:type="dxa" w:w="16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3. Piloto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Probar con un grupo representativo de jugadores y referentes de clubes.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Aprendizajes y ajustes antes del lanzamiento.</w:t>
            </w:r>
          </w:p>
        </w:tc>
      </w:tr>
      <w:tr>
        <w:tc>
          <w:tcPr>
            <w:tcW w:type="dxa" w:w="1656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4. Lanzamiento</w:t>
            </w:r>
          </w:p>
        </w:tc>
        <w:tc>
          <w:tcPr>
            <w:tcW w:type="dxa" w:w="410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Abrir el registro general y comunicar beneficios, fechas y canales de ayuda.</w:t>
            </w:r>
          </w:p>
        </w:tc>
        <w:tc>
          <w:tcPr>
            <w:tcW w:type="dxa" w:w="4392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Primer padrón digital activo.</w:t>
            </w:r>
          </w:p>
        </w:tc>
      </w:tr>
      <w:tr>
        <w:tc>
          <w:tcPr>
            <w:tcW w:type="dxa" w:w="1656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5. Escala internacional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Incorporar nuevos países, clubes, roles y posibles acreditaciones.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Red LUFA preparada para crecer.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Roles y responsabilidades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2448"/>
            <w:vAlign w:val="center"/>
            <w:shd w:fill="173B5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7704"/>
            <w:vAlign w:val="center"/>
            <w:shd w:fill="173B5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Responsabilidad principal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LUFA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Define reglas, valida identidades, administra vigencias y garantiza el uso institucional.</w:t>
            </w:r>
          </w:p>
        </w:tc>
      </w:tr>
      <w:tr>
        <w:tc>
          <w:tcPr>
            <w:tcW w:type="dxa" w:w="244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Clubes y referentes</w:t>
            </w:r>
          </w:p>
        </w:tc>
        <w:tc>
          <w:tcPr>
            <w:tcW w:type="dxa" w:w="770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Acompañan el registro, verifican datos de sus integrantes y ayudan a difundir fechas.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Jugadores y miembros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Mantienen sus datos actualizados y realizan el pago correspondiente.</w:t>
            </w:r>
          </w:p>
        </w:tc>
      </w:tr>
      <w:tr>
        <w:tc>
          <w:tcPr>
            <w:tcW w:type="dxa" w:w="244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Organizadores</w:t>
            </w:r>
          </w:p>
        </w:tc>
        <w:tc>
          <w:tcPr>
            <w:tcW w:type="dxa" w:w="770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Usan la ID para acreditación, control de acceso y reconocimiento en actividades.</w:t>
            </w:r>
          </w:p>
        </w:tc>
      </w:tr>
      <w:tr>
        <w:tc>
          <w:tcPr>
            <w:tcW w:type="dxa" w:w="244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Administración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Controla pagos, excepciones, renovaciones y atención de consultas.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Beneficios esperados</w:t>
      </w:r>
    </w:p>
    <w:p>
      <w:pPr>
        <w:pStyle w:val="ListBullet"/>
        <w:spacing w:after="80"/>
      </w:pPr>
      <w:r>
        <w:t>Para los miembros: una credencial oficial, portable y útil en distintas actividades.</w:t>
      </w:r>
    </w:p>
    <w:p>
      <w:pPr>
        <w:pStyle w:val="ListBullet"/>
        <w:spacing w:after="80"/>
      </w:pPr>
      <w:r>
        <w:t>Para los clubes: mejor control de sus integrantes y menos tareas de verificación dispersas.</w:t>
      </w:r>
    </w:p>
    <w:p>
      <w:pPr>
        <w:pStyle w:val="ListBullet"/>
        <w:spacing w:after="80"/>
      </w:pPr>
      <w:r>
        <w:t>Para LUFA: mayor previsibilidad de ingresos, padrón actualizado y una imagen institucional más sólida.</w:t>
      </w:r>
    </w:p>
    <w:p>
      <w:pPr>
        <w:pStyle w:val="ListBullet"/>
        <w:spacing w:after="80"/>
      </w:pPr>
      <w:r>
        <w:t>Para aliados internacionales: una forma homogénea de reconocer a personas habilitadas por LUFA.</w:t>
      </w:r>
    </w:p>
    <w:p>
      <w:pPr>
        <w:pStyle w:val="Heading1"/>
        <w:keepNext/>
      </w:pPr>
      <w:r>
        <w:t>Puntos a definir antes de comenzar</w:t>
      </w:r>
    </w:p>
    <w:p>
      <w:r>
        <w:t>Para avanzar con seguridad, LUFA deberá acordar: el valor y calendario de las cuotas; qué perfiles pueden obtener una ID; qué documentación se solicita para cada perfil; quién aprueba altas y cambios; qué información se muestra públicamente al verificar un QR; y cómo se gestionan vencimientos, bajas, reemplazo de credenciales y casos especiales.</w:t>
      </w:r>
    </w:p>
    <w:p>
      <w:pPr>
        <w:pStyle w:val="Heading1"/>
        <w:keepNext/>
      </w:pPr>
      <w:r>
        <w:t>Indicadores para evaluar el resultado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3528"/>
            <w:vAlign w:val="center"/>
            <w:shd w:fill="173B5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6624"/>
            <w:vAlign w:val="center"/>
            <w:shd w:fill="173B5E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Qué permite observar</w:t>
            </w:r>
          </w:p>
        </w:tc>
      </w:tr>
      <w:tr>
        <w:tc>
          <w:tcPr>
            <w:tcW w:type="dxa" w:w="352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Registros completados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Adopción del nuevo padrón.</w:t>
            </w:r>
          </w:p>
        </w:tc>
      </w:tr>
      <w:tr>
        <w:tc>
          <w:tcPr>
            <w:tcW w:type="dxa" w:w="352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Pagos confirmados</w:t>
            </w:r>
          </w:p>
        </w:tc>
        <w:tc>
          <w:tcPr>
            <w:tcW w:type="dxa" w:w="662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Eficiencia de la recaudación.</w:t>
            </w:r>
          </w:p>
        </w:tc>
      </w:tr>
      <w:tr>
        <w:tc>
          <w:tcPr>
            <w:tcW w:type="dxa" w:w="352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Tiempo de emisión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Calidad de la experiencia.</w:t>
            </w:r>
          </w:p>
        </w:tc>
      </w:tr>
      <w:tr>
        <w:tc>
          <w:tcPr>
            <w:tcW w:type="dxa" w:w="352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Credenciales vigentes</w:t>
            </w:r>
          </w:p>
        </w:tc>
        <w:tc>
          <w:tcPr>
            <w:tcW w:type="dxa" w:w="662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Tamaño real de la comunidad activa.</w:t>
            </w:r>
          </w:p>
        </w:tc>
      </w:tr>
      <w:tr>
        <w:tc>
          <w:tcPr>
            <w:tcW w:type="dxa" w:w="3528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Consultas e incidencias</w:t>
            </w:r>
          </w:p>
        </w:tc>
        <w:tc>
          <w:tcPr>
            <w:tcW w:type="dxa" w:w="6624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Necesidades de mejora y soporte.</w:t>
            </w:r>
          </w:p>
        </w:tc>
      </w:tr>
      <w:tr>
        <w:tc>
          <w:tcPr>
            <w:tcW w:type="dxa" w:w="3528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Participación por club o país</w:t>
            </w:r>
          </w:p>
        </w:tc>
        <w:tc>
          <w:tcPr>
            <w:tcW w:type="dxa" w:w="6624"/>
            <w:vAlign w:val="center"/>
            <w:shd w:fill="F3F6F8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20"/>
              </w:rPr>
              <w:t>Alcance y crecimiento internacional.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Cierre y decisión sugerida</w:t>
      </w:r>
    </w:p>
    <w:p>
      <w:r>
        <w:t>Se recomienda aprobar una primera etapa de definición y diseño, seguida de un piloto acotado. Esta decisión permite validar el modelo de cuotas, la experiencia de registro y el uso de la credencial antes de abrirlo a toda la comunidad. El proyecto debe presentarse como una iniciativa institucional de identidad y pertenencia, apoyada por una forma más simple de pagar y administrar las afiliaciones.</w:t>
      </w:r>
    </w:p>
    <w:p>
      <w:r>
        <w:br w:type="page"/>
      </w:r>
    </w:p>
    <w:p>
      <w:pPr>
        <w:jc w:val="center"/>
      </w:pPr>
      <w:r>
        <w:rPr>
          <w:b/>
          <w:color w:val="286E7D"/>
        </w:rPr>
        <w:t>Referencia visual adjunta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68880" cy="24688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x-clipboard-b5205206-26ab-46bd-bee9-8efdbf8068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2468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9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34599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x-clipboard-a047961c-c61f-464e-8338-eeffb5c54c2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459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Las referencias visuales se incorporan como inspiración de formato. La versión final deberá utilizar la marca LUFA, sus criterios de identidad y la información autorizada para cada perfil.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de trabajo para presentación  •  Septiembre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86E7D"/>
        <w:sz w:val="16"/>
      </w:rPr>
      <w:t>LUFA  |  PROPUESTA EJECUTIVA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ptos" w:hAnsi="Aptos"/>
      <w:color w:val="23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5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7A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B5E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