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PetroUrdaneta · FDP 9 — Field Development Plan</w:t>
      </w:r>
    </w:p>
    <w:p>
      <w:pPr>
        <w:pStyle w:val="Author"/>
      </w:pPr>
      <w:r>
        <w:t xml:space="preserve">Gtasck (copiloto do COO)</w:t>
      </w:r>
    </w:p>
    <w:p>
      <w:pPr>
        <w:pStyle w:val="Date"/>
      </w:pPr>
      <w:r>
        <w:t xml:space="preserve">30 de agosto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petrordaneta-fdp-9"/>
    <w:p>
      <w:pPr>
        <w:pStyle w:val="Heading1"/>
      </w:pPr>
      <w:r>
        <w:t xml:space="preserve">PETRORDANETA · FDP 9</w:t>
      </w:r>
    </w:p>
    <w:bookmarkStart w:id="20" w:name="X7c7d0be4213f97127e24f855db9d91a61cef099"/>
    <w:p>
      <w:pPr>
        <w:pStyle w:val="Heading2"/>
      </w:pPr>
      <w:r>
        <w:t xml:space="preserve">Field Development Plan — Documento Completo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FDP 9 — Field Development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PetroUrdaneta (JV PDVSA) — Lago de Maracaibo, Venezuela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Paz (Fase 1), Mara, Mara West, La Paz Sur, El Moján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de emissão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de agosto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Gerenciado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Gtasck (copiloto do COO)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API, NORSOK, COVENIN, venezuelanas, IEC 61511, NFPA, DNV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índice"/>
    <w:p>
      <w:pPr>
        <w:pStyle w:val="Heading1"/>
      </w:pPr>
      <w:r>
        <w:t xml:space="preserve">ÍNDICE</w:t>
      </w:r>
    </w:p>
    <w:p>
      <w:pPr>
        <w:pStyle w:val="FirstParagraph"/>
      </w:pPr>
      <w:r>
        <w:rPr>
          <w:bCs/>
          <w:b/>
        </w:rPr>
        <w:t xml:space="preserve">Parte I — Visão Geral</w:t>
      </w:r>
      <w:r>
        <w:t xml:space="preserve"> </w:t>
      </w:r>
      <w:r>
        <w:t xml:space="preserve">1. Sumário Executivo</w:t>
      </w:r>
      <w:r>
        <w:t xml:space="preserve"> </w:t>
      </w:r>
      <w:r>
        <w:t xml:space="preserve">2. Ativo, Concessão e Infraestrutura Existente</w:t>
      </w:r>
      <w:r>
        <w:t xml:space="preserve"> </w:t>
      </w:r>
      <w:r>
        <w:t xml:space="preserve">3. Subsuperfície, Reservatórios e Reservas</w:t>
      </w:r>
    </w:p>
    <w:p>
      <w:pPr>
        <w:pStyle w:val="BodyText"/>
      </w:pPr>
      <w:r>
        <w:rPr>
          <w:bCs/>
          <w:b/>
        </w:rPr>
        <w:t xml:space="preserve">Parte II — Processo</w:t>
      </w:r>
      <w:r>
        <w:t xml:space="preserve"> </w:t>
      </w:r>
      <w:r>
        <w:t xml:space="preserve">4. Fluxo de Processo (PFD) e Correntes</w:t>
      </w:r>
      <w:r>
        <w:t xml:space="preserve"> </w:t>
      </w:r>
      <w:r>
        <w:t xml:space="preserve">5. Condições de Operação e Balanço de Massa</w:t>
      </w:r>
      <w:r>
        <w:t xml:space="preserve"> </w:t>
      </w:r>
      <w:r>
        <w:t xml:space="preserve">6. Facilidades: EPFs, Trunklines, FSB/CPF</w:t>
      </w:r>
    </w:p>
    <w:p>
      <w:pPr>
        <w:pStyle w:val="BodyText"/>
      </w:pPr>
      <w:r>
        <w:rPr>
          <w:bCs/>
          <w:b/>
        </w:rPr>
        <w:t xml:space="preserve">Parte III — Segurança</w:t>
      </w:r>
      <w:r>
        <w:t xml:space="preserve"> </w:t>
      </w:r>
      <w:r>
        <w:t xml:space="preserve">7. Classificação de Segurança (SIL) e Elementos de Segurança</w:t>
      </w:r>
      <w:r>
        <w:t xml:space="preserve"> </w:t>
      </w:r>
      <w:r>
        <w:t xml:space="preserve">8. HAZOP e LOPA</w:t>
      </w:r>
      <w:r>
        <w:t xml:space="preserve"> </w:t>
      </w:r>
      <w:r>
        <w:t xml:space="preserve">9. Flow Assurance, Materiais e Integridade</w:t>
      </w:r>
    </w:p>
    <w:p>
      <w:pPr>
        <w:pStyle w:val="BodyText"/>
      </w:pPr>
      <w:r>
        <w:rPr>
          <w:bCs/>
          <w:b/>
        </w:rPr>
        <w:t xml:space="preserve">Parte IV — Poços</w:t>
      </w:r>
      <w:r>
        <w:t xml:space="preserve"> </w:t>
      </w:r>
      <w:r>
        <w:t xml:space="preserve">10. Poços, Reativação e Elevação Artificial</w:t>
      </w:r>
      <w:r>
        <w:t xml:space="preserve"> </w:t>
      </w:r>
      <w:r>
        <w:t xml:space="preserve">11. Teste de Poços, Medição e Alocação</w:t>
      </w:r>
    </w:p>
    <w:p>
      <w:pPr>
        <w:pStyle w:val="BodyText"/>
      </w:pPr>
      <w:r>
        <w:rPr>
          <w:bCs/>
          <w:b/>
        </w:rPr>
        <w:t xml:space="preserve">Parte V — Execução</w:t>
      </w:r>
      <w:r>
        <w:t xml:space="preserve"> </w:t>
      </w:r>
      <w:r>
        <w:t xml:space="preserve">12. Execução de Projeto, Contratação e Deploy Modular</w:t>
      </w:r>
      <w:r>
        <w:t xml:space="preserve"> </w:t>
      </w:r>
      <w:r>
        <w:t xml:space="preserve">13. Utilidades e Sistemas de Energia</w:t>
      </w:r>
      <w:r>
        <w:t xml:space="preserve"> </w:t>
      </w:r>
      <w:r>
        <w:t xml:space="preserve">14. Ambiental, Social, Segurança e Regulatório</w:t>
      </w:r>
    </w:p>
    <w:p>
      <w:pPr>
        <w:pStyle w:val="BodyText"/>
      </w:pPr>
      <w:r>
        <w:rPr>
          <w:bCs/>
          <w:b/>
        </w:rPr>
        <w:t xml:space="preserve">Parte VI — Economia e Gestão</w:t>
      </w:r>
      <w:r>
        <w:t xml:space="preserve"> </w:t>
      </w:r>
      <w:r>
        <w:t xml:space="preserve">15. Capital, Custo Operacional e Economia</w:t>
      </w:r>
      <w:r>
        <w:t xml:space="preserve"> </w:t>
      </w:r>
      <w:r>
        <w:t xml:space="preserve">16. Registro de Riscos e Gates de Decisão</w:t>
      </w:r>
      <w:r>
        <w:t xml:space="preserve"> </w:t>
      </w:r>
      <w:r>
        <w:t xml:space="preserve">17. Gestão de Projeto e Rastreamento</w:t>
      </w:r>
    </w:p>
    <w:p>
      <w:pPr>
        <w:pStyle w:val="BodyText"/>
      </w:pPr>
      <w:r>
        <w:rPr>
          <w:bCs/>
          <w:b/>
        </w:rPr>
        <w:t xml:space="preserve">Apêndices</w:t>
      </w:r>
      <w:r>
        <w:t xml:space="preserve"> </w:t>
      </w:r>
      <w:r>
        <w:t xml:space="preserve">A. Registro de Esquemas · B. Entregáveis FEED · C. Requisitos de Dados · D. Pacote de Esquemas · E. Tabela de Reativação · F. Envelope de Previsão · G. Injeção de Água 2026 · H. Premissas do Plano de Negócio · I. Cromatografia de Gás 2016 · J. Registros de Assurance · K. Inventário de Fontes · L. Registro FDP v8 · M. Registro FEED</w:t>
      </w:r>
    </w:p>
    <w:bookmarkEnd w:id="22"/>
    <w:bookmarkStart w:id="34" w:name="parte-i-visão-geral"/>
    <w:p>
      <w:pPr>
        <w:pStyle w:val="Heading1"/>
      </w:pPr>
      <w:r>
        <w:t xml:space="preserve">PARTE I — VISÃO GERAL</w:t>
      </w:r>
    </w:p>
    <w:p>
      <w:r>
        <w:pict>
          <v:rect style="width:0;height:1.5pt" o:hralign="center" o:hrstd="t" o:hr="t"/>
        </w:pict>
      </w:r>
    </w:p>
    <w:bookmarkStart w:id="26" w:name="sumário-executivo"/>
    <w:p>
      <w:pPr>
        <w:pStyle w:val="Heading2"/>
      </w:pPr>
      <w:r>
        <w:t xml:space="preserve">1. Sumário Executivo</w:t>
      </w:r>
    </w:p>
    <w:p>
      <w:pPr>
        <w:pStyle w:val="FirstParagraph"/>
      </w:pPr>
      <w:r>
        <w:t xml:space="preserve">A estratégia de desenvolvimento da PetroUrdaneta é uma</w:t>
      </w:r>
      <w:r>
        <w:t xml:space="preserve"> </w:t>
      </w:r>
      <w:r>
        <w:rPr>
          <w:bCs/>
          <w:b/>
        </w:rPr>
        <w:t xml:space="preserve">restauração e expansão modular e faseada</w:t>
      </w:r>
      <w:r>
        <w:t xml:space="preserve"> </w:t>
      </w:r>
      <w:r>
        <w:t xml:space="preserve">do sistema de produção da área de La Paz, seguida por Mara, Mara West, La Paz Sur, El Moján e oportunidades posteriores de infill. O desenvolvimento</w:t>
      </w:r>
      <w:r>
        <w:t xml:space="preserve"> </w:t>
      </w:r>
      <w:r>
        <w:rPr>
          <w:bCs/>
          <w:b/>
        </w:rPr>
        <w:t xml:space="preserve">prioriza reativação antes de infill</w:t>
      </w:r>
      <w:r>
        <w:t xml:space="preserve">, uso antecipado de infraestrutura existente, EPFs autocontidos e upgrades incrementais de facilidades centrais.</w:t>
      </w:r>
    </w:p>
    <w:p>
      <w:pPr>
        <w:pStyle w:val="BodyText"/>
      </w:pPr>
      <w:r>
        <w:t xml:space="preserve">O sistema de produção é deliberadamente baseado em</w:t>
      </w:r>
      <w:r>
        <w:t xml:space="preserve"> </w:t>
      </w:r>
      <w:r>
        <w:rPr>
          <w:bCs/>
          <w:b/>
        </w:rPr>
        <w:t xml:space="preserve">fluxo multifásico normal</w:t>
      </w:r>
      <w:r>
        <w:t xml:space="preserve"> </w:t>
      </w:r>
      <w:r>
        <w:t xml:space="preserve">do poço para a EPF e da EPF para o complexo integrado FSB/CPF.</w:t>
      </w:r>
    </w:p>
    <w:bookmarkStart w:id="23" w:name="X033ee7e6d0c61cbbf05d46747524bb23751a721"/>
    <w:p>
      <w:pPr>
        <w:pStyle w:val="Heading3"/>
      </w:pPr>
      <w:r>
        <w:t xml:space="preserve">1.1 Conceito de referência aprovado pelo owner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38 poços Fase 1:</w:t>
      </w:r>
      <w:r>
        <w:t xml:space="preserve"> </w:t>
      </w:r>
      <w:r>
        <w:t xml:space="preserve">22 PCP/ePCP · 5 ESP · 8 gas-lift · 3 a definir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EPFs modulares</w:t>
      </w:r>
      <w:r>
        <w:t xml:space="preserve"> </w:t>
      </w:r>
      <w:r>
        <w:t xml:space="preserve">distribuídas, cada uma coletando vários poços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Trunklines pigáveis</w:t>
      </w:r>
      <w:r>
        <w:t xml:space="preserve"> </w:t>
      </w:r>
      <w:r>
        <w:t xml:space="preserve">EPF→FSB (flex pipe 4”/6”/8” em avaliação; aço como fallback)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FSB/CPF integrado:</w:t>
      </w:r>
      <w:r>
        <w:t xml:space="preserve"> </w:t>
      </w:r>
      <w:r>
        <w:t xml:space="preserve">pig receivers → vaso de slug bifásico → separador trifásico principal</w:t>
      </w:r>
    </w:p>
    <w:bookmarkEnd w:id="23"/>
    <w:bookmarkStart w:id="24" w:name="X0d87c2e8bb75a20dbc1793241fdf0bb45364e1f"/>
    <w:p>
      <w:pPr>
        <w:pStyle w:val="Heading3"/>
      </w:pPr>
      <w:r>
        <w:t xml:space="preserve">1.2 Metas de produção (envelopes separados — NÃO somar)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262"/>
        <w:gridCol w:w="226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Óleo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La Paz atual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~1.300 BOPD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reinício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Reativação (workbook)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4.719 BOPD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Triagem de poços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FDP Fase 1 (referência)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13.500 BOPD</w:t>
            </w:r>
            <w:r>
              <w:t xml:space="preserve"> </w:t>
            </w:r>
            <w:r>
              <w:t xml:space="preserve">(teórico 14.982)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Sanção / Fase 1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Portfólio PDVSA (alto)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27–28 kbopd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49–52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Sensibilidade de facilidades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Estratégico full-field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40.000 BOPD (Ano 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de exportação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Paz Sur (módulo)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~20,7 kbopd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de appraisal separado</w:t>
            </w:r>
          </w:p>
        </w:tc>
      </w:tr>
    </w:tbl>
    <w:bookmarkEnd w:id="24"/>
    <w:bookmarkStart w:id="25" w:name="reservas"/>
    <w:p>
      <w:pPr>
        <w:pStyle w:val="Heading3"/>
      </w:pPr>
      <w:r>
        <w:t xml:space="preserve">1.3 Reservas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OOIP:</w:t>
      </w:r>
      <w:r>
        <w:t xml:space="preserve"> </w:t>
      </w:r>
      <w:r>
        <w:t xml:space="preserve">~8,6 bilhões bbl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OGIP:</w:t>
      </w:r>
      <w:r>
        <w:t xml:space="preserve"> </w:t>
      </w:r>
      <w:r>
        <w:t xml:space="preserve">4,6 Tcf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fc4f272e9a4ad8febd76d0729a02f5798d93955"/>
    <w:p>
      <w:pPr>
        <w:pStyle w:val="Heading2"/>
      </w:pPr>
      <w:r>
        <w:t xml:space="preserve">2. Ativo, Concessão e Infraestrutura Existente</w:t>
      </w:r>
    </w:p>
    <w:bookmarkStart w:id="27" w:name="identidade-do-ativo"/>
    <w:p>
      <w:pPr>
        <w:pStyle w:val="Heading3"/>
      </w:pPr>
      <w:r>
        <w:t xml:space="preserve">2.1 Identidade do ativo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PetroUrdaneta (JV PDVSA)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Venezuela — região do Lago de Maracaibo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Paz (Fase 1), Mara, Mara West, La Paz Sur, El Moján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OOIP / OGIP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~8,6 bilhões bbl / 4,6 Tcf</w:t>
            </w:r>
          </w:p>
        </w:tc>
      </w:tr>
    </w:tbl>
    <w:bookmarkEnd w:id="27"/>
    <w:bookmarkStart w:id="28" w:name="X18f76890e256418aeffe121b81ace814c03ea88"/>
    <w:p>
      <w:pPr>
        <w:pStyle w:val="Heading3"/>
      </w:pPr>
      <w:r>
        <w:t xml:space="preserve">2.2 Infraestrutura existente (brownfield — requer avaliação)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Condição reportada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Fechamento necessário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FSB/CPF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~5.000 BOPD / 0,9 MMscfd; condição desconhecida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Survey, teste de capacidade, relief, tie-in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Compressão LF-B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19,5 MMscfd reportado, não verificado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Curvas, anti-surge, disponibilidade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Tanques Palmarejo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80.000 bbl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útil, integridade, taxa de transferência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 principal→Palmarejo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Vazamentos ativos</w:t>
            </w:r>
            <w:r>
              <w:t xml:space="preserve">; limitada a ~10.000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Inspeção de integridade, reparo, 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 subsuperfície P. Miranda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Integridade/pigabilidade incerta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Revisão de propriedade,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Terminal lacustre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Barcaça de crude + ISO-tank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Batimetria, berth, ESD, spill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subsuperfície-reservatórios-e-reservas"/>
    <w:p>
      <w:pPr>
        <w:pStyle w:val="Heading2"/>
      </w:pPr>
      <w:r>
        <w:t xml:space="preserve">3. Subsuperfície, Reservatórios e Reservas</w:t>
      </w:r>
    </w:p>
    <w:bookmarkStart w:id="30" w:name="reservatórios"/>
    <w:p>
      <w:pPr>
        <w:pStyle w:val="Heading3"/>
      </w:pPr>
      <w:r>
        <w:t xml:space="preserve">3.1 Reservatórios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Paz:</w:t>
      </w:r>
      <w:r>
        <w:t xml:space="preserve"> </w:t>
      </w:r>
      <w:r>
        <w:t xml:space="preserve">EOC/PAL (somero), Cretáceo, Basamento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Mara / Mara West / El Moján:</w:t>
      </w:r>
      <w:r>
        <w:t xml:space="preserve"> </w:t>
      </w:r>
      <w:r>
        <w:t xml:space="preserve">reservatórios a confirmar na fase de appraisal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Paz Sur:</w:t>
      </w:r>
      <w:r>
        <w:t xml:space="preserve"> </w:t>
      </w:r>
      <w:r>
        <w:t xml:space="preserve">módulo separado com gate de appraisal próprio</w:t>
      </w:r>
    </w:p>
    <w:bookmarkEnd w:id="30"/>
    <w:bookmarkStart w:id="31" w:name="reservas-1"/>
    <w:p>
      <w:pPr>
        <w:pStyle w:val="Heading3"/>
      </w:pPr>
      <w:r>
        <w:t xml:space="preserve">3.2 Reservas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OOIP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~8,6 bilhões bbl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OGIP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 Tcf</w:t>
            </w:r>
          </w:p>
        </w:tc>
      </w:tr>
    </w:tbl>
    <w:bookmarkEnd w:id="31"/>
    <w:bookmarkStart w:id="32" w:name="Xb679b04a90afbfcf948254e9f82e49cad928799"/>
    <w:p>
      <w:pPr>
        <w:pStyle w:val="Heading3"/>
      </w:pPr>
      <w:r>
        <w:t xml:space="preserve">3.3 Qualidade de fluido (cromatografia 2016 — screening)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Amostra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H₂S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BTU/scf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GPM C3+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Paz (rica)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ppm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~190 ppm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 ppm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2,344</w:t>
            </w:r>
          </w:p>
        </w:tc>
      </w:tr>
    </w:tbl>
    <w:p>
      <w:pPr>
        <w:pStyle w:val="BlockText"/>
      </w:pPr>
      <w:r>
        <w:rPr>
          <w:bCs/>
          <w:b/>
        </w:rPr>
        <w:t xml:space="preserve">Gate G-02:</w:t>
      </w:r>
      <w:r>
        <w:t xml:space="preserve"> </w:t>
      </w:r>
      <w:r>
        <w:t xml:space="preserve">a variabilidade é</w:t>
      </w:r>
      <w:r>
        <w:t xml:space="preserve"> </w:t>
      </w:r>
      <w:r>
        <w:rPr>
          <w:bCs/>
          <w:b/>
        </w:rPr>
        <w:t xml:space="preserve">grande demais</w:t>
      </w:r>
      <w:r>
        <w:t xml:space="preserve"> </w:t>
      </w:r>
      <w:r>
        <w:t xml:space="preserve">para um único design de tratamento. São necessárias</w:t>
      </w:r>
      <w:r>
        <w:t xml:space="preserve"> </w:t>
      </w:r>
      <w:r>
        <w:rPr>
          <w:bCs/>
          <w:b/>
        </w:rPr>
        <w:t xml:space="preserve">amostras pressurizadas frescas</w:t>
      </w:r>
      <w:r>
        <w:t xml:space="preserve"> </w:t>
      </w:r>
      <w:r>
        <w:t xml:space="preserve">por cluster + corrente blended do FSB, com análise de composição, água, H₂S, CO₂, N₂,</w:t>
      </w:r>
      <w:r>
        <w:t xml:space="preserve"> </w:t>
      </w:r>
      <w:r>
        <w:rPr>
          <w:bCs/>
          <w:b/>
        </w:rPr>
        <w:t xml:space="preserve">mercúrio</w:t>
      </w:r>
      <w:r>
        <w:t xml:space="preserve">, dew point HC, PVT e reologia.</w:t>
      </w:r>
    </w:p>
    <w:bookmarkEnd w:id="32"/>
    <w:bookmarkEnd w:id="33"/>
    <w:bookmarkEnd w:id="34"/>
    <w:bookmarkStart w:id="46" w:name="parte-ii-processo"/>
    <w:p>
      <w:pPr>
        <w:pStyle w:val="Heading1"/>
      </w:pPr>
      <w:r>
        <w:t xml:space="preserve">PARTE II — PROCESSO</w:t>
      </w:r>
    </w:p>
    <w:p>
      <w:r>
        <w:pict>
          <v:rect style="width:0;height:1.5pt" o:hralign="center" o:hrstd="t" o:hr="t"/>
        </w:pict>
      </w:r>
    </w:p>
    <w:bookmarkStart w:id="38" w:name="fluxo-de-processo-pfd-e-correntes"/>
    <w:p>
      <w:pPr>
        <w:pStyle w:val="Heading2"/>
      </w:pPr>
      <w:r>
        <w:t xml:space="preserve">4. Fluxo de Processo (PFD) e Correntes</w:t>
      </w:r>
    </w:p>
    <w:bookmarkStart w:id="35" w:name="visão-geral-do-fluxo"/>
    <w:p>
      <w:pPr>
        <w:pStyle w:val="Heading3"/>
      </w:pPr>
      <w:r>
        <w:t xml:space="preserve">4.1 Visão geral do fluxo</w:t>
      </w:r>
    </w:p>
    <w:p>
      <w:pPr>
        <w:pStyle w:val="FirstParagraph"/>
      </w:pPr>
      <w:r>
        <w:t xml:space="preserve">O processo segue o caminho:</w:t>
      </w:r>
      <w:r>
        <w:t xml:space="preserve"> </w:t>
      </w:r>
      <w:r>
        <w:rPr>
          <w:bCs/>
          <w:b/>
        </w:rPr>
        <w:t xml:space="preserve">poço → EPF → trunkline → FSB/CPF → separação → gás/óleo/água → exportação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POÇO → EPF (manifold + booster VFD) → TRUNKLINE (flex pipe 4"/6"/8") → FSB/CPF</w:t>
      </w:r>
      <w:r>
        <w:br/>
      </w:r>
      <w:r>
        <w:rPr>
          <w:rStyle w:val="VerbatimChar"/>
        </w:rPr>
        <w:t xml:space="preserve">  → PIG RECEIVER → VASO DE SLUG → SEPARADOR TRIFÁSICO</w:t>
      </w:r>
      <w:r>
        <w:br/>
      </w:r>
      <w:r>
        <w:rPr>
          <w:rStyle w:val="VerbatimChar"/>
        </w:rPr>
        <w:t xml:space="preserve">    → GÁS → compressão → fuel gas / gas lift / Boscan / NGL / LNG</w:t>
      </w:r>
      <w:r>
        <w:br/>
      </w:r>
      <w:r>
        <w:rPr>
          <w:rStyle w:val="VerbatimChar"/>
        </w:rPr>
        <w:t xml:space="preserve">    → ÓLEO → EFB storage → LACT → tanques Palmarejo → terminal lacustre</w:t>
      </w:r>
      <w:r>
        <w:br/>
      </w:r>
      <w:r>
        <w:rPr>
          <w:rStyle w:val="VerbatimChar"/>
        </w:rPr>
        <w:t xml:space="preserve">    → ÁGUA → tratamento → reinjeção (disposal + EOR)</w:t>
      </w:r>
    </w:p>
    <w:bookmarkEnd w:id="35"/>
    <w:bookmarkStart w:id="36" w:name="correntes-de-processo-stream-table"/>
    <w:p>
      <w:pPr>
        <w:pStyle w:val="Heading3"/>
      </w:pPr>
      <w:r>
        <w:t xml:space="preserve">4.2 Correntes de processo (stream table)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Elementos de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EPF manifold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Multifásico (óleo+gás+água)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300–3.000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SCSSV, Wing valve, choke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EPF manifold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Booster VFD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300–3.000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Booster VFD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Trunkline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300–3.000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check valve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Trunkline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FSB pig receiver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1.500–6.000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pig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Pig receiver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Vaso de 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1.500–6.000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LAHH, bypass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Vaso de 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Separador trifásico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1.500–6.000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LAHH, LALL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0,9–52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anti-surge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EFB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1.300–40.000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de água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96,9 kbwpd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gas / gas lift / Boscan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0,9–52 MMscfd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anti-surge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EFB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LACT → Palmarejo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1.300–40.000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Reinjeção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96,9 kbwpd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P_inj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</w:t>
            </w:r>
          </w:p>
        </w:tc>
      </w:tr>
    </w:tbl>
    <w:bookmarkEnd w:id="36"/>
    <w:bookmarkStart w:id="37" w:name="pfd-esquemático"/>
    <w:p>
      <w:pPr>
        <w:pStyle w:val="Heading3"/>
      </w:pPr>
      <w:r>
        <w:t xml:space="preserve">4.3 PFD esquemático</w:t>
      </w:r>
    </w:p>
    <w:p>
      <w:pPr>
        <w:pStyle w:val="BlockText"/>
      </w:pPr>
      <w:r>
        <w:rPr>
          <w:bCs/>
          <w:b/>
        </w:rPr>
        <w:t xml:space="preserve">Nota:</w:t>
      </w:r>
      <w:r>
        <w:t xml:space="preserve"> </w:t>
      </w:r>
      <w:r>
        <w:t xml:space="preserve">os PFDs esquemáticos são gerados pelo motor de P&amp;ID do Gtasck (ISA-5.1) e estão disponíveis em</w:t>
      </w:r>
      <w:r>
        <w:t xml:space="preserve"> </w:t>
      </w:r>
      <w:r>
        <w:rPr>
          <w:rStyle w:val="VerbatimChar"/>
        </w:rPr>
        <w:t xml:space="preserve">modules/pid_generator/examples/</w:t>
      </w:r>
      <w:r>
        <w:t xml:space="preserve">. O PFD da EPF (separador trifásico) já foi gerado e está disponível em</w:t>
      </w:r>
      <w:r>
        <w:t xml:space="preserve"> </w:t>
      </w:r>
      <w:r>
        <w:rPr>
          <w:rStyle w:val="VerbatimChar"/>
        </w:rPr>
        <w:t xml:space="preserve">modules/pid_generator/examples/epf_preview.png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ndições-de-operação-e-balanço-de-massa"/>
    <w:p>
      <w:pPr>
        <w:pStyle w:val="Heading2"/>
      </w:pPr>
      <w:r>
        <w:t xml:space="preserve">5. Condições de Operação e Balanço de Massa</w:t>
      </w:r>
    </w:p>
    <w:bookmarkStart w:id="39" w:name="condições-de-operação-por-etapa"/>
    <w:p>
      <w:pPr>
        <w:pStyle w:val="Heading3"/>
      </w:pPr>
      <w:r>
        <w:t xml:space="preserve">5.1 Condições de operação por etapa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Poço (WHP)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50–150 psi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300–3.000 BOPD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EPF (booster)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150–300 psi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300–3.000 BOPD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Trunkline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100–250 psi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1.500–6.000 BOPD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FSB (separação)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50–100 psi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60–80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1.500–6.000 BOPD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100–1.000 psi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80–120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0,9–52 MMscfd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50–150 psi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1.300–40.000 BOPD</w:t>
            </w:r>
          </w:p>
        </w:tc>
      </w:tr>
    </w:tbl>
    <w:bookmarkEnd w:id="39"/>
    <w:bookmarkStart w:id="40" w:name="balanço-de-massa-fase-1"/>
    <w:p>
      <w:pPr>
        <w:pStyle w:val="Heading3"/>
      </w:pPr>
      <w:r>
        <w:t xml:space="preserve">5.2 Balanço de massa (Fase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Vazão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Poços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13.500 BOPD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Óleo (exportação)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13.500 BOPD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Gás (fuel + lift + export)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0,9–52 MMscfd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Água (reinjeção)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→ 96,9 kbwpd</w:t>
            </w:r>
          </w:p>
        </w:tc>
      </w:tr>
    </w:tbl>
    <w:p>
      <w:pPr>
        <w:pStyle w:val="BodyText"/>
      </w:pPr>
      <w:r>
        <w:rPr>
          <w:bCs/>
          <w:b/>
        </w:rPr>
        <w:t xml:space="preserve">Tolerância de fechamento:</w:t>
      </w:r>
      <w:r>
        <w:t xml:space="preserve"> </w:t>
      </w:r>
      <w:r>
        <w:t xml:space="preserve">±2,0% (regra permanente).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facilidades-epfs-trunklines-fsbcpf"/>
    <w:p>
      <w:pPr>
        <w:pStyle w:val="Heading2"/>
      </w:pPr>
      <w:r>
        <w:t xml:space="preserve">6. Facilidades: EPFs, Trunklines, FSB/CPF</w:t>
      </w:r>
    </w:p>
    <w:bookmarkStart w:id="42" w:name="epf-modular-padrão"/>
    <w:p>
      <w:pPr>
        <w:pStyle w:val="Heading3"/>
      </w:pPr>
      <w:r>
        <w:t xml:space="preserve">6.1 EPF modular padrão</w:t>
      </w:r>
    </w:p>
    <w:p>
      <w:pPr>
        <w:pStyle w:val="FirstParagraph"/>
      </w:pPr>
      <w:r>
        <w:t xml:space="preserve">Cada uma das</w:t>
      </w:r>
      <w:r>
        <w:t xml:space="preserve"> </w:t>
      </w:r>
      <w:r>
        <w:rPr>
          <w:bCs/>
          <w:b/>
        </w:rPr>
        <w:t xml:space="preserve">12 EPFs</w:t>
      </w:r>
      <w:r>
        <w:t xml:space="preserve"> </w:t>
      </w:r>
      <w:r>
        <w:t xml:space="preserve">contém:</w:t>
      </w:r>
    </w:p>
    <w:p>
      <w:pPr>
        <w:numPr>
          <w:ilvl w:val="0"/>
          <w:numId w:val="1004"/>
        </w:numPr>
        <w:pStyle w:val="Compact"/>
      </w:pPr>
      <w:r>
        <w:t xml:space="preserve">Manifold multifásico local</w:t>
      </w:r>
    </w:p>
    <w:p>
      <w:pPr>
        <w:numPr>
          <w:ilvl w:val="0"/>
          <w:numId w:val="1004"/>
        </w:numPr>
        <w:pStyle w:val="Compact"/>
      </w:pPr>
      <w:r>
        <w:t xml:space="preserve">Provisões de injeção química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 pacote booster multifásico controlado por VFD</w:t>
      </w:r>
    </w:p>
    <w:p>
      <w:pPr>
        <w:numPr>
          <w:ilvl w:val="0"/>
          <w:numId w:val="1004"/>
        </w:numPr>
        <w:pStyle w:val="Compact"/>
      </w:pPr>
      <w:r>
        <w:t xml:space="preserve">Válvulas de bypass, não-retorno e isolamento de emergência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 geradores a gás</w:t>
      </w:r>
      <w:r>
        <w:t xml:space="preserve"> </w:t>
      </w:r>
      <w:r>
        <w:t xml:space="preserve">+ switchgear</w:t>
      </w:r>
    </w:p>
    <w:p>
      <w:pPr>
        <w:numPr>
          <w:ilvl w:val="0"/>
          <w:numId w:val="1004"/>
        </w:numPr>
        <w:pStyle w:val="Compact"/>
      </w:pPr>
      <w:r>
        <w:t xml:space="preserve">SCADA</w:t>
      </w:r>
    </w:p>
    <w:p>
      <w:pPr>
        <w:numPr>
          <w:ilvl w:val="0"/>
          <w:numId w:val="1004"/>
        </w:numPr>
        <w:pStyle w:val="Compact"/>
      </w:pPr>
      <w:r>
        <w:t xml:space="preserve">Pig-valve launcher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 separador de teste permanente</w:t>
      </w:r>
      <w:r>
        <w:t xml:space="preserve"> </w:t>
      </w:r>
      <w:r>
        <w:t xml:space="preserve">(regra permanente)</w:t>
      </w:r>
    </w:p>
    <w:bookmarkEnd w:id="42"/>
    <w:bookmarkStart w:id="43" w:name="trunklines-pigáveis"/>
    <w:p>
      <w:pPr>
        <w:pStyle w:val="Heading3"/>
      </w:pPr>
      <w:r>
        <w:t xml:space="preserve">6.2 Trunklines pigáveis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Flex pipe first</w:t>
      </w:r>
      <w:r>
        <w:t xml:space="preserve"> </w:t>
      </w:r>
      <w:r>
        <w:t xml:space="preserve">(regra permanente); aço como fallback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Screening 4”/6”/8”:</w:t>
      </w:r>
      <w:r>
        <w:t xml:space="preserve"> </w:t>
      </w:r>
      <w:r>
        <w:t xml:space="preserve">EPF média (3.500 BOPD) → 4” OK; EPF grande (6.000 BOPD) → 4” erosão, 6” ótimo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Modelo transiente:</w:t>
      </w:r>
      <w:r>
        <w:t xml:space="preserve"> </w:t>
      </w:r>
      <w:r>
        <w:t xml:space="preserve">EPF grande → 6” chega a 15 bar com vaso de slug ~87 m³</w:t>
      </w:r>
    </w:p>
    <w:bookmarkEnd w:id="43"/>
    <w:bookmarkStart w:id="44" w:name="fsbcpf-integrado"/>
    <w:p>
      <w:pPr>
        <w:pStyle w:val="Heading3"/>
      </w:pPr>
      <w:r>
        <w:t xml:space="preserve">6.3 FSB/CPF integrado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Pig receivers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vaso de slug bifásico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separador trifásico principal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Compressão central</w:t>
      </w:r>
      <w:r>
        <w:t xml:space="preserve"> </w:t>
      </w:r>
      <w:r>
        <w:t xml:space="preserve">→ fuel gas, gas lift, Boscan, NGL, LNG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EFB storage</w:t>
      </w:r>
      <w:r>
        <w:t xml:space="preserve"> </w:t>
      </w:r>
      <w:r>
        <w:t xml:space="preserve">→ LACT → tanques Palmarejo → terminal lacustre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Tratamento de água</w:t>
      </w:r>
      <w:r>
        <w:t xml:space="preserve"> </w:t>
      </w:r>
      <w:r>
        <w:t xml:space="preserve">→ reinjeção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57" w:name="parte-iii-segurança"/>
    <w:p>
      <w:pPr>
        <w:pStyle w:val="Heading1"/>
      </w:pPr>
      <w:r>
        <w:t xml:space="preserve">PARTE III — SEGURANÇA</w:t>
      </w:r>
    </w:p>
    <w:p>
      <w:r>
        <w:pict>
          <v:rect style="width:0;height:1.5pt" o:hralign="center" o:hrstd="t" o:hr="t"/>
        </w:pict>
      </w:r>
    </w:p>
    <w:bookmarkStart w:id="50" w:name="Xf76ef8c89e11520a74a04fc952545509c4d65e8"/>
    <w:p>
      <w:pPr>
        <w:pStyle w:val="Heading2"/>
      </w:pPr>
      <w:r>
        <w:t xml:space="preserve">7. Classificação de Segurança (SIL) e Elementos de Segurança</w:t>
      </w:r>
    </w:p>
    <w:bookmarkStart w:id="47" w:name="níveis-de-sil-iec-61511"/>
    <w:p>
      <w:pPr>
        <w:pStyle w:val="Heading3"/>
      </w:pPr>
      <w:r>
        <w:t xml:space="preserve">7.1 Níveis de SIL (IEC 61511)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Nível 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 típica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0,1–0,01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de overflow de tanque, shutdowns básicos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0,01–0,001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100–1.000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ESD de wellheads, sistemas de segurança de fired heaters, proteção de compressores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0,001–0,0001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1.000–10.000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de fornos grandes, HIPPS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0,0001–0,00001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10.000–100.000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Nuclear, aviação — raramente em plantas de processo</w:t>
            </w:r>
          </w:p>
        </w:tc>
      </w:tr>
    </w:tbl>
    <w:bookmarkEnd w:id="47"/>
    <w:bookmarkStart w:id="48" w:name="X57083e8c2c27db62ec743bcaf0a52e379a6ad0d"/>
    <w:p>
      <w:pPr>
        <w:pStyle w:val="Heading3"/>
      </w:pPr>
      <w:r>
        <w:t xml:space="preserve">7.2 Classificação SIL da planta PetroUrdaneta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ESD de wellhead (SCSSV + wing valve)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O&amp;G; proteção contra overpressure/release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ESD de EPF (booster + manifold)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contra overpressure/release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ESD de trunkline (pig receiver)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contra overpressure/release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ESD de FSB (separador + compressão)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contra overpressure/release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Anti-surge de compressores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de compressores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SIF-06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de flare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contra overpressure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SIF-07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HIPPS (se aplicável)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substituir relief convencional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Regra prática:</w:t>
      </w:r>
      <w:r>
        <w:t xml:space="preserve"> </w:t>
      </w:r>
      <w:r>
        <w:t xml:space="preserve">a maioria das SIFs da planta fica em</w:t>
      </w:r>
      <w:r>
        <w:t xml:space="preserve"> </w:t>
      </w:r>
      <w:r>
        <w:rPr>
          <w:bCs/>
          <w:b/>
        </w:rPr>
        <w:t xml:space="preserve">SIL 2</w:t>
      </w:r>
      <w:r>
        <w:t xml:space="preserve">; SIL 3 apenas para HIPPS (se aplicável); SIL 4 raramente (redesenhar o processo se LOPA apontar SIL 4).</w:t>
      </w:r>
    </w:p>
    <w:bookmarkEnd w:id="48"/>
    <w:bookmarkStart w:id="49" w:name="elementos-de-segurança-por-corrente"/>
    <w:p>
      <w:pPr>
        <w:pStyle w:val="Heading3"/>
      </w:pPr>
      <w:r>
        <w:t xml:space="preserve">7.3 Elementos de segurança por corrente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Elementos de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S-01</w:t>
            </w:r>
            <w:r>
              <w:t xml:space="preserve"> </w:t>
            </w:r>
            <w:r>
              <w:t xml:space="preserve">(poço→EPF)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SCSSV, wing valve, choke, PSV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S-02</w:t>
            </w:r>
            <w:r>
              <w:t xml:space="preserve"> </w:t>
            </w:r>
            <w:r>
              <w:t xml:space="preserve">(EPF manifold→booster)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S-03</w:t>
            </w:r>
            <w:r>
              <w:t xml:space="preserve"> </w:t>
            </w:r>
            <w:r>
              <w:t xml:space="preserve">(booster→trunkline)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check valve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S-04</w:t>
            </w:r>
            <w:r>
              <w:t xml:space="preserve"> </w:t>
            </w:r>
            <w:r>
              <w:t xml:space="preserve">(trunkline→FSB)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pig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S-05</w:t>
            </w:r>
            <w:r>
              <w:t xml:space="preserve"> </w:t>
            </w:r>
            <w:r>
              <w:t xml:space="preserve">(pig receiver→vaso de slug)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LAHH, bypass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S-06</w:t>
            </w:r>
            <w:r>
              <w:t xml:space="preserve"> </w:t>
            </w:r>
            <w:r>
              <w:t xml:space="preserve">(vaso de slug→separador)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LAHH, LALL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S-07</w:t>
            </w:r>
            <w:r>
              <w:t xml:space="preserve"> </w:t>
            </w:r>
            <w:r>
              <w:t xml:space="preserve">(separador→compressão)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anti-surge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S-08</w:t>
            </w:r>
            <w:r>
              <w:t xml:space="preserve"> </w:t>
            </w:r>
            <w:r>
              <w:t xml:space="preserve">(separador→EFB)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S-09</w:t>
            </w:r>
            <w:r>
              <w:t xml:space="preserve"> </w:t>
            </w:r>
            <w:r>
              <w:t xml:space="preserve">(separador→tratamento)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S-10</w:t>
            </w:r>
            <w:r>
              <w:t xml:space="preserve"> </w:t>
            </w:r>
            <w:r>
              <w:t xml:space="preserve">(compressão→fuel/lift/Boscan)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anti-surge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S-11</w:t>
            </w:r>
            <w:r>
              <w:t xml:space="preserve"> </w:t>
            </w:r>
            <w:r>
              <w:t xml:space="preserve">(EFB→LACT→Palmarejo)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S-12</w:t>
            </w:r>
            <w:r>
              <w:t xml:space="preserve"> </w:t>
            </w:r>
            <w:r>
              <w:t xml:space="preserve">(tratamento→reinjeção)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PSV, ESD, LAHH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3" w:name="hazop-e-lopa"/>
    <w:p>
      <w:pPr>
        <w:pStyle w:val="Heading2"/>
      </w:pPr>
      <w:r>
        <w:t xml:space="preserve">8. HAZOP e LOPA</w:t>
      </w:r>
    </w:p>
    <w:bookmarkStart w:id="51" w:name="processo-de-determinação-de-sil"/>
    <w:p>
      <w:pPr>
        <w:pStyle w:val="Heading3"/>
      </w:pPr>
      <w:r>
        <w:t xml:space="preserve">8.1 Processo de determinação de SIL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HAZOP</w:t>
      </w:r>
      <w:r>
        <w:t xml:space="preserve"> </w:t>
      </w:r>
      <w:r>
        <w:t xml:space="preserve">— identifica desvios, causas, consequências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LOPA</w:t>
      </w:r>
      <w:r>
        <w:t xml:space="preserve"> </w:t>
      </w:r>
      <w:r>
        <w:t xml:space="preserve">— compara frequência mitigada vs. risco tolerável; o gap determina o SIL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Atribuição de SIL</w:t>
      </w:r>
      <w:r>
        <w:t xml:space="preserve"> </w:t>
      </w:r>
      <w:r>
        <w:t xml:space="preserve">a cada SIF (sensor + logic solver + final element)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Verificação de SIL</w:t>
      </w:r>
      <w:r>
        <w:t xml:space="preserve"> </w:t>
      </w:r>
      <w:r>
        <w:t xml:space="preserve">— cálculo quantitativo (fault tolerance, PFD de componentes, proof test interval, diagnostic coverage)</w:t>
      </w:r>
    </w:p>
    <w:bookmarkEnd w:id="51"/>
    <w:bookmarkStart w:id="52" w:name="X29bb9f394d5be62074d57b8afff43e65adf3254"/>
    <w:p>
      <w:pPr>
        <w:pStyle w:val="Heading3"/>
      </w:pPr>
      <w:r>
        <w:t xml:space="preserve">8.2 Cadernos de HAZOP (com mitigação por desvio)</w:t>
      </w:r>
    </w:p>
    <w:p>
      <w:pPr>
        <w:pStyle w:val="FirstParagraph"/>
      </w:pPr>
      <w:r>
        <w:t xml:space="preserve">Os cadernos de HAZOP são gerados pelo motor de risco do Gtasck e estão disponíveis em</w:t>
      </w:r>
      <w:r>
        <w:t xml:space="preserve"> </w:t>
      </w:r>
      <w:r>
        <w:rPr>
          <w:rStyle w:val="VerbatimChar"/>
        </w:rPr>
        <w:t xml:space="preserve">modules/risk_analysis/</w:t>
      </w:r>
      <w:r>
        <w:t xml:space="preserve">. Cada desvio é amarrado a:</w:t>
      </w:r>
      <w:r>
        <w:t xml:space="preserve"> </w:t>
      </w:r>
      <w:r>
        <w:rPr>
          <w:bCs/>
          <w:b/>
        </w:rPr>
        <w:t xml:space="preserve">causa → consequência → salvaguarda existente → mitigação/ação proposta → responsável → prazo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Exemplo (nó EPF):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Mitigação/Ação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 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de choke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Overpressure no manifold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Instalar PSV adicional + ESD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Engenharia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Baixo fluxo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Bomba parada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Acúmulo de líquido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Alarme + trip de booster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 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de resfriamento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Degradação de elastômero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Alarme +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dias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6" w:name="flow-assurance-materiais-e-integridade"/>
    <w:p>
      <w:pPr>
        <w:pStyle w:val="Heading2"/>
      </w:pPr>
      <w:r>
        <w:t xml:space="preserve">9. Flow Assurance, Materiais e Integridade</w:t>
      </w:r>
    </w:p>
    <w:bookmarkStart w:id="54" w:name="riscos-de-flow-assurance-fa-01-a-fa-11"/>
    <w:p>
      <w:pPr>
        <w:pStyle w:val="Heading3"/>
      </w:pPr>
      <w:r>
        <w:t xml:space="preserve">9.1 Riscos de Flow Assurance (FA-01 a FA-11)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Commingling/back-out entre poços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rede multiphase (G-04)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Dimensionamento de trunk (6” uniforme não provado)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 4/6/8” por EPF (G-04)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 pipe pigável não qualificado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Qualificação de flex pipe (G-04)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Surge de líquido por pig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transiente de pigging (G-05)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Bombas multiphase fora do 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de operação (G-04)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Depósitos (cera/hidrato/asfalteno)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Amostras PVT (G-02)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Sólidos/integridade (areia/erosão/corrosão)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Amostras PVT (G-02) + integridade (G-03)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 de separação (emulsão/espuma)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Amostras PVT (G-02)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água (scale/MIC/oxigênio)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de água (G-08)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Exportação de gás (condensação/off-spec)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de gás (G-09)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Exportação de crude (surge/column separation)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transiente (G-05)</w:t>
            </w:r>
          </w:p>
        </w:tc>
      </w:tr>
    </w:tbl>
    <w:bookmarkEnd w:id="54"/>
    <w:bookmarkStart w:id="55" w:name="materiais-e-integridade"/>
    <w:p>
      <w:pPr>
        <w:pStyle w:val="Heading3"/>
      </w:pPr>
      <w:r>
        <w:t xml:space="preserve">9.2 Materiais e integridade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Materiais/corrosão</w:t>
      </w:r>
      <w:r>
        <w:t xml:space="preserve"> </w:t>
      </w:r>
      <w:r>
        <w:t xml:space="preserve">dependem das amostras PVT (G-02) — H₂S, CO₂, mercúrio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Integridade:</w:t>
      </w:r>
      <w:r>
        <w:t xml:space="preserve"> </w:t>
      </w:r>
      <w:r>
        <w:t xml:space="preserve">API 510 (vasos), API 570 (piping), API 653 (tanques)</w:t>
      </w:r>
    </w:p>
    <w:bookmarkEnd w:id="55"/>
    <w:bookmarkEnd w:id="56"/>
    <w:bookmarkEnd w:id="57"/>
    <w:bookmarkStart w:id="66" w:name="parte-iv-poços"/>
    <w:p>
      <w:pPr>
        <w:pStyle w:val="Heading1"/>
      </w:pPr>
      <w:r>
        <w:t xml:space="preserve">PARTE IV — POÇOS</w:t>
      </w:r>
    </w:p>
    <w:p>
      <w:r>
        <w:pict>
          <v:rect style="width:0;height:1.5pt" o:hralign="center" o:hrstd="t" o:hr="t"/>
        </w:pict>
      </w:r>
    </w:p>
    <w:bookmarkStart w:id="62" w:name="poços-reativação-e-elevação-artificial"/>
    <w:p>
      <w:pPr>
        <w:pStyle w:val="Heading2"/>
      </w:pPr>
      <w:r>
        <w:t xml:space="preserve">10. Poços, Reativação e Elevação Artificial</w:t>
      </w:r>
    </w:p>
    <w:bookmarkStart w:id="58" w:name="well-master-reconciliado"/>
    <w:p>
      <w:pPr>
        <w:pStyle w:val="Heading3"/>
      </w:pPr>
      <w:r>
        <w:t xml:space="preserve">10.1 Well master reconciliado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Poços nomeados identificados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La Paz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Mara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(DM-0010, DM-0021, DM-0023, DM-123)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El Moján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(DMM-0002, DMM-003)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Categoria 1 (base 1.388 BND)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 restrição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58"/>
    <w:bookmarkStart w:id="59" w:name="plano-de-reativação-poço-a-poço"/>
    <w:p>
      <w:pPr>
        <w:pStyle w:val="Heading3"/>
      </w:pPr>
      <w:r>
        <w:t xml:space="preserve">10.2 Plano de reativação poço a poço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Poços ativos no plano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  <w:r>
              <w:t xml:space="preserve"> </w:t>
            </w:r>
            <w:r>
              <w:t xml:space="preserve">(P-52 aguardando abandono)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Produção total estimada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38.650 BOPD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US$ 51,4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Eficiência média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752 BOPD/US$MM</w:t>
            </w:r>
          </w:p>
        </w:tc>
      </w:tr>
    </w:tbl>
    <w:bookmarkEnd w:id="59"/>
    <w:bookmarkStart w:id="60" w:name="mix-de-elevação-da-fase-1"/>
    <w:p>
      <w:pPr>
        <w:pStyle w:val="Heading3"/>
      </w:pPr>
      <w:r>
        <w:t xml:space="preserve">10.3 Mix de elevação da Fase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 (BOPD)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(+3 a definir)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800–3.000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Maiores taxas; poços categoria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 média; La Paz reactivation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 baixa; Mara/El Moján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rod_pump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Menores taxas</w:t>
            </w:r>
          </w:p>
        </w:tc>
      </w:tr>
    </w:tbl>
    <w:bookmarkEnd w:id="60"/>
    <w:bookmarkStart w:id="61" w:name="cronograma-de-reativação-gantt"/>
    <w:p>
      <w:pPr>
        <w:pStyle w:val="Heading3"/>
      </w:pPr>
      <w:r>
        <w:t xml:space="preserve">10.4 Cronograma de reativação (Gantt)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01/set/2026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Fim da 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18/mai/2027 (~8,5 meses)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Produção ao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38.650 BOPD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Primeiro óleo (P-016)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16/set/2026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5" w:name="teste-de-poços-medição-e-alocação"/>
    <w:p>
      <w:pPr>
        <w:pStyle w:val="Heading2"/>
      </w:pPr>
      <w:r>
        <w:t xml:space="preserve">11. Teste de Poços, Medição e Alocação</w:t>
      </w:r>
    </w:p>
    <w:bookmarkStart w:id="63" w:name="teste-de-poços"/>
    <w:p>
      <w:pPr>
        <w:pStyle w:val="Heading3"/>
      </w:pPr>
      <w:r>
        <w:t xml:space="preserve">11.1 Teste de poços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Teste de 72h</w:t>
      </w:r>
      <w:r>
        <w:t xml:space="preserve"> </w:t>
      </w:r>
      <w:r>
        <w:t xml:space="preserve">por poço após instalação da bomba (regra permanente)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Pacote de teste modular</w:t>
      </w:r>
      <w:r>
        <w:t xml:space="preserve"> </w:t>
      </w:r>
      <w:r>
        <w:t xml:space="preserve">(separador trifásico móvel + flare)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EPFs NÃO incluem separador de teste permanente</w:t>
      </w:r>
      <w:r>
        <w:t xml:space="preserve"> </w:t>
      </w:r>
      <w:r>
        <w:t xml:space="preserve">(regra permanente)</w:t>
      </w:r>
    </w:p>
    <w:bookmarkEnd w:id="63"/>
    <w:bookmarkStart w:id="64" w:name="alocação-de-produção"/>
    <w:p>
      <w:pPr>
        <w:pStyle w:val="Heading3"/>
      </w:pPr>
      <w:r>
        <w:t xml:space="preserve">11.2 Alocação de produção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por diferença ou pro-rata; reconciliação por poço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Medição fiscal</w:t>
      </w:r>
      <w:r>
        <w:t xml:space="preserve"> </w:t>
      </w:r>
      <w:r>
        <w:t xml:space="preserve">obrigatória (API MPMS, ISO 5167)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Tolerância de fechamento do balanço:</w:t>
      </w:r>
      <w:r>
        <w:t xml:space="preserve"> </w:t>
      </w:r>
      <w:r>
        <w:t xml:space="preserve">±2,0%</w:t>
      </w:r>
    </w:p>
    <w:bookmarkEnd w:id="64"/>
    <w:bookmarkEnd w:id="65"/>
    <w:bookmarkEnd w:id="66"/>
    <w:bookmarkStart w:id="73" w:name="parte-v-execução"/>
    <w:p>
      <w:pPr>
        <w:pStyle w:val="Heading1"/>
      </w:pPr>
      <w:r>
        <w:t xml:space="preserve">PARTE V — EXECUÇÃO</w:t>
      </w:r>
    </w:p>
    <w:p>
      <w:r>
        <w:pict>
          <v:rect style="width:0;height:1.5pt" o:hralign="center" o:hrstd="t" o:hr="t"/>
        </w:pict>
      </w:r>
    </w:p>
    <w:bookmarkStart w:id="70" w:name="X68812684014aceea8f7956c58dbb4b0b87de724"/>
    <w:p>
      <w:pPr>
        <w:pStyle w:val="Heading2"/>
      </w:pPr>
      <w:r>
        <w:t xml:space="preserve">12. Execução de Projeto, Contratação e Deploy Modular</w:t>
      </w:r>
    </w:p>
    <w:bookmarkStart w:id="67" w:name="estratégia-de-contratação-4-msas"/>
    <w:p>
      <w:pPr>
        <w:pStyle w:val="Heading3"/>
      </w:pPr>
      <w:r>
        <w:t xml:space="preserve">12.1 Estratégia de contratação — 4 MSAs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Services / 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Open-book · cost-plus · AFE por poço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Manpower/HH por projeto + material com 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Open-book · cost-plus · AFE por poço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Open-book · cost-plus · AFE por pacote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central:</w:t>
      </w:r>
      <w:r>
        <w:t xml:space="preserve"> </w:t>
      </w:r>
      <w:r>
        <w:t xml:space="preserve">CAPEX atrelado ao retorno em crude · AFE individual por projeto · EPCM integrator + PMO dedicado.</w:t>
      </w:r>
    </w:p>
    <w:bookmarkEnd w:id="67"/>
    <w:bookmarkStart w:id="68" w:name="pacote-de-tender"/>
    <w:p>
      <w:pPr>
        <w:pStyle w:val="Heading3"/>
      </w:pPr>
      <w:r>
        <w:t xml:space="preserve">12.2 Pacote de tender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1250"/>
        <w:gridCol w:w="1250"/>
        <w:gridCol w:w="1667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nº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(US$)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Amostragem PVT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Services/EPF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AFE-PU-G02-2026-001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6–10 sem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FSB brownfield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AFE-PU-G03-2026-001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sem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multifásica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AFE-PU-G04-2026-001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8–14 sem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Pigging e 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AFE-PU-G05-2026-001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8–14 sem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ESD/PSD e relief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AFE-PU-G06-2026-001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12–20 sem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2.920.000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bookmarkStart w:id="69" w:name="rfp-da-onda-1-g-02-g-03"/>
    <w:p>
      <w:pPr>
        <w:pStyle w:val="Heading3"/>
      </w:pPr>
      <w:r>
        <w:t xml:space="preserve">12.3 RFP da Onda 1 (G-02 + G-03)</w:t>
      </w:r>
    </w:p>
    <w:p>
      <w:pPr>
        <w:pStyle w:val="FirstParagraph"/>
      </w:pPr>
      <w:r>
        <w:t xml:space="preserve">Emitido com formulário de proposta e cronograma de tender (15 dias).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utilidades-e-sistemas-de-energia"/>
    <w:p>
      <w:pPr>
        <w:pStyle w:val="Heading2"/>
      </w:pPr>
      <w:r>
        <w:t xml:space="preserve">13. Utilidades e Sistemas de Energia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EPFs autocontidas</w:t>
      </w:r>
      <w:r>
        <w:t xml:space="preserve"> </w:t>
      </w:r>
      <w:r>
        <w:t xml:space="preserve">com geradores a gás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Gate G-07:</w:t>
      </w:r>
      <w:r>
        <w:t xml:space="preserve"> </w:t>
      </w:r>
      <w:r>
        <w:t xml:space="preserve">lista de carga, curto-circuito, proteção, estabilidade e</w:t>
      </w:r>
      <w:r>
        <w:t xml:space="preserve"> </w:t>
      </w:r>
      <w:r>
        <w:rPr>
          <w:bCs/>
          <w:b/>
        </w:rPr>
        <w:t xml:space="preserve">black start</w:t>
      </w:r>
      <w:r>
        <w:t xml:space="preserve"> </w:t>
      </w:r>
      <w:r>
        <w:t xml:space="preserve">devem ser fechados antes da compra de geradores/switchgear</w:t>
      </w:r>
    </w:p>
    <w:p>
      <w:pPr>
        <w:numPr>
          <w:ilvl w:val="0"/>
          <w:numId w:val="1011"/>
        </w:numPr>
        <w:pStyle w:val="Compact"/>
      </w:pPr>
      <w:r>
        <w:t xml:space="preserve">Upgrades elétricos e de infraestrutura</w:t>
      </w:r>
      <w:r>
        <w:t xml:space="preserve"> </w:t>
      </w:r>
      <w:r>
        <w:rPr>
          <w:bCs/>
          <w:b/>
        </w:rPr>
        <w:t xml:space="preserve">alinhados às necessidades reais e fases do projeto</w:t>
      </w:r>
      <w:r>
        <w:t xml:space="preserve"> </w:t>
      </w:r>
      <w:r>
        <w:t xml:space="preserve">(regra permanente)</w:t>
      </w:r>
    </w:p>
    <w:p>
      <w:r>
        <w:pict>
          <v:rect style="width:0;height:1.5pt" o:hralign="center" o:hrstd="t" o:hr="t"/>
        </w:pict>
      </w:r>
    </w:p>
    <w:bookmarkEnd w:id="71"/>
    <w:bookmarkStart w:id="72" w:name="ambiental-social-segurança-e-regulatório"/>
    <w:p>
      <w:pPr>
        <w:pStyle w:val="Heading2"/>
      </w:pPr>
      <w:r>
        <w:t xml:space="preserve">14. Ambiental, Social, Segurança e Regulatório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Gate G-13 (contínuo):</w:t>
      </w:r>
      <w:r>
        <w:t xml:space="preserve"> </w:t>
      </w:r>
      <w:r>
        <w:t xml:space="preserve">matriz de aprovação, flaring, injeção, ambiental/social/segurança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Restrições de comunidade/acesso</w:t>
      </w:r>
      <w:r>
        <w:t xml:space="preserve"> </w:t>
      </w:r>
      <w:r>
        <w:t xml:space="preserve">em 5 poços (P-108, P-173, P-95, P-180, P-152)</w:t>
      </w:r>
    </w:p>
    <w:p>
      <w:pPr>
        <w:numPr>
          <w:ilvl w:val="0"/>
          <w:numId w:val="1012"/>
        </w:numPr>
        <w:pStyle w:val="Compact"/>
      </w:pPr>
      <w:r>
        <w:t xml:space="preserve">Conformidade com requisitos</w:t>
      </w:r>
      <w:r>
        <w:t xml:space="preserve"> </w:t>
      </w:r>
      <w:r>
        <w:rPr>
          <w:bCs/>
          <w:b/>
        </w:rPr>
        <w:t xml:space="preserve">venezuelanos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COVENIN</w:t>
      </w:r>
    </w:p>
    <w:bookmarkEnd w:id="72"/>
    <w:bookmarkEnd w:id="73"/>
    <w:bookmarkStart w:id="86" w:name="parte-vi-economia-e-gestão"/>
    <w:p>
      <w:pPr>
        <w:pStyle w:val="Heading1"/>
      </w:pPr>
      <w:r>
        <w:t xml:space="preserve">PARTE VI — ECONOMIA E GESTÃO</w:t>
      </w:r>
    </w:p>
    <w:p>
      <w:r>
        <w:pict>
          <v:rect style="width:0;height:1.5pt" o:hralign="center" o:hrstd="t" o:hr="t"/>
        </w:pict>
      </w:r>
    </w:p>
    <w:bookmarkStart w:id="77" w:name="capital-custo-operacional-e-economia"/>
    <w:p>
      <w:pPr>
        <w:pStyle w:val="Heading2"/>
      </w:pPr>
      <w:r>
        <w:t xml:space="preserve">15. Capital, Custo Operacional e Economia</w:t>
      </w:r>
    </w:p>
    <w:bookmarkStart w:id="74" w:name="capex-do-programa-planejamento"/>
    <w:p>
      <w:pPr>
        <w:pStyle w:val="Heading3"/>
      </w:pPr>
      <w:r>
        <w:t xml:space="preserve">15.1 CAPEX do programa (planejamento)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CAPEX (US$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1 La Paz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Mara/Mara West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Paz Sur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Moján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Expansão de gás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~256</w:t>
            </w:r>
          </w:p>
        </w:tc>
      </w:tr>
    </w:tbl>
    <w:bookmarkEnd w:id="74"/>
    <w:bookmarkStart w:id="75" w:name="premissas-econômicas"/>
    <w:p>
      <w:pPr>
        <w:pStyle w:val="Heading3"/>
      </w:pPr>
      <w:r>
        <w:t xml:space="preserve">15.2 Premissas econômicas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US$ 65/bbl (óleo vendido a 95% do Brent)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US$ 1,06/Mcf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OPEX/bbl (médio longo prazo)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~US$ 15,89/bbl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acumulado (até 2052)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~US$ 4,2 bilhões</w:t>
            </w:r>
          </w:p>
        </w:tc>
      </w:tr>
    </w:tbl>
    <w:bookmarkEnd w:id="75"/>
    <w:bookmarkStart w:id="76" w:name="afes-de-poços"/>
    <w:p>
      <w:pPr>
        <w:pStyle w:val="Heading3"/>
      </w:pPr>
      <w:r>
        <w:t xml:space="preserve">15.3 AFEs de poços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Poços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AFE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 (9 poços)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US$ 19,5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PCP/ePCP/gas-lift (30 poços)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US$ 30,6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(39 poços ativos)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US$ 50,1 MM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81" w:name="registro-de-riscos-e-gates-de-decisão"/>
    <w:p>
      <w:pPr>
        <w:pStyle w:val="Heading2"/>
      </w:pPr>
      <w:r>
        <w:t xml:space="preserve">16. Registro de Riscos e Gates de Decisão</w:t>
      </w:r>
    </w:p>
    <w:bookmarkStart w:id="78" w:name="registro-de-riscos-66-gaps"/>
    <w:p>
      <w:pPr>
        <w:pStyle w:val="Heading3"/>
      </w:pPr>
      <w:r>
        <w:t xml:space="preserve">16.1 Registro de riscos (66 gaps)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Família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</w:t>
            </w:r>
            <w:r>
              <w:t xml:space="preserve"> </w:t>
            </w:r>
            <w:r>
              <w:t xml:space="preserve">(Process Safety)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PS-01 a PS-24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</w:t>
            </w:r>
            <w:r>
              <w:t xml:space="preserve"> </w:t>
            </w:r>
            <w:r>
              <w:t xml:space="preserve">(Flow Assurance)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FA-01 a FA-11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</w:t>
            </w:r>
            <w:r>
              <w:t xml:space="preserve"> </w:t>
            </w:r>
            <w:r>
              <w:t xml:space="preserve">(Outros/Staging)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OT-01 a OT-05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Gates de Decisão FEED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G-01 a G-13</w:t>
            </w:r>
          </w:p>
        </w:tc>
      </w:tr>
    </w:tbl>
    <w:bookmarkEnd w:id="78"/>
    <w:bookmarkStart w:id="79" w:name="os-13-gates-de-decisão-feed"/>
    <w:p>
      <w:pPr>
        <w:pStyle w:val="Heading3"/>
      </w:pPr>
      <w:r>
        <w:t xml:space="preserve">16.2 Os 13 gates de decisão FEED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Fechamento necessário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de desenvolvimento controlado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FEED de facilidades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PVT e amostragem de fluidos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 de bombas/linhas/tratamento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Capacidade brownfield FSB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de upgrade do FSB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multiphase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de trunk/bombas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Pigging e 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 de trunk/vaso de entrada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ESD/PSD e relief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Emissão para construção/PSSR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Energia e black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de geradores/switchgear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Injeção de água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da planta de água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Boscan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do piloto de exportação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Economia NGL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do pacote NGL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LNG Palmarejo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de LNG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 crude/export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Sanção terminal/exportação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Regulatório/social/segurança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Construção e operação de campo</w:t>
            </w:r>
          </w:p>
        </w:tc>
      </w:tr>
    </w:tbl>
    <w:bookmarkEnd w:id="79"/>
    <w:bookmarkStart w:id="80" w:name="plano-de-fechamento-dos-gates"/>
    <w:p>
      <w:pPr>
        <w:pStyle w:val="Heading3"/>
      </w:pPr>
      <w:r>
        <w:t xml:space="preserve">16.3 Plano de fechamento dos gates</w:t>
      </w:r>
    </w:p>
    <w:p>
      <w:pPr>
        <w:pStyle w:val="FirstParagraph"/>
      </w:pPr>
      <w:r>
        <w:rPr>
          <w:bCs/>
          <w:b/>
        </w:rPr>
        <w:t xml:space="preserve">Caminho crítico da Fase 1:</w:t>
      </w:r>
      <w:r>
        <w:t xml:space="preserve"> </w:t>
      </w:r>
      <w:r>
        <w:rPr>
          <w:rStyle w:val="VerbatimChar"/>
        </w:rPr>
        <w:t xml:space="preserve">G-01 → G-02 → G-04 → G-05 → G-06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Onda 1 (0–3 m):</w:t>
      </w:r>
      <w:r>
        <w:t xml:space="preserve"> </w:t>
      </w:r>
      <w:r>
        <w:t xml:space="preserve">G-01, G-02, G-03 — destravam a base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Onda 2 (3–9 m):</w:t>
      </w:r>
      <w:r>
        <w:t xml:space="preserve"> </w:t>
      </w:r>
      <w:r>
        <w:t xml:space="preserve">G-04, G-05, G-07, G-08 — destravam facilidades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Onda 3 (6–18 m):</w:t>
      </w:r>
      <w:r>
        <w:t xml:space="preserve"> </w:t>
      </w:r>
      <w:r>
        <w:t xml:space="preserve">G-06, G-09→G-12, G-10, G-11, G-13 — destravam exportação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gestão-de-projeto-e-rastreamento"/>
    <w:p>
      <w:pPr>
        <w:pStyle w:val="Heading2"/>
      </w:pPr>
      <w:r>
        <w:t xml:space="preserve">17. Gestão de Projeto e Rastreamento</w:t>
      </w:r>
    </w:p>
    <w:bookmarkStart w:id="82" w:name="sistema-de-rastreamento"/>
    <w:p>
      <w:pPr>
        <w:pStyle w:val="Heading3"/>
      </w:pPr>
      <w:r>
        <w:t xml:space="preserve">17.1 Sistema de rastreamento</w:t>
      </w:r>
    </w:p>
    <w:p>
      <w:pPr>
        <w:pStyle w:val="FirstParagraph"/>
      </w:pPr>
      <w:r>
        <w:t xml:space="preserve">O FDP 9 introduz um</w:t>
      </w:r>
      <w:r>
        <w:t xml:space="preserve"> </w:t>
      </w:r>
      <w:r>
        <w:rPr>
          <w:bCs/>
          <w:b/>
        </w:rPr>
        <w:t xml:space="preserve">sistema de rastreamento de mudanças</w:t>
      </w:r>
      <w:r>
        <w:t xml:space="preserve"> </w:t>
      </w:r>
      <w:r>
        <w:t xml:space="preserve">versionado e auditável (Gtasck). Cada mudança/melhoria/decisão é registrada como um item</w:t>
      </w:r>
      <w:r>
        <w:t xml:space="preserve"> </w:t>
      </w:r>
      <w:r>
        <w:rPr>
          <w:bCs/>
          <w:b/>
        </w:rPr>
        <w:t xml:space="preserve">CH-###</w:t>
      </w:r>
      <w:r>
        <w:t xml:space="preserve"> </w:t>
      </w:r>
      <w:r>
        <w:t xml:space="preserve">no change log, com capítulo, gate, tipo, autor, impacto e status.</w:t>
      </w:r>
    </w:p>
    <w:bookmarkEnd w:id="82"/>
    <w:bookmarkStart w:id="83" w:name="dashboard-do-coo"/>
    <w:p>
      <w:pPr>
        <w:pStyle w:val="Heading3"/>
      </w:pPr>
      <w:r>
        <w:t xml:space="preserve">17.2 Dashboard do COO</w:t>
      </w:r>
    </w:p>
    <w:p>
      <w:pPr>
        <w:pStyle w:val="FirstParagraph"/>
      </w:pPr>
      <w:r>
        <w:t xml:space="preserve">O dashboard do COO é regenerado automaticamente a cada mudança e está disponível em</w:t>
      </w:r>
      <w:r>
        <w:t xml:space="preserve"> </w:t>
      </w:r>
      <w:r>
        <w:rPr>
          <w:rStyle w:val="VerbatimChar"/>
        </w:rPr>
        <w:t xml:space="preserve">deliverables/dashboard_coo.md</w:t>
      </w:r>
      <w:r>
        <w:t xml:space="preserve">. KPIs: mudanças rastreadas, gates fechados, poços, produção, CAPEX.</w:t>
      </w:r>
    </w:p>
    <w:bookmarkEnd w:id="83"/>
    <w:bookmarkStart w:id="84" w:name="rotina-diária-automatizada"/>
    <w:p>
      <w:pPr>
        <w:pStyle w:val="Heading3"/>
      </w:pPr>
      <w:r>
        <w:t xml:space="preserve">17.3 Rotina diária automatizada</w:t>
      </w:r>
    </w:p>
    <w:p>
      <w:pPr>
        <w:pStyle w:val="FirstParagraph"/>
      </w:pPr>
      <w:r>
        <w:t xml:space="preserve">O dashboard é regenerado automaticamente</w:t>
      </w:r>
      <w:r>
        <w:t xml:space="preserve"> </w:t>
      </w:r>
      <w:r>
        <w:rPr>
          <w:bCs/>
          <w:b/>
        </w:rPr>
        <w:t xml:space="preserve">todo dia às 10h</w:t>
      </w:r>
      <w:r>
        <w:t xml:space="preserve"> </w:t>
      </w:r>
      <w:r>
        <w:t xml:space="preserve">(America/Sao_Paulo) e commitado no repo.</w:t>
      </w:r>
    </w:p>
    <w:bookmarkEnd w:id="84"/>
    <w:bookmarkEnd w:id="85"/>
    <w:bookmarkEnd w:id="86"/>
    <w:bookmarkStart w:id="100" w:name="apêndices"/>
    <w:p>
      <w:pPr>
        <w:pStyle w:val="Heading1"/>
      </w:pPr>
      <w:r>
        <w:t xml:space="preserve">APÊNDICES</w:t>
      </w:r>
    </w:p>
    <w:bookmarkStart w:id="87" w:name="X792acbb26a270a517a0aaee5eb1f289504e23d0"/>
    <w:p>
      <w:pPr>
        <w:pStyle w:val="Heading2"/>
      </w:pPr>
      <w:r>
        <w:t xml:space="preserve">Apêndice A — Registro de Esquemas Industriais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A</w:t>
      </w:r>
      <w:r>
        <w:t xml:space="preserve"> </w:t>
      </w:r>
      <w:r>
        <w:t xml:space="preserve">do FDP v9-DRAFT (registro completo de esquemas industriais).</w:t>
      </w:r>
    </w:p>
    <w:bookmarkEnd w:id="87"/>
    <w:bookmarkStart w:id="88" w:name="apêndice-b-entregáveis-feed-requeridos"/>
    <w:p>
      <w:pPr>
        <w:pStyle w:val="Heading2"/>
      </w:pPr>
      <w:r>
        <w:t xml:space="preserve">Apêndice B — Entregáveis FEED Requeridos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B</w:t>
      </w:r>
      <w:r>
        <w:t xml:space="preserve"> </w:t>
      </w:r>
      <w:r>
        <w:t xml:space="preserve">do FDP v9-DRAFT.</w:t>
      </w:r>
    </w:p>
    <w:bookmarkEnd w:id="88"/>
    <w:bookmarkStart w:id="89" w:name="apêndice-c-requisitos-de-dados-abertos"/>
    <w:p>
      <w:pPr>
        <w:pStyle w:val="Heading2"/>
      </w:pPr>
      <w:r>
        <w:t xml:space="preserve">Apêndice C — Requisitos de Dados Abertos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C</w:t>
      </w:r>
      <w:r>
        <w:t xml:space="preserve"> </w:t>
      </w:r>
      <w:r>
        <w:t xml:space="preserve">do FDP v9-DRAFT.</w:t>
      </w:r>
    </w:p>
    <w:bookmarkEnd w:id="89"/>
    <w:bookmarkStart w:id="90" w:name="X50e7273a3138aeba8cc0d0308227e0218fbc583"/>
    <w:p>
      <w:pPr>
        <w:pStyle w:val="Heading2"/>
      </w:pPr>
      <w:r>
        <w:t xml:space="preserve">Apêndice D — Pacote de Esquemas Industriais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D</w:t>
      </w:r>
      <w:r>
        <w:t xml:space="preserve"> </w:t>
      </w:r>
      <w:r>
        <w:t xml:space="preserve">do FDP v9-DRAFT.</w:t>
      </w:r>
    </w:p>
    <w:bookmarkEnd w:id="90"/>
    <w:bookmarkStart w:id="91" w:name="Xf735dfc1d8f1db9a0594078ad5a1cc46f42bbe2"/>
    <w:p>
      <w:pPr>
        <w:pStyle w:val="Heading2"/>
      </w:pPr>
      <w:r>
        <w:t xml:space="preserve">Apêndice E — Tabela Detalhada de Reativação de Poços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registers/well_master_reconciliado.csv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deliverables/plano_reativacao_poco_a_poco.csv</w:t>
      </w:r>
      <w:r>
        <w:t xml:space="preserve"> </w:t>
      </w:r>
      <w:r>
        <w:t xml:space="preserve">(FDP 9).</w:t>
      </w:r>
    </w:p>
    <w:bookmarkEnd w:id="91"/>
    <w:bookmarkStart w:id="92" w:name="X4ce3218fa6d07e48852c171bce1b2151d67678c"/>
    <w:p>
      <w:pPr>
        <w:pStyle w:val="Heading2"/>
      </w:pPr>
      <w:r>
        <w:t xml:space="preserve">Apêndice F — Envelope de Previsão de Portfólio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F</w:t>
      </w:r>
      <w:r>
        <w:t xml:space="preserve"> </w:t>
      </w:r>
      <w:r>
        <w:t xml:space="preserve">do FDP v9-DRAFT.</w:t>
      </w:r>
    </w:p>
    <w:bookmarkEnd w:id="92"/>
    <w:bookmarkStart w:id="93" w:name="X05ede7dde157ea37370a54a3a0fcec0fa84c408"/>
    <w:p>
      <w:pPr>
        <w:pStyle w:val="Heading2"/>
      </w:pPr>
      <w:r>
        <w:t xml:space="preserve">Apêndice G — Performance de Injeção de Água 2026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G</w:t>
      </w:r>
      <w:r>
        <w:t xml:space="preserve"> </w:t>
      </w:r>
      <w:r>
        <w:t xml:space="preserve">do FDP v9-DRAFT.</w:t>
      </w:r>
    </w:p>
    <w:bookmarkEnd w:id="93"/>
    <w:bookmarkStart w:id="94" w:name="X8a19a4405ceccadf7d2f54647a7bf348a08e721"/>
    <w:p>
      <w:pPr>
        <w:pStyle w:val="Heading2"/>
      </w:pPr>
      <w:r>
        <w:t xml:space="preserve">Apêndice H — Premissas do Plano de Negócio PDVSA–PetroUrdaneta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H</w:t>
      </w:r>
      <w:r>
        <w:t xml:space="preserve"> </w:t>
      </w:r>
      <w:r>
        <w:t xml:space="preserve">do FDP v9-DRAFT.</w:t>
      </w:r>
    </w:p>
    <w:bookmarkEnd w:id="94"/>
    <w:bookmarkStart w:id="95" w:name="X55eecb3cd545ae3a06cb9db6a099f6b4207de14"/>
    <w:p>
      <w:pPr>
        <w:pStyle w:val="Heading2"/>
      </w:pPr>
      <w:r>
        <w:t xml:space="preserve">Apêndice I — Cromatografia de Gás 2016 (Screening)</w:t>
      </w:r>
    </w:p>
    <w:p>
      <w:pPr>
        <w:pStyle w:val="FirstParagraph"/>
      </w:pPr>
      <w:r>
        <w:t xml:space="preserve">Ver seção 3.3 deste documento e</w:t>
      </w:r>
      <w:r>
        <w:t xml:space="preserve"> </w:t>
      </w:r>
      <w:r>
        <w:rPr>
          <w:rStyle w:val="VerbatimChar"/>
        </w:rPr>
        <w:t xml:space="preserve">Appendix I</w:t>
      </w:r>
      <w:r>
        <w:t xml:space="preserve"> </w:t>
      </w:r>
      <w:r>
        <w:t xml:space="preserve">do FDP v9-DRAFT.</w:t>
      </w:r>
    </w:p>
    <w:bookmarkEnd w:id="95"/>
    <w:bookmarkStart w:id="96" w:name="Xbc26ef58235fbcf7bebaa99e567431e587e9ad5"/>
    <w:p>
      <w:pPr>
        <w:pStyle w:val="Heading2"/>
      </w:pPr>
      <w:r>
        <w:t xml:space="preserve">Apêndice J — Registros de Assurance de Engenharia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J</w:t>
      </w:r>
      <w:r>
        <w:t xml:space="preserve"> </w:t>
      </w:r>
      <w:r>
        <w:t xml:space="preserve">do FDP v9-DRAFT.</w:t>
      </w:r>
    </w:p>
    <w:bookmarkEnd w:id="96"/>
    <w:bookmarkStart w:id="97" w:name="X709a265db8635cc23e3d616b602ae8dc4f35e74"/>
    <w:p>
      <w:pPr>
        <w:pStyle w:val="Heading2"/>
      </w:pPr>
      <w:r>
        <w:t xml:space="preserve">Apêndice K — Inventário de Fontes e Entregáveis Controlados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K</w:t>
      </w:r>
      <w:r>
        <w:t xml:space="preserve"> </w:t>
      </w:r>
      <w:r>
        <w:t xml:space="preserve">do FDP v9-DRAFT e seção 17 deste documento.</w:t>
      </w:r>
    </w:p>
    <w:bookmarkEnd w:id="97"/>
    <w:bookmarkStart w:id="98" w:name="X465f8c1b1929a031c616857dad7f7ea1f10e1cf"/>
    <w:p>
      <w:pPr>
        <w:pStyle w:val="Heading2"/>
      </w:pPr>
      <w:r>
        <w:t xml:space="preserve">Apêndice L — Registro Completo do FDP v8 Legado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L</w:t>
      </w:r>
      <w:r>
        <w:t xml:space="preserve"> </w:t>
      </w:r>
      <w:r>
        <w:t xml:space="preserve">do FDP v9-DRAFT.</w:t>
      </w:r>
    </w:p>
    <w:bookmarkEnd w:id="98"/>
    <w:bookmarkStart w:id="99" w:name="apêndice-m-registro-completo-do-feed"/>
    <w:p>
      <w:pPr>
        <w:pStyle w:val="Heading2"/>
      </w:pPr>
      <w:r>
        <w:t xml:space="preserve">Apêndice M — Registro Completo do FEED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Appendix M</w:t>
      </w:r>
      <w:r>
        <w:t xml:space="preserve"> </w:t>
      </w:r>
      <w:r>
        <w:t xml:space="preserve">do FDP v9-DRAFT.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encerramento"/>
    <w:p>
      <w:pPr>
        <w:pStyle w:val="Heading1"/>
      </w:pPr>
      <w:r>
        <w:t xml:space="preserve">ENCERRAMENTO</w:t>
      </w:r>
    </w:p>
    <w:p>
      <w:pPr>
        <w:pStyle w:val="FirstParagraph"/>
      </w:pPr>
      <w:r>
        <w:t xml:space="preserve">Este</w:t>
      </w:r>
      <w:r>
        <w:t xml:space="preserve"> </w:t>
      </w:r>
      <w:r>
        <w:rPr>
          <w:bCs/>
          <w:b/>
        </w:rPr>
        <w:t xml:space="preserve">FDP 9</w:t>
      </w:r>
      <w:r>
        <w:t xml:space="preserve"> </w:t>
      </w:r>
      <w:r>
        <w:t xml:space="preserve">consolida e</w:t>
      </w:r>
      <w:r>
        <w:t xml:space="preserve"> </w:t>
      </w:r>
      <w:r>
        <w:rPr>
          <w:bCs/>
          <w:b/>
        </w:rPr>
        <w:t xml:space="preserve">completa</w:t>
      </w:r>
      <w:r>
        <w:t xml:space="preserve"> </w:t>
      </w:r>
      <w:r>
        <w:t xml:space="preserve">o FDP 8, integrando toda a engenharia com os</w:t>
      </w:r>
      <w:r>
        <w:t xml:space="preserve"> </w:t>
      </w:r>
      <w:r>
        <w:rPr>
          <w:bCs/>
          <w:b/>
        </w:rPr>
        <w:t xml:space="preserve">4 workstreams executados</w:t>
      </w:r>
      <w:r>
        <w:t xml:space="preserve">, os</w:t>
      </w:r>
      <w:r>
        <w:t xml:space="preserve"> </w:t>
      </w:r>
      <w:r>
        <w:rPr>
          <w:bCs/>
          <w:b/>
        </w:rPr>
        <w:t xml:space="preserve">5 SOWs em formato MSA</w:t>
      </w:r>
      <w:r>
        <w:t xml:space="preserve">, os</w:t>
      </w:r>
      <w:r>
        <w:t xml:space="preserve"> </w:t>
      </w:r>
      <w:r>
        <w:rPr>
          <w:bCs/>
          <w:b/>
        </w:rPr>
        <w:t xml:space="preserve">39 AFEs de poços</w:t>
      </w:r>
      <w:r>
        <w:t xml:space="preserve">, o</w:t>
      </w:r>
      <w:r>
        <w:t xml:space="preserve"> </w:t>
      </w:r>
      <w:r>
        <w:rPr>
          <w:bCs/>
          <w:b/>
        </w:rPr>
        <w:t xml:space="preserve">plano integrado de 4 MSAs</w:t>
      </w:r>
      <w:r>
        <w:t xml:space="preserve">, o</w:t>
      </w:r>
      <w:r>
        <w:t xml:space="preserve"> </w:t>
      </w:r>
      <w:r>
        <w:rPr>
          <w:bCs/>
          <w:b/>
        </w:rPr>
        <w:t xml:space="preserve">pacote de tender + RFP da Onda 1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sistema de rastreamento de mudanças</w:t>
      </w:r>
      <w:r>
        <w:t xml:space="preserve"> </w:t>
      </w:r>
      <w:r>
        <w:t xml:space="preserve">(26 mudanças, CH-001 a CH-026).</w:t>
      </w:r>
    </w:p>
    <w:p>
      <w:pPr>
        <w:pStyle w:val="BodyText"/>
      </w:pPr>
      <w:r>
        <w:t xml:space="preserve">O documento está</w:t>
      </w:r>
      <w:r>
        <w:t xml:space="preserve"> </w:t>
      </w:r>
      <w:r>
        <w:rPr>
          <w:bCs/>
          <w:b/>
        </w:rPr>
        <w:t xml:space="preserve">pronto para tender da Onda 1 (G-02 + G-03)</w:t>
      </w:r>
      <w:r>
        <w:t xml:space="preserve"> </w:t>
      </w:r>
      <w:r>
        <w:t xml:space="preserve">e para</w:t>
      </w:r>
      <w:r>
        <w:t xml:space="preserve"> </w:t>
      </w:r>
      <w:r>
        <w:rPr>
          <w:bCs/>
          <w:b/>
        </w:rPr>
        <w:t xml:space="preserve">aprovação dos AFEs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FDP 9 gerado pelo Gtasck (copiloto do COO) · 30 de agosto de 2026 · Conforme API, NORSOK, COVENIN, IEC 61511 e normas venezuelanas</w:t>
      </w:r>
    </w:p>
    <w:bookmarkEnd w:id="10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PetroUrdaneta · FDP 9 — Field Development Plan</dc:title>
  <dc:creator>Gtasck (copiloto do COO)</dc:creator>
  <cp:keywords/>
  <dcterms:created xsi:type="dcterms:W3CDTF">2026-08-30T12:54:22Z</dcterms:created>
  <dcterms:modified xsi:type="dcterms:W3CDTF">2026-08-30T12:54:22Z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de agosto de 2026</vt:lpwstr>
  </property>
</Properties>
</file>