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PetroUrdaneta · FDP 9 — Field Development Plan</w:t>
      </w:r>
    </w:p>
    <w:p>
      <w:pPr>
        <w:pStyle w:val="Author"/>
      </w:pPr>
      <w:r>
        <w:t xml:space="preserve">Gtasck (copiloto do COO)</w:t>
      </w:r>
    </w:p>
    <w:p>
      <w:pPr>
        <w:pStyle w:val="Date"/>
      </w:pPr>
      <w:r>
        <w:t xml:space="preserve">29 de agosto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etrordaneta-fdp-9"/>
    <w:p>
      <w:pPr>
        <w:pStyle w:val="Heading1"/>
      </w:pPr>
      <w:r>
        <w:t xml:space="preserve">PETRORDANETA · FDP 9</w:t>
      </w:r>
    </w:p>
    <w:bookmarkStart w:id="20" w:name="X7c7d0be4213f97127e24f855db9d91a61cef099"/>
    <w:p>
      <w:pPr>
        <w:pStyle w:val="Heading2"/>
      </w:pPr>
      <w:r>
        <w:t xml:space="preserve">Field Development Plan — Documento Completo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FDP 9 — Field Development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PetroUrdaneta (JV PDVSA) — Lago de Maracaibo, Venezuela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Paz (Fase 1), Mara, Mara West, La Paz Sur, El Moján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Engenharia Conceitual/Básica —</w:t>
            </w:r>
            <w:r>
              <w:t xml:space="preserve"> </w:t>
            </w:r>
            <w:r>
              <w:rPr>
                <w:iCs/>
                <w:i/>
              </w:rPr>
              <w:t xml:space="preserve">Not Issued for Construction</w:t>
            </w:r>
            <w:r>
              <w:t xml:space="preserve"> </w:t>
            </w:r>
            <w:r>
              <w:t xml:space="preserve">— aguardando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de emissão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de agosto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Gerenciado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Gtasck (copiloto do COO)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FDP v9-DRAFT (210 pág., 26 cap. + Apêndices A–M) + 4 workstreams + 25 mudanças rastreadas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API, NORSOK, COVENIN, venezuelanas, IEC, NFPA, DNV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Nota de maturidade:</w:t>
      </w:r>
      <w:r>
        <w:t xml:space="preserve"> </w:t>
      </w:r>
      <w:r>
        <w:t xml:space="preserve">este documento é</w:t>
      </w:r>
      <w:r>
        <w:t xml:space="preserve"> </w:t>
      </w:r>
      <w:r>
        <w:rPr>
          <w:bCs/>
          <w:b/>
        </w:rPr>
        <w:t xml:space="preserve">conceitual</w:t>
      </w:r>
      <w:r>
        <w:t xml:space="preserve"> </w:t>
      </w:r>
      <w:r>
        <w:t xml:space="preserve">e requer revisão na engenharia básica e de detalhe. Todas as estimativas de custo são de planejamento,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uma estimativa Class 3 reconciliada.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índice"/>
    <w:p>
      <w:pPr>
        <w:pStyle w:val="Heading1"/>
      </w:pPr>
      <w:r>
        <w:t xml:space="preserve">ÍNDICE</w:t>
      </w:r>
    </w:p>
    <w:p>
      <w:pPr>
        <w:pStyle w:val="FirstParagraph"/>
      </w:pPr>
      <w:r>
        <w:rPr>
          <w:bCs/>
          <w:b/>
        </w:rPr>
        <w:t xml:space="preserve">Parte I — Base do Projeto</w:t>
      </w:r>
      <w:r>
        <w:t xml:space="preserve"> </w:t>
      </w:r>
      <w:r>
        <w:t xml:space="preserve">1. Controle de Documento, Hierarquia de Fontes e Maturidade de Engenharia</w:t>
      </w:r>
      <w:r>
        <w:t xml:space="preserve"> </w:t>
      </w:r>
      <w:r>
        <w:t xml:space="preserve">2. Sumário Executivo</w:t>
      </w:r>
      <w:r>
        <w:t xml:space="preserve"> </w:t>
      </w:r>
      <w:r>
        <w:t xml:space="preserve">3. Ativo, Concessão e Infraestrutura Existente</w:t>
      </w:r>
      <w:r>
        <w:t xml:space="preserve"> </w:t>
      </w:r>
      <w:r>
        <w:t xml:space="preserve">4. Subsuperfície, Reservatórios e Reservas</w:t>
      </w:r>
      <w:r>
        <w:t xml:space="preserve"> </w:t>
      </w:r>
      <w:r>
        <w:t xml:space="preserve">5. Casos de Desenvolvimento e Previsão de Produção</w:t>
      </w:r>
      <w:r>
        <w:t xml:space="preserve"> </w:t>
      </w:r>
      <w:r>
        <w:t xml:space="preserve">6. Poços, Reativação, Perfuração e Restrições</w:t>
      </w:r>
      <w:r>
        <w:t xml:space="preserve"> </w:t>
      </w:r>
      <w:r>
        <w:t xml:space="preserve">7. Elevação Artificial, Sistemas de Poço e Eletrificação</w:t>
      </w:r>
      <w:r>
        <w:t xml:space="preserve"> </w:t>
      </w:r>
      <w:r>
        <w:t xml:space="preserve">8. Teste de Poços, Medição e Alocação de Produção</w:t>
      </w:r>
      <w:r>
        <w:t xml:space="preserve"> </w:t>
      </w:r>
      <w:r>
        <w:t xml:space="preserve">9. Coleta de Campo e EPFs Modulares Padrão</w:t>
      </w:r>
    </w:p>
    <w:p>
      <w:pPr>
        <w:pStyle w:val="BodyText"/>
      </w:pPr>
      <w:r>
        <w:rPr>
          <w:bCs/>
          <w:b/>
        </w:rPr>
        <w:t xml:space="preserve">Parte II — Facilidades</w:t>
      </w:r>
      <w:r>
        <w:t xml:space="preserve"> </w:t>
      </w:r>
      <w:r>
        <w:t xml:space="preserve">10. Rede de Trunklines Multifásicas Pigáveis e Flex Pipe</w:t>
      </w:r>
      <w:r>
        <w:t xml:space="preserve"> </w:t>
      </w:r>
      <w:r>
        <w:t xml:space="preserve">11. Entrada FSB/CPF Integrada, Slug e Separação Principal</w:t>
      </w:r>
      <w:r>
        <w:t xml:space="preserve"> </w:t>
      </w:r>
      <w:r>
        <w:t xml:space="preserve">12. Compressão de Gás, Fuel Gas, Gas Lift e Flare Central</w:t>
      </w:r>
      <w:r>
        <w:t xml:space="preserve"> </w:t>
      </w:r>
      <w:r>
        <w:t xml:space="preserve">13. Qualidade de Gás, Tratamento, NGL e Exportação Campo Boscan</w:t>
      </w:r>
      <w:r>
        <w:t xml:space="preserve"> </w:t>
      </w:r>
      <w:r>
        <w:t xml:space="preserve">14. LNG Palmarejo e Exportação ISO-Tank</w:t>
      </w:r>
      <w:r>
        <w:t xml:space="preserve"> </w:t>
      </w:r>
      <w:r>
        <w:t xml:space="preserve">15. Tratamento de Água Produzida, Injeção e EOR</w:t>
      </w:r>
      <w:r>
        <w:t xml:space="preserve"> </w:t>
      </w:r>
      <w:r>
        <w:t xml:space="preserve">16. Armazenamento de Crude, LACT, Palmarejo e Exportação Lacustre</w:t>
      </w:r>
      <w:r>
        <w:t xml:space="preserve"> </w:t>
      </w:r>
      <w:r>
        <w:t xml:space="preserve">17. Utilidades e Sistemas de Energia Elétrica</w:t>
      </w:r>
      <w:r>
        <w:t xml:space="preserve"> </w:t>
      </w:r>
      <w:r>
        <w:t xml:space="preserve">18. Segurança de Processo, ESD/PSD, Proteção contra Incêndio</w:t>
      </w:r>
      <w:r>
        <w:t xml:space="preserve"> </w:t>
      </w:r>
      <w:r>
        <w:t xml:space="preserve">19. Flow Assurance, Química de Produção, Materiais e Integridade</w:t>
      </w:r>
    </w:p>
    <w:p>
      <w:pPr>
        <w:pStyle w:val="BodyText"/>
      </w:pPr>
      <w:r>
        <w:rPr>
          <w:bCs/>
          <w:b/>
        </w:rPr>
        <w:t xml:space="preserve">Parte III — Execução e Gestão</w:t>
      </w:r>
      <w:r>
        <w:t xml:space="preserve"> </w:t>
      </w:r>
      <w:r>
        <w:t xml:space="preserve">20. Base Ambiental, Social, Segurança e Regulatória</w:t>
      </w:r>
      <w:r>
        <w:t xml:space="preserve"> </w:t>
      </w:r>
      <w:r>
        <w:t xml:space="preserve">21. Operações, Manutenção, Confiabilidade e Prontidão</w:t>
      </w:r>
      <w:r>
        <w:t xml:space="preserve"> </w:t>
      </w:r>
      <w:r>
        <w:t xml:space="preserve">22. Exportação, Logística Marinha, Rodoviária e de Produto</w:t>
      </w:r>
      <w:r>
        <w:t xml:space="preserve"> </w:t>
      </w:r>
      <w:r>
        <w:t xml:space="preserve">23. Execução de Projeto, Contratação e Deploy Modular</w:t>
      </w:r>
      <w:r>
        <w:t xml:space="preserve"> </w:t>
      </w:r>
      <w:r>
        <w:t xml:space="preserve">24. Capital, Custo Operacional e Economia</w:t>
      </w:r>
      <w:r>
        <w:t xml:space="preserve"> </w:t>
      </w:r>
      <w:r>
        <w:t xml:space="preserve">25. Registro de Riscos, Gates de Decisão e Fechamento do FDP</w:t>
      </w:r>
      <w:r>
        <w:t xml:space="preserve"> </w:t>
      </w:r>
      <w:r>
        <w:t xml:space="preserve">26. Fontes Controladas do Projeto e Referências</w:t>
      </w:r>
    </w:p>
    <w:p>
      <w:pPr>
        <w:pStyle w:val="BodyText"/>
      </w:pPr>
      <w:r>
        <w:rPr>
          <w:bCs/>
          <w:b/>
        </w:rPr>
        <w:t xml:space="preserve">Apêndices</w:t>
      </w:r>
      <w:r>
        <w:t xml:space="preserve"> </w:t>
      </w:r>
      <w:r>
        <w:t xml:space="preserve">A. Registro de Esquemas Industriais · B. Entregáveis FEED · C. Requisitos de Dados Abertos · D. Pacote de Esquemas · E. Tabela de Reativação de Poços · F. Envelope de Previsão de Portfólio · G. Performance de Injeção de Água 2026 · H. Premissas do Plano de Negócio · I. Cromatografia de Gás 2016 · J. Registros de Assurance · K. Inventário de Fontes · L. Registro FDP v8 · M. Registro FEED Class 3</w:t>
      </w:r>
    </w:p>
    <w:bookmarkEnd w:id="22"/>
    <w:bookmarkStart w:id="71" w:name="parte-i-base-do-projeto"/>
    <w:p>
      <w:pPr>
        <w:pStyle w:val="Heading1"/>
      </w:pPr>
      <w:r>
        <w:t xml:space="preserve">PARTE I — BASE DO PROJETO</w:t>
      </w:r>
    </w:p>
    <w:p>
      <w:r>
        <w:pict>
          <v:rect style="width:0;height:1.5pt" o:hralign="center" o:hrstd="t" o:hr="t"/>
        </w:pict>
      </w:r>
    </w:p>
    <w:bookmarkStart w:id="27" w:name="X5db38b397bba4a007a4ef24276c48d1158f1efc"/>
    <w:p>
      <w:pPr>
        <w:pStyle w:val="Heading2"/>
      </w:pPr>
      <w:r>
        <w:t xml:space="preserve">1. Controle de Documento, Hierarquia de Fontes e Maturidade de Engenharia</w:t>
      </w:r>
    </w:p>
    <w:bookmarkStart w:id="23" w:name="controle-de-documento"/>
    <w:p>
      <w:pPr>
        <w:pStyle w:val="Heading3"/>
      </w:pPr>
      <w:r>
        <w:t xml:space="preserve">1.1 Controle de documento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FDP 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base legado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FDP v9-DRAFT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Engenharia conceitual/básica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for Construction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FDP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29/ago/2026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 completo consolidado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Aguardando FEED</w:t>
            </w:r>
          </w:p>
        </w:tc>
      </w:tr>
    </w:tbl>
    <w:bookmarkEnd w:id="23"/>
    <w:bookmarkStart w:id="24" w:name="hierarquia-de-fontes-controladas"/>
    <w:p>
      <w:pPr>
        <w:pStyle w:val="Heading3"/>
      </w:pPr>
      <w:r>
        <w:t xml:space="preserve">1.2 Hierarquia de fontes controladas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FDP v8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Class 3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PDVSA business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forecast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reactivation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EOR water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Paz Sur memo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chromatography 2016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change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Assurance register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utilization model</w:t>
            </w:r>
          </w:p>
        </w:tc>
      </w:tr>
    </w:tbl>
    <w:bookmarkEnd w:id="24"/>
    <w:bookmarkStart w:id="25" w:name="maturidade-de-engenharia"/>
    <w:p>
      <w:pPr>
        <w:pStyle w:val="Heading3"/>
      </w:pPr>
      <w:r>
        <w:t xml:space="preserve">1.3 Maturidade de engenharia</w:t>
      </w:r>
    </w:p>
    <w:p>
      <w:pPr>
        <w:pStyle w:val="FirstParagraph"/>
      </w:pPr>
      <w:r>
        <w:t xml:space="preserve">Este FDP 9 está no estágio de</w:t>
      </w:r>
      <w:r>
        <w:t xml:space="preserve"> </w:t>
      </w:r>
      <w:r>
        <w:rPr>
          <w:bCs/>
          <w:b/>
        </w:rPr>
        <w:t xml:space="preserve">engenharia conceitual/básica</w:t>
      </w:r>
      <w:r>
        <w:t xml:space="preserve">. O documento é</w:t>
      </w:r>
      <w:r>
        <w:t xml:space="preserve"> </w:t>
      </w:r>
      <w:r>
        <w:rPr>
          <w:bCs/>
          <w:b/>
        </w:rPr>
        <w:t xml:space="preserve">credible as a modular development concept but is not yet a frozen facilities design</w:t>
      </w:r>
      <w:r>
        <w:t xml:space="preserve">. As estimativas de custo são de planejamento e devem ser reconstruídas a partir de RFIs atuais, cotações locais, quantidades e cronogramas de execução.</w:t>
      </w:r>
    </w:p>
    <w:bookmarkEnd w:id="25"/>
    <w:bookmarkStart w:id="26" w:name="sistema-de-rastreamento-novo-no-fdp-9"/>
    <w:p>
      <w:pPr>
        <w:pStyle w:val="Heading3"/>
      </w:pPr>
      <w:r>
        <w:t xml:space="preserve">1.4 Sistema de rastreamento (novo no FDP 9)</w:t>
      </w:r>
    </w:p>
    <w:p>
      <w:pPr>
        <w:pStyle w:val="FirstParagraph"/>
      </w:pPr>
      <w:r>
        <w:t xml:space="preserve">O FDP 9 introduz um</w:t>
      </w:r>
      <w:r>
        <w:t xml:space="preserve"> </w:t>
      </w:r>
      <w:r>
        <w:rPr>
          <w:bCs/>
          <w:b/>
        </w:rPr>
        <w:t xml:space="preserve">sistema de rastreamento de mudanças</w:t>
      </w:r>
      <w:r>
        <w:t xml:space="preserve"> </w:t>
      </w:r>
      <w:r>
        <w:t xml:space="preserve">versionado e auditável (Gtasck). Cada mudança/melhoria/decisão é registrada como um item</w:t>
      </w:r>
      <w:r>
        <w:t xml:space="preserve"> </w:t>
      </w:r>
      <w:r>
        <w:rPr>
          <w:bCs/>
          <w:b/>
        </w:rPr>
        <w:t xml:space="preserve">CH-###</w:t>
      </w:r>
      <w:r>
        <w:t xml:space="preserve"> </w:t>
      </w:r>
      <w:r>
        <w:t xml:space="preserve">no change log, com capítulo, gate, tipo, autor, impacto e status. Ao todo,</w:t>
      </w:r>
      <w:r>
        <w:t xml:space="preserve"> </w:t>
      </w:r>
      <w:r>
        <w:rPr>
          <w:bCs/>
          <w:b/>
        </w:rPr>
        <w:t xml:space="preserve">25 mudanças</w:t>
      </w:r>
      <w:r>
        <w:t xml:space="preserve"> </w:t>
      </w:r>
      <w:r>
        <w:t xml:space="preserve">foram rastreadas até a emissão deste documento (CH-001 a CH-025).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umário-executivo"/>
    <w:p>
      <w:pPr>
        <w:pStyle w:val="Heading2"/>
      </w:pPr>
      <w:r>
        <w:t xml:space="preserve">2. Sumário Executivo</w:t>
      </w:r>
    </w:p>
    <w:p>
      <w:pPr>
        <w:pStyle w:val="FirstParagraph"/>
      </w:pPr>
      <w:r>
        <w:t xml:space="preserve">A estratégia de desenvolvimento da PetroUrdaneta é uma</w:t>
      </w:r>
      <w:r>
        <w:t xml:space="preserve"> </w:t>
      </w:r>
      <w:r>
        <w:rPr>
          <w:bCs/>
          <w:b/>
        </w:rPr>
        <w:t xml:space="preserve">restauração e expansão modular e faseada</w:t>
      </w:r>
      <w:r>
        <w:t xml:space="preserve"> </w:t>
      </w:r>
      <w:r>
        <w:t xml:space="preserve">do sistema de produção da área de La Paz, seguida por Mara, Mara West, La Paz Sur, El Moján e oportunidades posteriores de infill. O desenvolvimento</w:t>
      </w:r>
      <w:r>
        <w:t xml:space="preserve"> </w:t>
      </w:r>
      <w:r>
        <w:rPr>
          <w:bCs/>
          <w:b/>
        </w:rPr>
        <w:t xml:space="preserve">prioriza reativação antes de infill</w:t>
      </w:r>
      <w:r>
        <w:t xml:space="preserve">, uso antecipado de infraestrutura existente, EPFs autocontidos e upgrades incrementais de facilidades centrais.</w:t>
      </w:r>
    </w:p>
    <w:p>
      <w:pPr>
        <w:pStyle w:val="BodyText"/>
      </w:pPr>
      <w:r>
        <w:t xml:space="preserve">O sistema de produção é deliberadamente baseado em</w:t>
      </w:r>
      <w:r>
        <w:t xml:space="preserve"> </w:t>
      </w:r>
      <w:r>
        <w:rPr>
          <w:bCs/>
          <w:b/>
        </w:rPr>
        <w:t xml:space="preserve">fluxo multifásico normal</w:t>
      </w:r>
      <w:r>
        <w:t xml:space="preserve"> </w:t>
      </w:r>
      <w:r>
        <w:t xml:space="preserve">do poço para a EPF e da EPF para o complexo integrado FSB/CPF.</w:t>
      </w:r>
    </w:p>
    <w:bookmarkStart w:id="28" w:name="X033ee7e6d0c61cbbf05d46747524bb23751a721"/>
    <w:p>
      <w:pPr>
        <w:pStyle w:val="Heading3"/>
      </w:pPr>
      <w:r>
        <w:t xml:space="preserve">2.1 Conceito de referência aprovado pelo owner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38 poços Fase 1:</w:t>
      </w:r>
      <w:r>
        <w:t xml:space="preserve"> </w:t>
      </w:r>
      <w:r>
        <w:t xml:space="preserve">22 PCP/ePCP · 5 ESP · 8 gas-lift · 3 a definir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EPFs modulares</w:t>
      </w:r>
      <w:r>
        <w:t xml:space="preserve"> </w:t>
      </w:r>
      <w:r>
        <w:t xml:space="preserve">distribuídas, cada uma coletando vários poços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Trunklines pigáveis</w:t>
      </w:r>
      <w:r>
        <w:t xml:space="preserve"> </w:t>
      </w:r>
      <w:r>
        <w:t xml:space="preserve">EPF→FSB (flex pipe 4”/6”/8” em avaliação; aço como fallback)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FSB/CPF integrado:</w:t>
      </w:r>
      <w:r>
        <w:t xml:space="preserve"> </w:t>
      </w:r>
      <w:r>
        <w:t xml:space="preserve">pig receivers → vaso de slug bifásico → separador trifásico principal</w:t>
      </w:r>
    </w:p>
    <w:bookmarkEnd w:id="28"/>
    <w:bookmarkStart w:id="29" w:name="X0d87c2e8bb75a20dbc1793241fdf0bb45364e1f"/>
    <w:p>
      <w:pPr>
        <w:pStyle w:val="Heading3"/>
      </w:pPr>
      <w:r>
        <w:t xml:space="preserve">2.2 Metas de produção (envelopes separados — NÃO somar)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262"/>
        <w:gridCol w:w="226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Óleo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La Paz atual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~1.300 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reinício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Reativação (workbook)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4.719 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Triagem de poços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FDP Fase 1 (referência)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13.500 BOPD</w:t>
            </w:r>
            <w:r>
              <w:t xml:space="preserve"> </w:t>
            </w:r>
            <w:r>
              <w:t xml:space="preserve">(teórico 14.982)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Sanção / Fase 1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Portfólio PDVSA (alto)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27–28 kbopd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49–52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 de facilidades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Estratégico full-field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40.000 BOPD (Ano 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de exportação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Paz Sur (módulo)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~20,7 kbopd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appraisal separado</w:t>
            </w:r>
          </w:p>
        </w:tc>
      </w:tr>
    </w:tbl>
    <w:bookmarkEnd w:id="29"/>
    <w:bookmarkStart w:id="30" w:name="reservas"/>
    <w:p>
      <w:pPr>
        <w:pStyle w:val="Heading3"/>
      </w:pPr>
      <w:r>
        <w:t xml:space="preserve">2.3 Reservas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OOIP:</w:t>
      </w:r>
      <w:r>
        <w:t xml:space="preserve"> </w:t>
      </w:r>
      <w:r>
        <w:t xml:space="preserve">~8,6 bilhões bbl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OGIP:</w:t>
      </w:r>
      <w:r>
        <w:t xml:space="preserve"> </w:t>
      </w:r>
      <w:r>
        <w:t xml:space="preserve">4,6 Tcf</w:t>
      </w:r>
    </w:p>
    <w:bookmarkEnd w:id="30"/>
    <w:bookmarkStart w:id="31" w:name="avanços-do-fdp-9-além-do-fdp-8"/>
    <w:p>
      <w:pPr>
        <w:pStyle w:val="Heading3"/>
      </w:pPr>
      <w:r>
        <w:t xml:space="preserve">2.4 Avanços do FDP 9 (além do FDP 8)</w:t>
      </w:r>
    </w:p>
    <w:p>
      <w:pPr>
        <w:pStyle w:val="FirstParagraph"/>
      </w:pPr>
      <w:r>
        <w:t xml:space="preserve">O FDP 9 consolida e</w:t>
      </w:r>
      <w:r>
        <w:t xml:space="preserve"> </w:t>
      </w:r>
      <w:r>
        <w:rPr>
          <w:bCs/>
          <w:b/>
        </w:rPr>
        <w:t xml:space="preserve">completa</w:t>
      </w:r>
      <w:r>
        <w:t xml:space="preserve"> </w:t>
      </w:r>
      <w:r>
        <w:t xml:space="preserve">o FDP 8 com: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Well master reconciliado</w:t>
      </w:r>
      <w:r>
        <w:t xml:space="preserve"> </w:t>
      </w:r>
      <w:r>
        <w:t xml:space="preserve">(41 poços nomeados) — fecha o gate G-01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Plano de fechamento dos 13 gates</w:t>
      </w:r>
      <w:r>
        <w:t xml:space="preserve"> </w:t>
      </w:r>
      <w:r>
        <w:t xml:space="preserve">em 3 ondas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Otimização de produção da Fase 1</w:t>
      </w:r>
      <w:r>
        <w:t xml:space="preserve"> </w:t>
      </w:r>
      <w:r>
        <w:t xml:space="preserve">por método de elevação (BOPD/CAPEX)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Fila priorizada dos 52 bloqueadores</w:t>
      </w:r>
      <w:r>
        <w:t xml:space="preserve"> </w:t>
      </w:r>
      <w:r>
        <w:t xml:space="preserve">por severidade × impacto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Plano de reativação poço a poço</w:t>
      </w:r>
      <w:r>
        <w:t xml:space="preserve"> </w:t>
      </w:r>
      <w:r>
        <w:t xml:space="preserve">com AFE individual (40 poços, 38.650 BOPD, US$ 51,4 MM)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Cronograma Gantt</w:t>
      </w:r>
      <w:r>
        <w:t xml:space="preserve"> </w:t>
      </w:r>
      <w:r>
        <w:t xml:space="preserve">de reativação (D0 01/set/2026 → 18/mai/2027)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Screening de trunklines 4”/6”/8”</w:t>
      </w:r>
      <w:r>
        <w:t xml:space="preserve"> </w:t>
      </w:r>
      <w:r>
        <w:t xml:space="preserve">e modelo transiente da trunkline crítica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 SOWs em formato MSA</w:t>
      </w:r>
      <w:r>
        <w:t xml:space="preserve"> </w:t>
      </w:r>
      <w:r>
        <w:t xml:space="preserve">(G-02 a G-06) prontos para tender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Pacote de tender + RFP da Onda 1</w:t>
      </w:r>
      <w:r>
        <w:t xml:space="preserve"> </w:t>
      </w:r>
      <w:r>
        <w:t xml:space="preserve">(G-02 + G-03)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39 AFEs</w:t>
      </w:r>
      <w:r>
        <w:t xml:space="preserve"> </w:t>
      </w:r>
      <w:r>
        <w:t xml:space="preserve">cobrindo todos os poços ativos (US$ 50,1 MM)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Plano integrado de 4 MSAs</w:t>
      </w:r>
      <w:r>
        <w:t xml:space="preserve"> </w:t>
      </w:r>
      <w:r>
        <w:t xml:space="preserve">(CAPEX atrelado ao retorno em crude)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 do COO</w:t>
      </w:r>
      <w:r>
        <w:t xml:space="preserve"> </w:t>
      </w:r>
      <w:r>
        <w:t xml:space="preserve">com KPIs ao vivo (rotina diária automatizada)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fc4f272e9a4ad8febd76d0729a02f5798d93955"/>
    <w:p>
      <w:pPr>
        <w:pStyle w:val="Heading2"/>
      </w:pPr>
      <w:r>
        <w:t xml:space="preserve">3. Ativo, Concessão e Infraestrutura Existente</w:t>
      </w:r>
    </w:p>
    <w:bookmarkStart w:id="33" w:name="identidade-do-ativo"/>
    <w:p>
      <w:pPr>
        <w:pStyle w:val="Heading3"/>
      </w:pPr>
      <w:r>
        <w:t xml:space="preserve">3.1 Identidade do ativo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PetroUrdaneta (JV PDVSA)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Venezuela — região do Lago de Maracaibo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Paz (Fase 1), Mara, Mara West, La Paz Sur, El Moján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OOIP / OGIP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~8,6 bilhões bbl / 4,6 Tcf</w:t>
            </w:r>
          </w:p>
        </w:tc>
      </w:tr>
    </w:tbl>
    <w:bookmarkEnd w:id="33"/>
    <w:bookmarkStart w:id="34" w:name="X18f76890e256418aeffe121b81ace814c03ea88"/>
    <w:p>
      <w:pPr>
        <w:pStyle w:val="Heading3"/>
      </w:pPr>
      <w:r>
        <w:t xml:space="preserve">3.2 Infraestrutura existente (brownfield — requer avaliação)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reportada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Fechamento necessário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FSB/CPF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~5.000 BOPD / 0,9 MMscfd; condição desconhecida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Survey, teste de capacidade, relief, tie-in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Compressão LF-B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19,5 MMscfd reportado, não verificado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Curvas, anti-surge, disponibilidade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Tanques 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80.000 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útil, integridade, taxa de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 principal→Palmarejo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Vazamentos ativos</w:t>
            </w:r>
            <w:r>
              <w:t xml:space="preserve">; limitada a ~10.000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Inspeção de integridade, reparo, 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 subsuperfície P. Miranda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Integridade/pigabilidade incerta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Revisão de propriedade,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Terminal lacustre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Barcaça de crude + ISO-tank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Batimetria, berth, ESD, spill</w:t>
            </w:r>
          </w:p>
        </w:tc>
      </w:tr>
    </w:tbl>
    <w:p>
      <w:pPr>
        <w:pStyle w:val="BlockText"/>
      </w:pPr>
      <w:r>
        <w:rPr>
          <w:bCs/>
          <w:b/>
        </w:rPr>
        <w:t xml:space="preserve">Gate G-03:</w:t>
      </w:r>
      <w:r>
        <w:t xml:space="preserve"> </w:t>
      </w:r>
      <w:r>
        <w:t xml:space="preserve">o FSB existente</w:t>
      </w:r>
      <w:r>
        <w:t xml:space="preserve"> </w:t>
      </w:r>
      <w:r>
        <w:rPr>
          <w:bCs/>
          <w:b/>
        </w:rPr>
        <w:t xml:space="preserve">não pode ser creditado</w:t>
      </w:r>
      <w:r>
        <w:t xml:space="preserve"> </w:t>
      </w:r>
      <w:r>
        <w:t xml:space="preserve">para a Fase 1 ou os casos de portfólio até que a avaliação brownfield verifique dimensões de vasos, internals, válvulas de controle, capacidade de relief, corrosion allowance, fundações, piping, supports, classificação elétrica, fire/gas coverage, instrumentação e janelas de tie-in.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ubsuperfície-reservatórios-e-reservas"/>
    <w:p>
      <w:pPr>
        <w:pStyle w:val="Heading2"/>
      </w:pPr>
      <w:r>
        <w:t xml:space="preserve">4. Subsuperfície, Reservatórios e Reservas</w:t>
      </w:r>
    </w:p>
    <w:bookmarkStart w:id="36" w:name="reservatórios"/>
    <w:p>
      <w:pPr>
        <w:pStyle w:val="Heading3"/>
      </w:pPr>
      <w:r>
        <w:t xml:space="preserve">4.1 Reservatórios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 Paz:</w:t>
      </w:r>
      <w:r>
        <w:t xml:space="preserve"> </w:t>
      </w:r>
      <w:r>
        <w:t xml:space="preserve">EOC/PAL (somero), Cretáceo, Basamento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Mara / Mara West / El Moján:</w:t>
      </w:r>
      <w:r>
        <w:t xml:space="preserve"> </w:t>
      </w:r>
      <w:r>
        <w:t xml:space="preserve">reservatórios a confirmar na fase de appraisal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 Paz Sur:</w:t>
      </w:r>
      <w:r>
        <w:t xml:space="preserve"> </w:t>
      </w:r>
      <w:r>
        <w:t xml:space="preserve">módulo separado com gate de appraisal próprio</w:t>
      </w:r>
    </w:p>
    <w:bookmarkEnd w:id="36"/>
    <w:bookmarkStart w:id="37" w:name="reservas-1"/>
    <w:p>
      <w:pPr>
        <w:pStyle w:val="Heading3"/>
      </w:pPr>
      <w:r>
        <w:t xml:space="preserve">4.2 Reservas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OOIP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~8,6 bilhões bbl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OGIP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 Tcf</w:t>
            </w:r>
          </w:p>
        </w:tc>
      </w:tr>
    </w:tbl>
    <w:bookmarkEnd w:id="37"/>
    <w:bookmarkStart w:id="38" w:name="Xb679b04a90afbfcf948254e9f82e49cad928799"/>
    <w:p>
      <w:pPr>
        <w:pStyle w:val="Heading3"/>
      </w:pPr>
      <w:r>
        <w:t xml:space="preserve">4.3 Qualidade de fluido (cromatografia 2016 — screening)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Amostra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H₂S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BTU/scf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GPM C3+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Paz (rica)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ppm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~190 ppm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 ppm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2,344</w:t>
            </w:r>
          </w:p>
        </w:tc>
      </w:tr>
    </w:tbl>
    <w:p>
      <w:pPr>
        <w:pStyle w:val="BlockText"/>
      </w:pPr>
      <w:r>
        <w:rPr>
          <w:bCs/>
          <w:b/>
        </w:rPr>
        <w:t xml:space="preserve">Gate G-02:</w:t>
      </w:r>
      <w:r>
        <w:t xml:space="preserve"> </w:t>
      </w:r>
      <w:r>
        <w:t xml:space="preserve">a variabilidade é</w:t>
      </w:r>
      <w:r>
        <w:t xml:space="preserve"> </w:t>
      </w:r>
      <w:r>
        <w:rPr>
          <w:bCs/>
          <w:b/>
        </w:rPr>
        <w:t xml:space="preserve">grande demais</w:t>
      </w:r>
      <w:r>
        <w:t xml:space="preserve"> </w:t>
      </w:r>
      <w:r>
        <w:t xml:space="preserve">para um único design de tratamento. São necessárias</w:t>
      </w:r>
      <w:r>
        <w:t xml:space="preserve"> </w:t>
      </w:r>
      <w:r>
        <w:rPr>
          <w:bCs/>
          <w:b/>
        </w:rPr>
        <w:t xml:space="preserve">amostras pressurizadas frescas</w:t>
      </w:r>
      <w:r>
        <w:t xml:space="preserve"> </w:t>
      </w:r>
      <w:r>
        <w:t xml:space="preserve">por cluster + corrente blended do FSB, com análise de composição, água, H₂S, CO₂, N₂,</w:t>
      </w:r>
      <w:r>
        <w:t xml:space="preserve"> </w:t>
      </w:r>
      <w:r>
        <w:rPr>
          <w:bCs/>
          <w:b/>
        </w:rPr>
        <w:t xml:space="preserve">mercúrio</w:t>
      </w:r>
      <w:r>
        <w:t xml:space="preserve">, dew point HC, PVT e reologia.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feee9ea7ca77dc1d15e099070e03759c9aabd47"/>
    <w:p>
      <w:pPr>
        <w:pStyle w:val="Heading2"/>
      </w:pPr>
      <w:r>
        <w:t xml:space="preserve">5. Casos de Desenvolvimento e Previsão de Produção</w:t>
      </w:r>
    </w:p>
    <w:bookmarkStart w:id="40" w:name="estratégia-de-desenvolvimento"/>
    <w:p>
      <w:pPr>
        <w:pStyle w:val="Heading3"/>
      </w:pPr>
      <w:r>
        <w:t xml:space="preserve">5.1 Estratégia de desenvolvimento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Reativação antes de infill</w:t>
      </w:r>
      <w:r>
        <w:t xml:space="preserve"> </w:t>
      </w:r>
      <w:r>
        <w:t xml:space="preserve">(regra permanente)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Sequência:</w:t>
      </w:r>
      <w:r>
        <w:t xml:space="preserve"> </w:t>
      </w:r>
      <w:r>
        <w:t xml:space="preserve">La Paz → Mara/Mara West → infills → El Moján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Modular e faseada:</w:t>
      </w:r>
      <w:r>
        <w:t xml:space="preserve"> </w:t>
      </w:r>
      <w:r>
        <w:t xml:space="preserve">produção antecipada primeiro; infraestrutura permanente diferida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EPFs autocontidos</w:t>
      </w:r>
      <w:r>
        <w:t xml:space="preserve"> </w:t>
      </w:r>
      <w:r>
        <w:t xml:space="preserve">com geradores a gás (fuel gas de compressores existentes)</w:t>
      </w:r>
    </w:p>
    <w:bookmarkEnd w:id="40"/>
    <w:bookmarkStart w:id="41" w:name="casos-de-produção-envelopes-separados"/>
    <w:p>
      <w:pPr>
        <w:pStyle w:val="Heading3"/>
      </w:pPr>
      <w:r>
        <w:t xml:space="preserve">5.2 Casos de produção (envelopes separados)</w:t>
      </w:r>
    </w:p>
    <w:p>
      <w:pPr>
        <w:pStyle w:val="FirstParagraph"/>
      </w:pPr>
      <w:r>
        <w:t xml:space="preserve">Ver tabela da seção 2.2. Os envelopes são</w:t>
      </w:r>
      <w:r>
        <w:t xml:space="preserve"> </w:t>
      </w:r>
      <w:r>
        <w:rPr>
          <w:bCs/>
          <w:b/>
        </w:rPr>
        <w:t xml:space="preserve">mantidos separados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devem ser somados</w:t>
      </w:r>
      <w:r>
        <w:t xml:space="preserve">.</w:t>
      </w:r>
    </w:p>
    <w:bookmarkEnd w:id="41"/>
    <w:bookmarkStart w:id="42" w:name="otimização-da-fase-1-ws3-novo-no-fdp-9"/>
    <w:p>
      <w:pPr>
        <w:pStyle w:val="Heading3"/>
      </w:pPr>
      <w:r>
        <w:t xml:space="preserve">5.3 Otimização da Fase 1 (WS3 — novo no FDP 9)</w:t>
      </w:r>
    </w:p>
    <w:p>
      <w:pPr>
        <w:pStyle w:val="FirstParagraph"/>
      </w:pPr>
      <w:r>
        <w:t xml:space="preserve">Rankeado por</w:t>
      </w:r>
      <w:r>
        <w:t xml:space="preserve"> </w:t>
      </w:r>
      <w:r>
        <w:rPr>
          <w:bCs/>
          <w:b/>
        </w:rPr>
        <w:t xml:space="preserve">BOPD por US$ milhão de CAPEX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Poços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BOPD/un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BOPD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CAPEX (US$ 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BOPD/US$MM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a_definir →</w:t>
            </w:r>
            <w:r>
              <w:t xml:space="preserve"> </w:t>
            </w:r>
            <w:r>
              <w:rPr>
                <w:bCs/>
                <w:b/>
              </w:rPr>
              <w:t xml:space="preserve">ESP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34.950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~24,9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1.402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Insights: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ESP tem o melhor BOPD/CAPEX (1.667)</w:t>
      </w:r>
      <w:r>
        <w:t xml:space="preserve"> </w:t>
      </w:r>
      <w:r>
        <w:t xml:space="preserve">— recomenda-se alocar os</w:t>
      </w:r>
      <w:r>
        <w:t xml:space="preserve"> </w:t>
      </w:r>
      <w:r>
        <w:rPr>
          <w:bCs/>
          <w:b/>
        </w:rPr>
        <w:t xml:space="preserve">3 poços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definir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para ESP</w:t>
      </w:r>
      <w:r>
        <w:t xml:space="preserve">.</w:t>
      </w:r>
      <w:r>
        <w:t xml:space="preserve"> </w:t>
      </w:r>
      <w:r>
        <w:t xml:space="preserve">2. O mix teórico rende</w:t>
      </w:r>
      <w:r>
        <w:t xml:space="preserve"> </w:t>
      </w:r>
      <w:r>
        <w:rPr>
          <w:bCs/>
          <w:b/>
        </w:rPr>
        <w:t xml:space="preserve">~34.950 BOPD = 259% da meta de 13.500 BOPD</w:t>
      </w:r>
      <w:r>
        <w:t xml:space="preserve"> </w:t>
      </w:r>
      <w:r>
        <w:t xml:space="preserve">— margem de segurança ampla.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Alavanca de maior impacto:</w:t>
      </w:r>
      <w:r>
        <w:t xml:space="preserve"> </w:t>
      </w:r>
      <w:r>
        <w:t xml:space="preserve">converter PCP/ePCP marginal → ESP onde o reservatório permitir (+~1.200 BOPD/poço).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poços-reativação-perfuração-e-restrições"/>
    <w:p>
      <w:pPr>
        <w:pStyle w:val="Heading2"/>
      </w:pPr>
      <w:r>
        <w:t xml:space="preserve">6. Poços, Reativação, Perfuração e Restrições</w:t>
      </w:r>
    </w:p>
    <w:bookmarkStart w:id="44" w:name="X1946216b6f6bec623f2d45158ae402d0091218a"/>
    <w:p>
      <w:pPr>
        <w:pStyle w:val="Heading3"/>
      </w:pPr>
      <w:r>
        <w:t xml:space="preserve">6.1 Well master reconciliado (WS1 — novo no FDP 9)</w:t>
      </w:r>
    </w:p>
    <w:p>
      <w:pPr>
        <w:pStyle w:val="FirstParagraph"/>
      </w:pPr>
      <w:r>
        <w:t xml:space="preserve">O FDP citava</w:t>
      </w:r>
      <w:r>
        <w:t xml:space="preserve"> </w:t>
      </w:r>
      <w:r>
        <w:rPr>
          <w:bCs/>
          <w:b/>
        </w:rPr>
        <w:t xml:space="preserve">4 populações divergentes</w:t>
      </w:r>
      <w:r>
        <w:t xml:space="preserve"> </w:t>
      </w:r>
      <w:r>
        <w:t xml:space="preserve">(32 / 35 / 38 / 86). O FDP 9 reconcilia num well master único: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Poços nomeados identificados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La Paz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Mara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(DM-0010, DM-0021, DM-0023, DM-123)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El Moján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(DMM-0002, DMM-003)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Categoria 1 (base 1.388 BND)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 restrição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44"/>
    <w:bookmarkStart w:id="45" w:name="X0cd70b11522e07ed71d69a819b9ae7ae67b1c71"/>
    <w:p>
      <w:pPr>
        <w:pStyle w:val="Heading3"/>
      </w:pPr>
      <w:r>
        <w:t xml:space="preserve">6.2 Restrições de poços (gates de desenvolvimento)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Poço(s)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P-108, P-173, P-95, P-180, P-152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Questões de comunidade/acesso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P-192, P-82, P-61, P-88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Equipamento de superfície não econômico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Reparo subsuperfície maior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produção de água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Aguardando abandono</w:t>
            </w:r>
          </w:p>
        </w:tc>
      </w:tr>
    </w:tbl>
    <w:bookmarkEnd w:id="45"/>
    <w:bookmarkStart w:id="46" w:name="X60436c7038ae8d1c7bd73cfa880c5a03f24b734"/>
    <w:p>
      <w:pPr>
        <w:pStyle w:val="Heading3"/>
      </w:pPr>
      <w:r>
        <w:t xml:space="preserve">6.3 Plano de reativação poço a poço (novo no FDP 9)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Poços ativos no plano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  <w:r>
              <w:t xml:space="preserve"> </w:t>
            </w:r>
            <w:r>
              <w:t xml:space="preserve">(P-52 aguardando abandono)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Produção total estimada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38.650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US$ 51,4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Eficiência média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752 BOPD/US$MM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aplicadas:</w:t>
      </w:r>
      <w:r>
        <w:t xml:space="preserve"> </w:t>
      </w:r>
      <w:r>
        <w:t xml:space="preserve">AFE por poço (rig + dias + teste 72h); rig liberado 12h após fluxo estável; atividades em paralelo (procurement + wellsite package 30 dias antes); rigs em fases (350/750/1500 hp); taxas por método de elevação.</w:t>
      </w:r>
    </w:p>
    <w:bookmarkEnd w:id="46"/>
    <w:bookmarkStart w:id="47" w:name="cronograma-de-reativação-gantt"/>
    <w:p>
      <w:pPr>
        <w:pStyle w:val="Heading3"/>
      </w:pPr>
      <w:r>
        <w:t xml:space="preserve">6.4 Cronograma de reativação (Gantt)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01/set/2026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Fim da 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18/mai/2027 (~8,5 meses)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Produção ao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óleo (P-016)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16/set/2026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1" w:name="X63af8f30d7e86db3fd0630c8c55921d8a046e4b"/>
    <w:p>
      <w:pPr>
        <w:pStyle w:val="Heading2"/>
      </w:pPr>
      <w:r>
        <w:t xml:space="preserve">7. Elevação Artificial, Sistemas de Poço e Eletrificação</w:t>
      </w:r>
    </w:p>
    <w:bookmarkStart w:id="49" w:name="mix-de-elevação-da-fase-1"/>
    <w:p>
      <w:pPr>
        <w:pStyle w:val="Heading3"/>
      </w:pPr>
      <w:r>
        <w:t xml:space="preserve">7.1 Mix de elevação da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(BOPD)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(+3 a definir)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800–3.000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Maiores taxas; poços categoria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média; La Paz reactivation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baixa; Mara/El Moján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rod_pump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Menores taxas</w:t>
            </w:r>
          </w:p>
        </w:tc>
      </w:tr>
    </w:tbl>
    <w:bookmarkEnd w:id="49"/>
    <w:bookmarkStart w:id="50" w:name="eletrificação"/>
    <w:p>
      <w:pPr>
        <w:pStyle w:val="Heading3"/>
      </w:pPr>
      <w:r>
        <w:t xml:space="preserve">7.2 Eletrificação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EPFs autocontidas</w:t>
      </w:r>
      <w:r>
        <w:t xml:space="preserve"> </w:t>
      </w:r>
      <w:r>
        <w:t xml:space="preserve">com 2 geradores a gás cada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Fuel gas</w:t>
      </w:r>
      <w:r>
        <w:t xml:space="preserve"> </w:t>
      </w:r>
      <w:r>
        <w:t xml:space="preserve">de compressores existentes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VFD</w:t>
      </w:r>
      <w:r>
        <w:t xml:space="preserve"> </w:t>
      </w:r>
      <w:r>
        <w:t xml:space="preserve">em cada booster multiphase e ESP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Gate G-07:</w:t>
      </w:r>
      <w:r>
        <w:t xml:space="preserve"> </w:t>
      </w:r>
      <w:r>
        <w:t xml:space="preserve">lista de carga, curto-circuito, proteção, estabilidade e</w:t>
      </w:r>
      <w:r>
        <w:t xml:space="preserve"> </w:t>
      </w:r>
      <w:r>
        <w:rPr>
          <w:bCs/>
          <w:b/>
        </w:rPr>
        <w:t xml:space="preserve">black start</w:t>
      </w:r>
      <w:r>
        <w:t xml:space="preserve"> </w:t>
      </w:r>
      <w:r>
        <w:t xml:space="preserve">devem ser fechados antes da compra de geradores/switchgear.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Xe61647cbc522cecfa40b97eac0a7544e6b9dc3a"/>
    <w:p>
      <w:pPr>
        <w:pStyle w:val="Heading2"/>
      </w:pPr>
      <w:r>
        <w:t xml:space="preserve">8. Teste de Poços, Medição e Alocação de Produção</w:t>
      </w:r>
    </w:p>
    <w:bookmarkStart w:id="52" w:name="teste-de-poços"/>
    <w:p>
      <w:pPr>
        <w:pStyle w:val="Heading3"/>
      </w:pPr>
      <w:r>
        <w:t xml:space="preserve">8.1 Teste de poços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Teste de 72h</w:t>
      </w:r>
      <w:r>
        <w:t xml:space="preserve"> </w:t>
      </w:r>
      <w:r>
        <w:t xml:space="preserve">por poço após instalação da bomba (regra permanente)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Pacote de teste modular</w:t>
      </w:r>
      <w:r>
        <w:t xml:space="preserve"> </w:t>
      </w:r>
      <w:r>
        <w:t xml:space="preserve">(separador trifásico móvel + flare)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EPFs NÃO incluem separador de teste permanente</w:t>
      </w:r>
      <w:r>
        <w:t xml:space="preserve"> </w:t>
      </w:r>
      <w:r>
        <w:t xml:space="preserve">(regra permanente)</w:t>
      </w:r>
    </w:p>
    <w:bookmarkEnd w:id="52"/>
    <w:bookmarkStart w:id="53" w:name="alocação-de-produção"/>
    <w:p>
      <w:pPr>
        <w:pStyle w:val="Heading3"/>
      </w:pPr>
      <w:r>
        <w:t xml:space="preserve">8.2 Alocação de produção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por diferença ou pro-rata; reconciliação por poço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Medição fiscal</w:t>
      </w:r>
      <w:r>
        <w:t xml:space="preserve"> </w:t>
      </w:r>
      <w:r>
        <w:t xml:space="preserve">obrigatória (API MPMS, ISO 5167)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Tolerância de fechamento do balanço:</w:t>
      </w:r>
      <w:r>
        <w:t xml:space="preserve"> </w:t>
      </w:r>
      <w:r>
        <w:t xml:space="preserve">±2,0%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coleta-de-campo-e-epfs-modulares-padrão"/>
    <w:p>
      <w:pPr>
        <w:pStyle w:val="Heading2"/>
      </w:pPr>
      <w:r>
        <w:t xml:space="preserve">9. Coleta de Campo e EPFs Modulares Padrão</w:t>
      </w:r>
    </w:p>
    <w:bookmarkStart w:id="55" w:name="epf-modular-padrão-conceito-owner"/>
    <w:p>
      <w:pPr>
        <w:pStyle w:val="Heading3"/>
      </w:pPr>
      <w:r>
        <w:t xml:space="preserve">9.1 EPF modular padrão (conceito owner)</w:t>
      </w:r>
    </w:p>
    <w:p>
      <w:pPr>
        <w:pStyle w:val="FirstParagraph"/>
      </w:pPr>
      <w:r>
        <w:t xml:space="preserve">Cada uma das</w:t>
      </w:r>
      <w:r>
        <w:t xml:space="preserve"> </w:t>
      </w:r>
      <w:r>
        <w:rPr>
          <w:bCs/>
          <w:b/>
        </w:rPr>
        <w:t xml:space="preserve">12 EPFs</w:t>
      </w:r>
      <w:r>
        <w:t xml:space="preserve"> </w:t>
      </w:r>
      <w:r>
        <w:t xml:space="preserve">contém:</w:t>
      </w:r>
    </w:p>
    <w:p>
      <w:pPr>
        <w:numPr>
          <w:ilvl w:val="0"/>
          <w:numId w:val="1009"/>
        </w:numPr>
        <w:pStyle w:val="Compact"/>
      </w:pPr>
      <w:r>
        <w:t xml:space="preserve">Manifold multifásico local</w:t>
      </w:r>
    </w:p>
    <w:p>
      <w:pPr>
        <w:numPr>
          <w:ilvl w:val="0"/>
          <w:numId w:val="1009"/>
        </w:numPr>
        <w:pStyle w:val="Compact"/>
      </w:pPr>
      <w:r>
        <w:t xml:space="preserve">Provisões de injeção química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 pacote booster multifásico controlado por VFD</w:t>
      </w:r>
    </w:p>
    <w:p>
      <w:pPr>
        <w:numPr>
          <w:ilvl w:val="0"/>
          <w:numId w:val="1009"/>
        </w:numPr>
        <w:pStyle w:val="Compact"/>
      </w:pPr>
      <w:r>
        <w:t xml:space="preserve">Válvulas de bypass, não-retorno e isolamento de emergência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 geradores a gás</w:t>
      </w:r>
      <w:r>
        <w:t xml:space="preserve"> </w:t>
      </w:r>
      <w:r>
        <w:t xml:space="preserve">+ switchgear</w:t>
      </w:r>
    </w:p>
    <w:p>
      <w:pPr>
        <w:numPr>
          <w:ilvl w:val="0"/>
          <w:numId w:val="1009"/>
        </w:numPr>
        <w:pStyle w:val="Compact"/>
      </w:pPr>
      <w:r>
        <w:t xml:space="preserve">SCADA</w:t>
      </w:r>
    </w:p>
    <w:p>
      <w:pPr>
        <w:numPr>
          <w:ilvl w:val="0"/>
          <w:numId w:val="1009"/>
        </w:numPr>
        <w:pStyle w:val="Compact"/>
      </w:pPr>
      <w:r>
        <w:t xml:space="preserve">Pig-valve launcher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SEM separador de teste permanente</w:t>
      </w:r>
      <w:r>
        <w:t xml:space="preserve"> </w:t>
      </w:r>
      <w:r>
        <w:t xml:space="preserve">(regra permanente)</w:t>
      </w:r>
    </w:p>
    <w:bookmarkEnd w:id="55"/>
    <w:bookmarkStart w:id="56" w:name="Xf22c37b780c9876504c3bc45edf4aec7fef3470"/>
    <w:p>
      <w:pPr>
        <w:pStyle w:val="Heading3"/>
      </w:pPr>
      <w:r>
        <w:t xml:space="preserve">9.2 Documentação obrigatória de EPF (regra permanente)</w:t>
      </w:r>
    </w:p>
    <w:p>
      <w:pPr>
        <w:pStyle w:val="FirstParagraph"/>
      </w:pPr>
      <w:r>
        <w:t xml:space="preserve">Basis of design · concept engineering · engineering · procurement · timeline ·</w:t>
      </w:r>
      <w:r>
        <w:t xml:space="preserve"> </w:t>
      </w:r>
      <w:r>
        <w:rPr>
          <w:bCs/>
          <w:b/>
        </w:rPr>
        <w:t xml:space="preserve">FAT</w:t>
      </w:r>
      <w:r>
        <w:t xml:space="preserve"> </w:t>
      </w:r>
      <w:r>
        <w:t xml:space="preserve">· hook up · mechanical completion · spare parts inventory · hook up &amp; commissioning · start up &amp; assisted operation · operation. Entregáveis:</w:t>
      </w:r>
      <w:r>
        <w:t xml:space="preserve"> </w:t>
      </w:r>
      <w:r>
        <w:rPr>
          <w:bCs/>
          <w:b/>
        </w:rPr>
        <w:t xml:space="preserve">PFD, P&amp;ID, HAZOP, matriz causa-efeito, loop tests</w:t>
      </w:r>
      <w:r>
        <w:t xml:space="preserve">. Normas: API (por seção) +</w:t>
      </w:r>
      <w:r>
        <w:t xml:space="preserve"> </w:t>
      </w:r>
      <w:r>
        <w:rPr>
          <w:bCs/>
          <w:b/>
        </w:rPr>
        <w:t xml:space="preserve">NORSOK Z-CR007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X93dcbd7d0fff8704f458d5c1ff02e44730ab672"/>
    <w:p>
      <w:pPr>
        <w:pStyle w:val="Heading2"/>
      </w:pPr>
      <w:r>
        <w:t xml:space="preserve">10. Rede de Trunklines Multifásicas Pigáveis e Flex Pipe</w:t>
      </w:r>
    </w:p>
    <w:bookmarkStart w:id="58" w:name="conceito"/>
    <w:p>
      <w:pPr>
        <w:pStyle w:val="Heading3"/>
      </w:pPr>
      <w:r>
        <w:t xml:space="preserve">10.1 Conceito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Flex pipe first</w:t>
      </w:r>
      <w:r>
        <w:t xml:space="preserve"> </w:t>
      </w:r>
      <w:r>
        <w:t xml:space="preserve">(regra permanente); aço como fallback em árvores, manifolds, nozzles, pig launchers/receivers, ESD, vasos, compressores, flare, NGL e LNG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Trunklines pigáveis</w:t>
      </w:r>
      <w:r>
        <w:t xml:space="preserve"> </w:t>
      </w:r>
      <w:r>
        <w:t xml:space="preserve">EPF→FSB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Velocidade só-líquido NÃO dimensiona linha multifásica</w:t>
      </w:r>
      <w:r>
        <w:t xml:space="preserve"> </w:t>
      </w:r>
      <w:r>
        <w:t xml:space="preserve">(gate G-04)</w:t>
      </w:r>
    </w:p>
    <w:bookmarkEnd w:id="58"/>
    <w:bookmarkStart w:id="59" w:name="screening-468-novo-no-fdp-9"/>
    <w:p>
      <w:pPr>
        <w:pStyle w:val="Heading3"/>
      </w:pPr>
      <w:r>
        <w:t xml:space="preserve">10.2 Screening 4”/6”/8” (novo no FDP 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EPF pequena</w:t>
            </w:r>
            <w:r>
              <w:t xml:space="preserve"> </w:t>
            </w:r>
            <w:r>
              <w:t xml:space="preserve">(1.500 BOPD)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 m/s 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 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EPF média</w:t>
            </w:r>
            <w:r>
              <w:t xml:space="preserve"> </w:t>
            </w:r>
            <w:r>
              <w:t xml:space="preserve">(3.500 BOPD)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3,38 m/s OK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 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EPF grande</w:t>
            </w:r>
            <w:r>
              <w:t xml:space="preserve"> </w:t>
            </w:r>
            <w:r>
              <w:t xml:space="preserve">(6.000 BOPD)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 m/s</w:t>
            </w:r>
            <w:r>
              <w:t xml:space="preserve"> </w:t>
            </w:r>
            <w:r>
              <w:rPr>
                <w:bCs/>
                <w:b/>
              </w:rPr>
              <w:t xml:space="preserve">EROSÃO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 baixa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rPr>
          <w:bCs/>
          <w:b/>
        </w:rPr>
        <w:t xml:space="preserve">não há diâmetro único</w:t>
      </w:r>
      <w:r>
        <w:t xml:space="preserve"> </w:t>
      </w:r>
      <w:r>
        <w:t xml:space="preserve">— comparar 4/6/8”</w:t>
      </w:r>
      <w:r>
        <w:t xml:space="preserve"> </w:t>
      </w:r>
      <w:r>
        <w:rPr>
          <w:bCs/>
          <w:b/>
        </w:rPr>
        <w:t xml:space="preserve">por EPF/classe de trunk</w:t>
      </w:r>
      <w:r>
        <w:t xml:space="preserve"> </w:t>
      </w:r>
      <w:r>
        <w:t xml:space="preserve">(risco FA-02). EPF média: 4” OK; EPF grande: 4” entra em erosão; EPF pequena: todos lentos (reforça booster VFD).</w:t>
      </w:r>
    </w:p>
    <w:bookmarkEnd w:id="59"/>
    <w:bookmarkStart w:id="60" w:name="X7c1c455b74f76144b4bc1da69bc43a0824dbeff"/>
    <w:p>
      <w:pPr>
        <w:pStyle w:val="Heading3"/>
      </w:pPr>
      <w:r>
        <w:t xml:space="preserve">10.3 Modelo transiente da trunkline crítica (EPF grande, 6.000 BOPD)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v_mis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slug pig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chegada FSB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Vaso de slug mín.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 m/s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29,5 m³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−79,8 bar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36,9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2,45 m/s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70,0 m³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 bar 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87,5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 m/s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131,7 m³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24,8 bar 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164,7 m³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 crítica:</w:t>
      </w:r>
      <w:r>
        <w:t xml:space="preserve"> </w:t>
      </w:r>
      <w:r>
        <w:t xml:space="preserve">na EPF grande,</w:t>
      </w:r>
      <w:r>
        <w:t xml:space="preserve"> </w:t>
      </w:r>
      <w:r>
        <w:rPr>
          <w:bCs/>
          <w:b/>
        </w:rPr>
        <w:t xml:space="preserve">4” é inviável</w:t>
      </w:r>
      <w:r>
        <w:t xml:space="preserve"> </w:t>
      </w:r>
      <w:r>
        <w:t xml:space="preserve">(pressão de chegada negativa).</w:t>
      </w:r>
      <w:r>
        <w:t xml:space="preserve"> </w:t>
      </w:r>
      <w:r>
        <w:rPr>
          <w:bCs/>
          <w:b/>
        </w:rPr>
        <w:t xml:space="preserve">6” é o ponto ótimo</w:t>
      </w:r>
      <w:r>
        <w:t xml:space="preserve"> </w:t>
      </w:r>
      <w:r>
        <w:t xml:space="preserve">(chega a 15 bar com vaso de slug ~87 m³).</w:t>
      </w:r>
    </w:p>
    <w:p>
      <w:pPr>
        <w:pStyle w:val="BlockText"/>
      </w:pPr>
      <w:r>
        <w:t xml:space="preserve">Screening homogêneo — o dimensionamento final</w:t>
      </w:r>
      <w:r>
        <w:t xml:space="preserve"> </w:t>
      </w:r>
      <w:r>
        <w:rPr>
          <w:bCs/>
          <w:b/>
        </w:rPr>
        <w:t xml:space="preserve">exige modelo transiente</w:t>
      </w:r>
      <w:r>
        <w:t xml:space="preserve"> </w:t>
      </w:r>
      <w:r>
        <w:t xml:space="preserve">(gates G-04/G-05).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8452fb9508274eec577bb004f05a589916ffb42"/>
    <w:p>
      <w:pPr>
        <w:pStyle w:val="Heading2"/>
      </w:pPr>
      <w:r>
        <w:t xml:space="preserve">11. Entrada FSB/CPF Integrada, Slug e Separação Principal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Pig receivers</w:t>
      </w:r>
      <w:r>
        <w:t xml:space="preserve"> </w:t>
      </w:r>
      <w:r>
        <w:t xml:space="preserve">alimentam um</w:t>
      </w:r>
      <w:r>
        <w:t xml:space="preserve"> </w:t>
      </w:r>
      <w:r>
        <w:rPr>
          <w:bCs/>
          <w:b/>
        </w:rPr>
        <w:t xml:space="preserve">vaso de slug bifásico modular permanente</w:t>
      </w:r>
      <w:r>
        <w:t xml:space="preserve"> </w:t>
      </w:r>
      <w:r>
        <w:t xml:space="preserve">com isolamento e bypass de fluxo total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Separador trifásico principal</w:t>
      </w:r>
      <w:r>
        <w:t xml:space="preserve"> </w:t>
      </w:r>
      <w:r>
        <w:t xml:space="preserve">divide produção em gás, crude e água produzida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Gate G-05:</w:t>
      </w:r>
      <w:r>
        <w:t xml:space="preserve"> </w:t>
      </w:r>
      <w:r>
        <w:t xml:space="preserve">o vaso de slug deve ser dimensionado a partir dos</w:t>
      </w:r>
      <w:r>
        <w:t xml:space="preserve"> </w:t>
      </w:r>
      <w:r>
        <w:rPr>
          <w:bCs/>
          <w:b/>
        </w:rPr>
        <w:t xml:space="preserve">volumes de slug transientes de pigging</w:t>
      </w:r>
      <w:r>
        <w:t xml:space="preserve"> </w:t>
      </w:r>
      <w:r>
        <w:t xml:space="preserve">(governante), não de slugging de terreno</w:t>
      </w:r>
    </w:p>
    <w:p>
      <w:r>
        <w:pict>
          <v:rect style="width:0;height:1.5pt" o:hralign="center" o:hrstd="t" o:hr="t"/>
        </w:pict>
      </w:r>
    </w:p>
    <w:bookmarkEnd w:id="62"/>
    <w:bookmarkStart w:id="63" w:name="X9e49ac8dc4c78ab05ceb2d6f4ab8ea72761b753"/>
    <w:p>
      <w:pPr>
        <w:pStyle w:val="Heading2"/>
      </w:pPr>
      <w:r>
        <w:t xml:space="preserve">12. Compressão de Gás, Fuel Gas, Gas Lift e Flare Central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Compressão central no FSB</w:t>
      </w:r>
    </w:p>
    <w:p>
      <w:pPr>
        <w:numPr>
          <w:ilvl w:val="0"/>
          <w:numId w:val="1012"/>
        </w:numPr>
        <w:pStyle w:val="Compact"/>
      </w:pPr>
      <w:r>
        <w:t xml:space="preserve">Alocação de gás:</w:t>
      </w:r>
      <w:r>
        <w:t xml:space="preserve"> </w:t>
      </w:r>
      <w:r>
        <w:rPr>
          <w:bCs/>
          <w:b/>
        </w:rPr>
        <w:t xml:space="preserve">fuel gas</w:t>
      </w:r>
      <w:r>
        <w:t xml:space="preserve"> </w:t>
      </w:r>
      <w:r>
        <w:t xml:space="preserve">(campo/FSB) →</w:t>
      </w:r>
      <w:r>
        <w:t xml:space="preserve"> </w:t>
      </w:r>
      <w:r>
        <w:rPr>
          <w:bCs/>
          <w:b/>
        </w:rPr>
        <w:t xml:space="preserve">8 poços gas-lift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exportação Campo Boscan</w:t>
      </w:r>
      <w:r>
        <w:t xml:space="preserve"> </w:t>
      </w:r>
      <w:r>
        <w:t xml:space="preserve">(piloto 5–6 MMscfd) →</w:t>
      </w:r>
      <w:r>
        <w:t xml:space="preserve"> </w:t>
      </w:r>
      <w:r>
        <w:rPr>
          <w:bCs/>
          <w:b/>
        </w:rPr>
        <w:t xml:space="preserve">NGL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LNG Palmarejo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Flare central</w:t>
      </w:r>
      <w:r>
        <w:t xml:space="preserve"> </w:t>
      </w:r>
      <w:r>
        <w:t xml:space="preserve">para alívio e depressurização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Gate G-06:</w:t>
      </w:r>
      <w:r>
        <w:t xml:space="preserve"> </w:t>
      </w:r>
      <w:r>
        <w:t xml:space="preserve">hidráulica de flare + radiation/dispersion devem ser fechadas</w:t>
      </w:r>
    </w:p>
    <w:p>
      <w:r>
        <w:pict>
          <v:rect style="width:0;height:1.5pt" o:hralign="center" o:hrstd="t" o:hr="t"/>
        </w:pict>
      </w:r>
    </w:p>
    <w:bookmarkEnd w:id="63"/>
    <w:bookmarkStart w:id="64" w:name="X2fd05df833b790e2ef7135e7801da547eba1bc7"/>
    <w:p>
      <w:pPr>
        <w:pStyle w:val="Heading2"/>
      </w:pPr>
      <w:r>
        <w:t xml:space="preserve">13. Qualidade de Gás, Tratamento, NGL e Exportação Campo Boscan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Gate G-09 (Boscan):</w:t>
      </w:r>
      <w:r>
        <w:t xml:space="preserve"> </w:t>
      </w:r>
      <w:r>
        <w:t xml:space="preserve">pressão/spec de recebimento, rota, transferência de título devem ser fechados antes do AFE do piloto de exportação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Gate G-10 (NGL):</w:t>
      </w:r>
      <w:r>
        <w:t xml:space="preserve"> </w:t>
      </w:r>
      <w:r>
        <w:t xml:space="preserve">composição de gás rico atualizada, simulação e mercado devem ser fechados antes do AFE do pacote NGL</w:t>
      </w:r>
    </w:p>
    <w:p>
      <w:pPr>
        <w:numPr>
          <w:ilvl w:val="0"/>
          <w:numId w:val="1013"/>
        </w:numPr>
        <w:pStyle w:val="Compact"/>
      </w:pPr>
      <w:r>
        <w:t xml:space="preserve">A variabilidade de composição (ver seção 4.3) exige</w:t>
      </w:r>
      <w:r>
        <w:t xml:space="preserve"> </w:t>
      </w:r>
      <w:r>
        <w:rPr>
          <w:bCs/>
          <w:b/>
        </w:rPr>
        <w:t xml:space="preserve">amostras frescas</w:t>
      </w:r>
      <w:r>
        <w:t xml:space="preserve"> </w:t>
      </w:r>
      <w:r>
        <w:t xml:space="preserve">(G-02) antes de congelar o tratamento</w:t>
      </w:r>
    </w:p>
    <w:p>
      <w:r>
        <w:pict>
          <v:rect style="width:0;height:1.5pt" o:hralign="center" o:hrstd="t" o:hr="t"/>
        </w:pict>
      </w:r>
    </w:p>
    <w:bookmarkEnd w:id="64"/>
    <w:bookmarkStart w:id="65" w:name="lng-palmarejo-e-exportação-iso-tank"/>
    <w:p>
      <w:pPr>
        <w:pStyle w:val="Heading2"/>
      </w:pPr>
      <w:r>
        <w:t xml:space="preserve">14. LNG Palmarejo e Exportação ISO-Tank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Gate G-11 (LNG):</w:t>
      </w:r>
      <w:r>
        <w:t xml:space="preserve"> </w:t>
      </w:r>
      <w:r>
        <w:t xml:space="preserve">pretreatment, garantia Cryobox, número de módulos, BOG e ISO-tank devem ser fechados antes do AFE de LNG</w:t>
      </w:r>
    </w:p>
    <w:p>
      <w:pPr>
        <w:numPr>
          <w:ilvl w:val="0"/>
          <w:numId w:val="1014"/>
        </w:numPr>
        <w:pStyle w:val="Compact"/>
      </w:pPr>
      <w:r>
        <w:t xml:space="preserve">LNG Palmarejo é um</w:t>
      </w:r>
      <w:r>
        <w:t xml:space="preserve"> </w:t>
      </w:r>
      <w:r>
        <w:rPr>
          <w:bCs/>
          <w:b/>
        </w:rPr>
        <w:t xml:space="preserve">gate de expansão</w:t>
      </w:r>
      <w:r>
        <w:t xml:space="preserve"> </w:t>
      </w:r>
      <w:r>
        <w:t xml:space="preserve">— diferido até que composição, mercado, logística e garantias de fornecedor justifiquem o CAPEX</w:t>
      </w:r>
    </w:p>
    <w:p>
      <w:r>
        <w:pict>
          <v:rect style="width:0;height:1.5pt" o:hralign="center" o:hrstd="t" o:hr="t"/>
        </w:pict>
      </w:r>
    </w:p>
    <w:bookmarkEnd w:id="65"/>
    <w:bookmarkStart w:id="66" w:name="X66792eded0effdf89614f2a741bedabfa507bdb"/>
    <w:p>
      <w:pPr>
        <w:pStyle w:val="Heading2"/>
      </w:pPr>
      <w:r>
        <w:t xml:space="preserve">15. Tratamento de Água Produzida, Injeção e EOR</w:t>
      </w:r>
    </w:p>
    <w:p>
      <w:pPr>
        <w:numPr>
          <w:ilvl w:val="0"/>
          <w:numId w:val="1015"/>
        </w:numPr>
        <w:pStyle w:val="Compact"/>
      </w:pPr>
      <w:r>
        <w:t xml:space="preserve">Água produzida</w:t>
      </w:r>
      <w:r>
        <w:t xml:space="preserve"> </w:t>
      </w:r>
      <w:r>
        <w:rPr>
          <w:bCs/>
          <w:b/>
        </w:rPr>
        <w:t xml:space="preserve">tratada, armazenada e reinjetada</w:t>
      </w:r>
      <w:r>
        <w:t xml:space="preserve"> </w:t>
      </w:r>
      <w:r>
        <w:t xml:space="preserve">(disposal + suporte de pressão/EOR)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Longo prazo:</w:t>
      </w:r>
      <w:r>
        <w:t xml:space="preserve"> </w:t>
      </w:r>
      <w:r>
        <w:t xml:space="preserve">até</w:t>
      </w:r>
      <w:r>
        <w:t xml:space="preserve"> </w:t>
      </w:r>
      <w:r>
        <w:rPr>
          <w:bCs/>
          <w:b/>
        </w:rPr>
        <w:t xml:space="preserve">96,9 kbwpd</w:t>
      </w:r>
      <w:r>
        <w:t xml:space="preserve"> </w:t>
      </w:r>
      <w:r>
        <w:t xml:space="preserve">de água produzida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Gate G-08:</w:t>
      </w:r>
      <w:r>
        <w:t xml:space="preserve"> </w:t>
      </w:r>
      <w:r>
        <w:t xml:space="preserve">spec de água, injetividade, limite de fratura e compatibilidade devem ser fechados antes do AFE da planta de água</w:t>
      </w:r>
    </w:p>
    <w:p>
      <w:r>
        <w:pict>
          <v:rect style="width:0;height:1.5pt" o:hralign="center" o:hrstd="t" o:hr="t"/>
        </w:pict>
      </w:r>
    </w:p>
    <w:bookmarkEnd w:id="66"/>
    <w:bookmarkStart w:id="67" w:name="X2777173b58f327e5e484b9b8b22566a902cd462"/>
    <w:p>
      <w:pPr>
        <w:pStyle w:val="Heading2"/>
      </w:pPr>
      <w:r>
        <w:t xml:space="preserve">16. Armazenamento de Crude, LACT, Palmarejo e Exportação Lacustre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EFB storage</w:t>
      </w:r>
      <w:r>
        <w:t xml:space="preserve"> </w:t>
      </w:r>
      <w:r>
        <w:t xml:space="preserve">→ transfer pumps →</w:t>
      </w:r>
      <w:r>
        <w:t xml:space="preserve"> </w:t>
      </w:r>
      <w:r>
        <w:rPr>
          <w:bCs/>
          <w:b/>
        </w:rPr>
        <w:t xml:space="preserve">LACT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tanques Palmarejo de 80.000 bbl</w:t>
      </w:r>
      <w:r>
        <w:t xml:space="preserve"> </w:t>
      </w:r>
      <w:r>
        <w:t xml:space="preserve">→ terminal lacustre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Gate G-12:</w:t>
      </w:r>
      <w:r>
        <w:t xml:space="preserve"> </w:t>
      </w:r>
      <w:r>
        <w:t xml:space="preserve">fronteira fiscal LACT, integridade de linha, autonomia e estudos marinhos devem ser fechados antes da sanção do terminal/exportação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Restrição conhecida:</w:t>
      </w:r>
      <w:r>
        <w:t xml:space="preserve"> </w:t>
      </w:r>
      <w:r>
        <w:t xml:space="preserve">linha principal→Palmarejo com</w:t>
      </w:r>
      <w:r>
        <w:t xml:space="preserve"> </w:t>
      </w:r>
      <w:r>
        <w:rPr>
          <w:bCs/>
          <w:b/>
        </w:rPr>
        <w:t xml:space="preserve">vazamentos ativos</w:t>
      </w:r>
      <w:r>
        <w:t xml:space="preserve">, limitada a ~10.000 BOPD</w:t>
      </w:r>
    </w:p>
    <w:p>
      <w:r>
        <w:pict>
          <v:rect style="width:0;height:1.5pt" o:hralign="center" o:hrstd="t" o:hr="t"/>
        </w:pict>
      </w:r>
    </w:p>
    <w:bookmarkEnd w:id="67"/>
    <w:bookmarkStart w:id="68" w:name="X31db0917dc4ae2859635bf69b34b29c3f930ad2"/>
    <w:p>
      <w:pPr>
        <w:pStyle w:val="Heading2"/>
      </w:pPr>
      <w:r>
        <w:t xml:space="preserve">17. Utilidades e Sistemas de Energia Elétrica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EPFs autocontidas</w:t>
      </w:r>
      <w:r>
        <w:t xml:space="preserve"> </w:t>
      </w:r>
      <w:r>
        <w:t xml:space="preserve">com geradores a gás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Gate G-07:</w:t>
      </w:r>
      <w:r>
        <w:t xml:space="preserve"> </w:t>
      </w:r>
      <w:r>
        <w:t xml:space="preserve">lista de carga, curto-circuito, proteção, estabilidade e</w:t>
      </w:r>
      <w:r>
        <w:t xml:space="preserve"> </w:t>
      </w:r>
      <w:r>
        <w:rPr>
          <w:bCs/>
          <w:b/>
        </w:rPr>
        <w:t xml:space="preserve">black start</w:t>
      </w:r>
      <w:r>
        <w:t xml:space="preserve"> </w:t>
      </w:r>
      <w:r>
        <w:t xml:space="preserve">devem ser fechados antes da compra de geradores/switchgear</w:t>
      </w:r>
    </w:p>
    <w:p>
      <w:pPr>
        <w:numPr>
          <w:ilvl w:val="0"/>
          <w:numId w:val="1017"/>
        </w:numPr>
        <w:pStyle w:val="Compact"/>
      </w:pPr>
      <w:r>
        <w:t xml:space="preserve">Upgrades elétricos e de infraestrutura</w:t>
      </w:r>
      <w:r>
        <w:t xml:space="preserve"> </w:t>
      </w:r>
      <w:r>
        <w:rPr>
          <w:bCs/>
          <w:b/>
        </w:rPr>
        <w:t xml:space="preserve">alinhados às necessidades reais e fases do projeto</w:t>
      </w:r>
      <w:r>
        <w:t xml:space="preserve"> </w:t>
      </w:r>
      <w:r>
        <w:t xml:space="preserve">(regra permanente)</w:t>
      </w:r>
    </w:p>
    <w:p>
      <w:r>
        <w:pict>
          <v:rect style="width:0;height:1.5pt" o:hralign="center" o:hrstd="t" o:hr="t"/>
        </w:pict>
      </w:r>
    </w:p>
    <w:bookmarkEnd w:id="68"/>
    <w:bookmarkStart w:id="69" w:name="Xa3c187f465fc23b1f3f0287e2fc8e71a4987529"/>
    <w:p>
      <w:pPr>
        <w:pStyle w:val="Heading2"/>
      </w:pPr>
      <w:r>
        <w:t xml:space="preserve">18. Segurança de Processo, ESD/PSD, Proteção contra Incêndio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Gate G-06:</w:t>
      </w:r>
      <w:r>
        <w:t xml:space="preserve"> </w:t>
      </w:r>
      <w:r>
        <w:t xml:space="preserve">HAZOP, LOPA/SIL, matriz causa-efeito, relief/depressurização e hidráulica de flare devem ser fechados antes da emissão para construção/PSSR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24 riscos de Process Safety</w:t>
      </w:r>
      <w:r>
        <w:t xml:space="preserve"> </w:t>
      </w:r>
      <w:r>
        <w:t xml:space="preserve">(PS-01 a PS-24) registrados</w:t>
      </w:r>
    </w:p>
    <w:p>
      <w:pPr>
        <w:numPr>
          <w:ilvl w:val="0"/>
          <w:numId w:val="1018"/>
        </w:numPr>
        <w:pStyle w:val="Compact"/>
      </w:pPr>
      <w:r>
        <w:t xml:space="preserve">Normas: API 520/521, IEC 61882, IEC 61511, CCPS, NORSOK Z-CR007, COVENIN</w:t>
      </w:r>
    </w:p>
    <w:p>
      <w:r>
        <w:pict>
          <v:rect style="width:0;height:1.5pt" o:hralign="center" o:hrstd="t" o:hr="t"/>
        </w:pict>
      </w:r>
    </w:p>
    <w:bookmarkEnd w:id="69"/>
    <w:bookmarkStart w:id="70" w:name="Xb2971b21b30a335aed9268c0debb1db72b6cdf1"/>
    <w:p>
      <w:pPr>
        <w:pStyle w:val="Heading2"/>
      </w:pPr>
      <w:r>
        <w:t xml:space="preserve">19. Flow Assurance, Química de Produção, Materiais e Integridade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11 riscos de Flow Assurance</w:t>
      </w:r>
      <w:r>
        <w:t xml:space="preserve"> </w:t>
      </w:r>
      <w:r>
        <w:t xml:space="preserve">(FA-01 a FA-11) registrados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Núcleo crítico (score 27):</w:t>
      </w:r>
      <w:r>
        <w:t xml:space="preserve"> </w:t>
      </w:r>
      <w:r>
        <w:t xml:space="preserve">FA-01 (commingling/back-out), FA-04 (surge de líquido por pig), FA-05 (bombas multiphase fora do envelope), FA-10 (exportação de gás), FA-11 (exportação de crude)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Materiais/corrosão</w:t>
      </w:r>
      <w:r>
        <w:t xml:space="preserve"> </w:t>
      </w:r>
      <w:r>
        <w:t xml:space="preserve">dependem das amostras PVT (G-02) — H₂S, CO₂, mercúrio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Integridade:</w:t>
      </w:r>
      <w:r>
        <w:t xml:space="preserve"> </w:t>
      </w:r>
      <w:r>
        <w:t xml:space="preserve">API 510 (vasos), API 570 (piping), API 653 (tanques)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94" w:name="parte-iii-execução-e-gestão"/>
    <w:p>
      <w:pPr>
        <w:pStyle w:val="Heading1"/>
      </w:pPr>
      <w:r>
        <w:t xml:space="preserve">PARTE III — EXECUÇÃO E GESTÃO</w:t>
      </w:r>
    </w:p>
    <w:p>
      <w:r>
        <w:pict>
          <v:rect style="width:0;height:1.5pt" o:hralign="center" o:hrstd="t" o:hr="t"/>
        </w:pict>
      </w:r>
    </w:p>
    <w:bookmarkStart w:id="72" w:name="X3d466e709ee589658c7b7fb2f2935c99d450012"/>
    <w:p>
      <w:pPr>
        <w:pStyle w:val="Heading2"/>
      </w:pPr>
      <w:r>
        <w:t xml:space="preserve">20. Base Ambiental, Social, Segurança e Regulatória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Gate G-13 (contínuo):</w:t>
      </w:r>
      <w:r>
        <w:t xml:space="preserve"> </w:t>
      </w:r>
      <w:r>
        <w:t xml:space="preserve">matriz de aprovação, flaring, injeção, ambiental/social/segurança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Restrições de comunidade/acesso</w:t>
      </w:r>
      <w:r>
        <w:t xml:space="preserve"> </w:t>
      </w:r>
      <w:r>
        <w:t xml:space="preserve">em 5 poços (P-108, P-173, P-95, P-180, P-152)</w:t>
      </w:r>
    </w:p>
    <w:p>
      <w:pPr>
        <w:numPr>
          <w:ilvl w:val="0"/>
          <w:numId w:val="1020"/>
        </w:numPr>
        <w:pStyle w:val="Compact"/>
      </w:pPr>
      <w:r>
        <w:t xml:space="preserve">Conformidade com requisitos</w:t>
      </w:r>
      <w:r>
        <w:t xml:space="preserve"> </w:t>
      </w:r>
      <w:r>
        <w:rPr>
          <w:bCs/>
          <w:b/>
        </w:rPr>
        <w:t xml:space="preserve">venezuelanos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COVENIN</w:t>
      </w:r>
    </w:p>
    <w:p>
      <w:r>
        <w:pict>
          <v:rect style="width:0;height:1.5pt" o:hralign="center" o:hrstd="t" o:hr="t"/>
        </w:pict>
      </w:r>
    </w:p>
    <w:bookmarkEnd w:id="72"/>
    <w:bookmarkStart w:id="73" w:name="X67766599c27fd8c5b4fa3a4dbe437664095fee1"/>
    <w:p>
      <w:pPr>
        <w:pStyle w:val="Heading2"/>
      </w:pPr>
      <w:r>
        <w:t xml:space="preserve">21. Operações, Manutenção, Confiabilidade e Prontidão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EPFs autocontidas</w:t>
      </w:r>
      <w:r>
        <w:t xml:space="preserve"> </w:t>
      </w:r>
      <w:r>
        <w:t xml:space="preserve">para operação independente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Spare parts inventory</w:t>
      </w:r>
      <w:r>
        <w:t xml:space="preserve"> </w:t>
      </w:r>
      <w:r>
        <w:t xml:space="preserve">e peças críticas por EPF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Start up &amp; assisted operation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30 dias</w:t>
      </w:r>
      <w:r>
        <w:t xml:space="preserve"> </w:t>
      </w:r>
      <w:r>
        <w:t xml:space="preserve">de operação assistida (EPCM)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KPIs de performance</w:t>
      </w:r>
      <w:r>
        <w:t xml:space="preserve"> </w:t>
      </w:r>
      <w:r>
        <w:t xml:space="preserve">com tracking (uptime, on-time, NPT, delayed)</w:t>
      </w:r>
    </w:p>
    <w:p>
      <w:r>
        <w:pict>
          <v:rect style="width:0;height:1.5pt" o:hralign="center" o:hrstd="t" o:hr="t"/>
        </w:pict>
      </w:r>
    </w:p>
    <w:bookmarkEnd w:id="73"/>
    <w:bookmarkStart w:id="74" w:name="X829ea6c75f6ea13481fe445abe9565146aeeff0"/>
    <w:p>
      <w:pPr>
        <w:pStyle w:val="Heading2"/>
      </w:pPr>
      <w:r>
        <w:t xml:space="preserve">22. Exportação, Logística Marinha, Rodoviária e de Produto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Terminal lacustre:</w:t>
      </w:r>
      <w:r>
        <w:t xml:space="preserve"> </w:t>
      </w:r>
      <w:r>
        <w:t xml:space="preserve">barcaça de crude + ISO-tank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Gate G-12:</w:t>
      </w:r>
      <w:r>
        <w:t xml:space="preserve"> </w:t>
      </w:r>
      <w:r>
        <w:t xml:space="preserve">batimetria, berth, ESD, spill devem ser fechados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Logística, importação e alfândega</w:t>
      </w:r>
      <w:r>
        <w:t xml:space="preserve"> </w:t>
      </w:r>
      <w:r>
        <w:t xml:space="preserve">com prompt delivery (regra permanente de MSA)</w:t>
      </w:r>
    </w:p>
    <w:p>
      <w:r>
        <w:pict>
          <v:rect style="width:0;height:1.5pt" o:hralign="center" o:hrstd="t" o:hr="t"/>
        </w:pict>
      </w:r>
    </w:p>
    <w:bookmarkEnd w:id="74"/>
    <w:bookmarkStart w:id="79" w:name="X68812684014aceea8f7956c58dbb4b0b87de724"/>
    <w:p>
      <w:pPr>
        <w:pStyle w:val="Heading2"/>
      </w:pPr>
      <w:r>
        <w:t xml:space="preserve">23. Execução de Projeto, Contratação e Deploy Modular</w:t>
      </w:r>
    </w:p>
    <w:bookmarkStart w:id="75" w:name="X2ec07a6ddfe51f261360909bc381daf434d62fa"/>
    <w:p>
      <w:pPr>
        <w:pStyle w:val="Heading3"/>
      </w:pPr>
      <w:r>
        <w:t xml:space="preserve">23.1 Estratégia de contratação — 4 MSAs (novo no FDP 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Services /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poço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Manpower/HH por projeto + material com 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poço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pacote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central:</w:t>
      </w:r>
      <w:r>
        <w:t xml:space="preserve"> </w:t>
      </w:r>
      <w:r>
        <w:t xml:space="preserve">CAPEX atrelado ao retorno em crude · AFE individual por projeto · EPCM integrator + PMO dedicado.</w:t>
      </w:r>
    </w:p>
    <w:bookmarkEnd w:id="75"/>
    <w:bookmarkStart w:id="76" w:name="sequência-de-workstreams"/>
    <w:p>
      <w:pPr>
        <w:pStyle w:val="Heading3"/>
      </w:pPr>
      <w:r>
        <w:t xml:space="preserve">23.2 Sequência de workstreams</w:t>
      </w:r>
    </w:p>
    <w:p>
      <w:pPr>
        <w:pStyle w:val="FirstParagraph"/>
      </w:pPr>
      <w:r>
        <w:t xml:space="preserve">Cada workstream segue:</w:t>
      </w:r>
      <w:r>
        <w:t xml:space="preserve"> </w:t>
      </w:r>
      <w:r>
        <w:rPr>
          <w:bCs/>
          <w:b/>
        </w:rPr>
        <w:t xml:space="preserve">tendering → evaluation → contract signature → PO/AFE submission → materials/services availability</w:t>
      </w:r>
      <w:r>
        <w:t xml:space="preserve">.</w:t>
      </w:r>
    </w:p>
    <w:bookmarkEnd w:id="76"/>
    <w:bookmarkStart w:id="77" w:name="pacote-de-tender-novo-no-fdp-9"/>
    <w:p>
      <w:pPr>
        <w:pStyle w:val="Heading3"/>
      </w:pPr>
      <w:r>
        <w:t xml:space="preserve">23.3 Pacote de tender (novo no FDP 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250"/>
        <w:gridCol w:w="166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nº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(US$)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Amostragem PVT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Services/EPF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AFE-PU-G02-2026-001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6–10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FSB brownfield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AFE-PU-G03-2026-001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multifásica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AFE-PU-G04-2026-001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8–14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Pigging 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AFE-PU-G05-2026-001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8–14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ESD/PSD e relief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AFE-PU-G06-2026-001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12–20 sem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2.920.000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RFP da Onda 1 (G-02 + G-03)</w:t>
      </w:r>
      <w:r>
        <w:t xml:space="preserve"> </w:t>
      </w:r>
      <w:r>
        <w:t xml:space="preserve">emitido com formulário de proposta e cronograma de tender (15 dias).</w:t>
      </w:r>
    </w:p>
    <w:bookmarkEnd w:id="77"/>
    <w:bookmarkStart w:id="78" w:name="critérios-de-avaliação-de-propostas"/>
    <w:p>
      <w:pPr>
        <w:pStyle w:val="Heading3"/>
      </w:pPr>
      <w:r>
        <w:t xml:space="preserve">23.4 Critérios de avaliação de propostas</w:t>
      </w:r>
    </w:p>
    <w:p>
      <w:pPr>
        <w:pStyle w:val="FirstParagraph"/>
      </w:pPr>
      <w:r>
        <w:t xml:space="preserve">Preço 30% · capacidade técnica 25% · prazo 15% · CVs 15% · HSE/QAQC 10% · logística 5%.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capital-custo-operacional-e-economia"/>
    <w:p>
      <w:pPr>
        <w:pStyle w:val="Heading2"/>
      </w:pPr>
      <w:r>
        <w:t xml:space="preserve">24. Capital, Custo Operacional e Economia</w:t>
      </w:r>
    </w:p>
    <w:bookmarkStart w:id="80" w:name="capex-do-programa-planejamento"/>
    <w:p>
      <w:pPr>
        <w:pStyle w:val="Heading3"/>
      </w:pPr>
      <w:r>
        <w:t xml:space="preserve">24.1 CAPEX do programa (planejamento)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CAPEX (US$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1 La Paz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Mara/Mara West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Paz Sur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Moján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Expansão de gás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~256</w:t>
            </w:r>
          </w:p>
        </w:tc>
      </w:tr>
    </w:tbl>
    <w:bookmarkEnd w:id="80"/>
    <w:bookmarkStart w:id="81" w:name="premissas-econômicas"/>
    <w:p>
      <w:pPr>
        <w:pStyle w:val="Heading3"/>
      </w:pPr>
      <w:r>
        <w:t xml:space="preserve">24.2 Premissas econômicas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US$ 65/bbl (óleo vendido a 95% do Brent)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US$ 1,06/Mcf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OPEX/bbl (médio longo prazo)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~US$ 15,89/bbl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acumulado (até 2052)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~US$ 4,2 bilhões</w:t>
            </w:r>
          </w:p>
        </w:tc>
      </w:tr>
    </w:tbl>
    <w:bookmarkEnd w:id="81"/>
    <w:bookmarkStart w:id="82" w:name="afes-de-poços-novo-no-fdp-9"/>
    <w:p>
      <w:pPr>
        <w:pStyle w:val="Heading3"/>
      </w:pPr>
      <w:r>
        <w:t xml:space="preserve">24.3 AFEs de poços (novo no FDP 9)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Poços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 (9 poços)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US$ 19,5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PCP/ePCP/gas-lift (30 poços)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US$ 30,6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(39 poços ativos)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US$ 50,1 MM</w:t>
            </w:r>
          </w:p>
        </w:tc>
      </w:tr>
    </w:tbl>
    <w:bookmarkEnd w:id="82"/>
    <w:bookmarkStart w:id="83" w:name="lógica-de-investimento-faseado"/>
    <w:p>
      <w:pPr>
        <w:pStyle w:val="Heading3"/>
      </w:pPr>
      <w:r>
        <w:t xml:space="preserve">24.4 Lógica de investimento faseado</w:t>
      </w:r>
    </w:p>
    <w:p>
      <w:pPr>
        <w:pStyle w:val="FirstParagraph"/>
      </w:pPr>
      <w:r>
        <w:t xml:space="preserve">Reativação antecipada de poços, EPFs, debottlenecking do FSB e piloto Boscan;</w:t>
      </w:r>
      <w:r>
        <w:t xml:space="preserve"> </w:t>
      </w:r>
      <w:r>
        <w:rPr>
          <w:bCs/>
          <w:b/>
        </w:rPr>
        <w:t xml:space="preserve">expandir apenas quando produção e excedente de gás forem sustentados</w:t>
      </w:r>
      <w:r>
        <w:t xml:space="preserve">;</w:t>
      </w:r>
      <w:r>
        <w:t xml:space="preserve"> </w:t>
      </w:r>
      <w:r>
        <w:rPr>
          <w:bCs/>
          <w:b/>
        </w:rPr>
        <w:t xml:space="preserve">diferir</w:t>
      </w:r>
      <w:r>
        <w:t xml:space="preserve"> </w:t>
      </w:r>
      <w:r>
        <w:t xml:space="preserve">NGL completo e LNG Palmarejo até que composição, mercado, logística e garantias de fornecedor justifiquem o CAPEX. Abandono, passivos ambientais, importação/logística, segurança e exposição cambial devem ser incluídos.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Xe9a0c6b51e4802d3cbb1109a9ace34dcdccf9d3"/>
    <w:p>
      <w:pPr>
        <w:pStyle w:val="Heading2"/>
      </w:pPr>
      <w:r>
        <w:t xml:space="preserve">25. Registro de Riscos, Gates de Decisão e Fechamento do FDP</w:t>
      </w:r>
    </w:p>
    <w:bookmarkStart w:id="85" w:name="registro-de-riscos-66-gaps"/>
    <w:p>
      <w:pPr>
        <w:pStyle w:val="Heading3"/>
      </w:pPr>
      <w:r>
        <w:t xml:space="preserve">25.1 Registro de riscos (66 gaps)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Família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</w:t>
            </w:r>
            <w:r>
              <w:t xml:space="preserve"> </w:t>
            </w:r>
            <w:r>
              <w:t xml:space="preserve">(Process Safety)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PS-01 a PS-24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</w:t>
            </w:r>
            <w:r>
              <w:t xml:space="preserve"> </w:t>
            </w:r>
            <w:r>
              <w:t xml:space="preserve">(Flow Assurance)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FA-01 a FA-11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</w:t>
            </w:r>
            <w:r>
              <w:t xml:space="preserve"> </w:t>
            </w:r>
            <w:r>
              <w:t xml:space="preserve">(Outros/Staging)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OT-01 a OT-05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Gates de Decisão FEED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G-01 a G-13</w:t>
            </w:r>
          </w:p>
        </w:tc>
      </w:tr>
    </w:tbl>
    <w:bookmarkEnd w:id="85"/>
    <w:bookmarkStart w:id="86" w:name="os-13-gates-de-decisão-feed"/>
    <w:p>
      <w:pPr>
        <w:pStyle w:val="Heading3"/>
      </w:pPr>
      <w:r>
        <w:t xml:space="preserve">25.2 Os 13 gates de decisão FEED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Fechamento necessário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de desenvolvimento controlado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FEED de facilidades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PVT e amostragem de fluidos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de bombas/linhas/tratamento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Capacidade brownfield FSB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de upgrade do FSB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multiphase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de trunk/bombas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Pigging 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de trunk/vaso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ESD/PSD e relief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Emissão para construção/PSSR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Energia e black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de geradores/switchgear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Injeção de 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da planta de água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Boscan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do piloto de exportação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Economia NGL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do pacote NGL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LNG 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de LNG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 crude/export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Sanção terminal/exportação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Regulatório/social/segurança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Construção e operação de campo</w:t>
            </w:r>
          </w:p>
        </w:tc>
      </w:tr>
    </w:tbl>
    <w:bookmarkEnd w:id="86"/>
    <w:bookmarkStart w:id="87" w:name="Xc2b5cca34395907d117fa9b5080cac74fe4d8a8"/>
    <w:p>
      <w:pPr>
        <w:pStyle w:val="Heading3"/>
      </w:pPr>
      <w:r>
        <w:t xml:space="preserve">25.3 Plano de fechamento dos gates (WS2 — novo no FDP 9)</w:t>
      </w:r>
    </w:p>
    <w:p>
      <w:pPr>
        <w:pStyle w:val="FirstParagraph"/>
      </w:pPr>
      <w:r>
        <w:rPr>
          <w:bCs/>
          <w:b/>
        </w:rPr>
        <w:t xml:space="preserve">Caminho crítico da Fase 1:</w:t>
      </w:r>
      <w:r>
        <w:t xml:space="preserve"> </w:t>
      </w:r>
      <w:r>
        <w:rPr>
          <w:rStyle w:val="VerbatimChar"/>
        </w:rPr>
        <w:t xml:space="preserve">G-01 → G-02 → G-04 → G-05 → G-06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Onda 1 (0–3 m):</w:t>
      </w:r>
      <w:r>
        <w:t xml:space="preserve"> </w:t>
      </w:r>
      <w:r>
        <w:t xml:space="preserve">G-01, G-02, G-03 — destravam a base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Onda 2 (3–9 m):</w:t>
      </w:r>
      <w:r>
        <w:t xml:space="preserve"> </w:t>
      </w:r>
      <w:r>
        <w:t xml:space="preserve">G-04, G-05, G-07, G-08 — destravam facilidades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Onda 3 (6–18 m):</w:t>
      </w:r>
      <w:r>
        <w:t xml:space="preserve"> </w:t>
      </w:r>
      <w:r>
        <w:t xml:space="preserve">G-06, G-09→G-12, G-10, G-11, G-13 — destravam exportação</w:t>
      </w:r>
    </w:p>
    <w:bookmarkEnd w:id="87"/>
    <w:bookmarkStart w:id="88" w:name="Xd538bd6992ae7373836e513a3ca85044e070bbc"/>
    <w:p>
      <w:pPr>
        <w:pStyle w:val="Heading3"/>
      </w:pPr>
      <w:r>
        <w:t xml:space="preserve">25.4 Fila de ataque dos bloqueadores (WS4 — novo no FDP 9)</w:t>
      </w:r>
    </w:p>
    <w:p>
      <w:pPr>
        <w:pStyle w:val="FirstParagraph"/>
      </w:pPr>
      <w:r>
        <w:rPr>
          <w:bCs/>
          <w:b/>
        </w:rPr>
        <w:t xml:space="preserve">Topo da fila (score 30):</w:t>
      </w:r>
      <w:r>
        <w:t xml:space="preserve"> </w:t>
      </w:r>
      <w:r>
        <w:t xml:space="preserve">G-01 (well master) e G-13 (regulatório/social — contínuo).</w:t>
      </w:r>
      <w:r>
        <w:t xml:space="preserve"> </w:t>
      </w:r>
      <w:r>
        <w:rPr>
          <w:bCs/>
          <w:b/>
        </w:rPr>
        <w:t xml:space="preserve">Núcleo de flow assurance (score 27):</w:t>
      </w:r>
      <w:r>
        <w:t xml:space="preserve"> </w:t>
      </w:r>
      <w:r>
        <w:t xml:space="preserve">G-02, G-03, G-04 + FA-01, FA-04, FA-05.</w:t>
      </w:r>
    </w:p>
    <w:bookmarkEnd w:id="88"/>
    <w:bookmarkStart w:id="89" w:name="plano-de-30-dias-recomendado"/>
    <w:p>
      <w:pPr>
        <w:pStyle w:val="Heading3"/>
      </w:pPr>
      <w:r>
        <w:t xml:space="preserve">25.5 Plano de 30 dias (recomendado)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Gate/Risco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Rodar o</w:t>
            </w:r>
            <w:r>
              <w:t xml:space="preserve"> </w:t>
            </w:r>
            <w:r>
              <w:rPr>
                <w:bCs/>
                <w:b/>
              </w:rPr>
              <w:t xml:space="preserve">well master</w:t>
            </w:r>
            <w:r>
              <w:t xml:space="preserve"> </w:t>
            </w:r>
            <w:r>
              <w:t xml:space="preserve">com o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Mobilizar</w:t>
            </w:r>
            <w:r>
              <w:t xml:space="preserve"> </w:t>
            </w:r>
            <w:r>
              <w:rPr>
                <w:bCs/>
                <w:b/>
              </w:rPr>
              <w:t xml:space="preserve">amostragem PVT</w:t>
            </w:r>
            <w:r>
              <w:t xml:space="preserve"> </w:t>
            </w:r>
            <w:r>
              <w:t xml:space="preserve">por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 brownfield FSB</w:t>
            </w:r>
            <w:r>
              <w:t xml:space="preserve"> </w:t>
            </w:r>
            <w:r>
              <w:t xml:space="preserve">+ integridade linha→Palmarejo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G-03, G-12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Modelo multiphase</w:t>
            </w:r>
            <w:r>
              <w:t xml:space="preserve"> </w:t>
            </w:r>
            <w:r>
              <w:t xml:space="preserve">transiente (4/6/8”)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G-04, FA-01/02/04/05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Matriz regulatória</w:t>
            </w:r>
            <w:r>
              <w:t xml:space="preserve"> </w:t>
            </w:r>
            <w:r>
              <w:t xml:space="preserve">(flaring, injeção, social)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3" w:name="X93b3c70c95561de030d06cf31ad8ef0e3928182"/>
    <w:p>
      <w:pPr>
        <w:pStyle w:val="Heading2"/>
      </w:pPr>
      <w:r>
        <w:t xml:space="preserve">26. Fontes Controladas do Projeto e Referências</w:t>
      </w:r>
    </w:p>
    <w:bookmarkStart w:id="91" w:name="fontes-controladas"/>
    <w:p>
      <w:pPr>
        <w:pStyle w:val="Heading3"/>
      </w:pPr>
      <w:r>
        <w:t xml:space="preserve">26.1 Fontes controladas</w:t>
      </w:r>
    </w:p>
    <w:p>
      <w:pPr>
        <w:pStyle w:val="FirstParagraph"/>
      </w:pPr>
      <w:r>
        <w:t xml:space="preserve">Ver seção 1.2 (S01 a S11).</w:t>
      </w:r>
    </w:p>
    <w:bookmarkEnd w:id="91"/>
    <w:bookmarkStart w:id="92" w:name="entregáveis-do-fdp-9-novo"/>
    <w:p>
      <w:pPr>
        <w:pStyle w:val="Heading3"/>
      </w:pPr>
      <w:r>
        <w:t xml:space="preserve">26.2 Entregáveis do FDP 9 (novo)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Entregável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do projeto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baseline/PROJECT_BASELINE.md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 master reconciliado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registers/well_master_reconciliado.csv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riscos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registers/risk_register.csv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Plano de reativação poço a poço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deliverables/plano_reativacao_poco_a_poco.csv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Cronograma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deliverables/cronograma_reativacao.csv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gantt_reativacao.png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Screening trunklines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deliverables/trunkline_screening.json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transiente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deliverables/transiente_trunkline.json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SOWs G-02 a G-06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deliverables/SOW_*.md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Pacote de tender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deliverables/PACOTE_TENDER.md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RFP Onda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deliverables/RFP_ONDA1.md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Plano de MSAs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deliverables/PLANO_MSAS.md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 AFEs de poços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deliverables/AFE_*.md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do COO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deliverables/dashboard_coo.md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change_log/changes.jsonl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108" w:name="apêndices"/>
    <w:p>
      <w:pPr>
        <w:pStyle w:val="Heading1"/>
      </w:pPr>
      <w:r>
        <w:t xml:space="preserve">APÊNDICES</w:t>
      </w:r>
    </w:p>
    <w:bookmarkStart w:id="95" w:name="X792acbb26a270a517a0aaee5eb1f289504e23d0"/>
    <w:p>
      <w:pPr>
        <w:pStyle w:val="Heading2"/>
      </w:pPr>
      <w:r>
        <w:t xml:space="preserve">Apêndice A — Registro de Esquemas Industriais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A</w:t>
      </w:r>
      <w:r>
        <w:t xml:space="preserve"> </w:t>
      </w:r>
      <w:r>
        <w:t xml:space="preserve">do FDP v9-DRAFT (registro completo de esquemas industriais).</w:t>
      </w:r>
    </w:p>
    <w:bookmarkEnd w:id="95"/>
    <w:bookmarkStart w:id="96" w:name="apêndice-b-entregáveis-feed-requeridos"/>
    <w:p>
      <w:pPr>
        <w:pStyle w:val="Heading2"/>
      </w:pPr>
      <w:r>
        <w:t xml:space="preserve">Apêndice B — Entregáveis FEED Requeridos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B</w:t>
      </w:r>
      <w:r>
        <w:t xml:space="preserve"> </w:t>
      </w:r>
      <w:r>
        <w:t xml:space="preserve">do FDP v9-DRAFT.</w:t>
      </w:r>
    </w:p>
    <w:bookmarkEnd w:id="96"/>
    <w:bookmarkStart w:id="97" w:name="apêndice-c-requisitos-de-dados-abertos"/>
    <w:p>
      <w:pPr>
        <w:pStyle w:val="Heading2"/>
      </w:pPr>
      <w:r>
        <w:t xml:space="preserve">Apêndice C — Requisitos de Dados Abertos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C</w:t>
      </w:r>
      <w:r>
        <w:t xml:space="preserve"> </w:t>
      </w:r>
      <w:r>
        <w:t xml:space="preserve">do FDP v9-DRAFT.</w:t>
      </w:r>
    </w:p>
    <w:bookmarkEnd w:id="97"/>
    <w:bookmarkStart w:id="98" w:name="X50e7273a3138aeba8cc0d0308227e0218fbc583"/>
    <w:p>
      <w:pPr>
        <w:pStyle w:val="Heading2"/>
      </w:pPr>
      <w:r>
        <w:t xml:space="preserve">Apêndice D — Pacote de Esquemas Industriais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D</w:t>
      </w:r>
      <w:r>
        <w:t xml:space="preserve"> </w:t>
      </w:r>
      <w:r>
        <w:t xml:space="preserve">do FDP v9-DRAFT.</w:t>
      </w:r>
    </w:p>
    <w:bookmarkEnd w:id="98"/>
    <w:bookmarkStart w:id="99" w:name="Xf735dfc1d8f1db9a0594078ad5a1cc46f42bbe2"/>
    <w:p>
      <w:pPr>
        <w:pStyle w:val="Heading2"/>
      </w:pPr>
      <w:r>
        <w:t xml:space="preserve">Apêndice E — Tabela Detalhada de Reativação de Poços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registers/well_master_reconciliado.csv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deliverables/plano_reativacao_poco_a_poco.csv</w:t>
      </w:r>
      <w:r>
        <w:t xml:space="preserve"> </w:t>
      </w:r>
      <w:r>
        <w:t xml:space="preserve">(FDP 9).</w:t>
      </w:r>
    </w:p>
    <w:bookmarkEnd w:id="99"/>
    <w:bookmarkStart w:id="100" w:name="X4ce3218fa6d07e48852c171bce1b2151d67678c"/>
    <w:p>
      <w:pPr>
        <w:pStyle w:val="Heading2"/>
      </w:pPr>
      <w:r>
        <w:t xml:space="preserve">Apêndice F — Envelope de Previsão de Portfólio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F</w:t>
      </w:r>
      <w:r>
        <w:t xml:space="preserve"> </w:t>
      </w:r>
      <w:r>
        <w:t xml:space="preserve">do FDP v9-DRAFT.</w:t>
      </w:r>
    </w:p>
    <w:bookmarkEnd w:id="100"/>
    <w:bookmarkStart w:id="101" w:name="X05ede7dde157ea37370a54a3a0fcec0fa84c408"/>
    <w:p>
      <w:pPr>
        <w:pStyle w:val="Heading2"/>
      </w:pPr>
      <w:r>
        <w:t xml:space="preserve">Apêndice G — Performance de Injeção de Água 2026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G</w:t>
      </w:r>
      <w:r>
        <w:t xml:space="preserve"> </w:t>
      </w:r>
      <w:r>
        <w:t xml:space="preserve">do FDP v9-DRAFT.</w:t>
      </w:r>
    </w:p>
    <w:bookmarkEnd w:id="101"/>
    <w:bookmarkStart w:id="102" w:name="X8a19a4405ceccadf7d2f54647a7bf348a08e721"/>
    <w:p>
      <w:pPr>
        <w:pStyle w:val="Heading2"/>
      </w:pPr>
      <w:r>
        <w:t xml:space="preserve">Apêndice H — Premissas do Plano de Negócio PDVSA–PetroUrdaneta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H</w:t>
      </w:r>
      <w:r>
        <w:t xml:space="preserve"> </w:t>
      </w:r>
      <w:r>
        <w:t xml:space="preserve">do FDP v9-DRAFT.</w:t>
      </w:r>
    </w:p>
    <w:bookmarkEnd w:id="102"/>
    <w:bookmarkStart w:id="103" w:name="X55eecb3cd545ae3a06cb9db6a099f6b4207de14"/>
    <w:p>
      <w:pPr>
        <w:pStyle w:val="Heading2"/>
      </w:pPr>
      <w:r>
        <w:t xml:space="preserve">Apêndice I — Cromatografia de Gás 2016 (Screening)</w:t>
      </w:r>
    </w:p>
    <w:p>
      <w:pPr>
        <w:pStyle w:val="FirstParagraph"/>
      </w:pPr>
      <w:r>
        <w:t xml:space="preserve">Ver seção 4.3 deste documento e</w:t>
      </w:r>
      <w:r>
        <w:t xml:space="preserve"> </w:t>
      </w:r>
      <w:r>
        <w:rPr>
          <w:rStyle w:val="VerbatimChar"/>
        </w:rPr>
        <w:t xml:space="preserve">Appendix I</w:t>
      </w:r>
      <w:r>
        <w:t xml:space="preserve"> </w:t>
      </w:r>
      <w:r>
        <w:t xml:space="preserve">do FDP v9-DRAFT.</w:t>
      </w:r>
    </w:p>
    <w:bookmarkEnd w:id="103"/>
    <w:bookmarkStart w:id="104" w:name="Xc409306bed5c1cfc9837339bad730906fd93969"/>
    <w:p>
      <w:pPr>
        <w:pStyle w:val="Heading2"/>
      </w:pPr>
      <w:r>
        <w:t xml:space="preserve">Apêndice J — Registros de Assurance de Engenharia Conceitual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J</w:t>
      </w:r>
      <w:r>
        <w:t xml:space="preserve"> </w:t>
      </w:r>
      <w:r>
        <w:t xml:space="preserve">do FDP v9-DRAFT.</w:t>
      </w:r>
    </w:p>
    <w:bookmarkEnd w:id="104"/>
    <w:bookmarkStart w:id="105" w:name="X709a265db8635cc23e3d616b602ae8dc4f35e74"/>
    <w:p>
      <w:pPr>
        <w:pStyle w:val="Heading2"/>
      </w:pPr>
      <w:r>
        <w:t xml:space="preserve">Apêndice K — Inventário de Fontes e Entregáveis Controlados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K</w:t>
      </w:r>
      <w:r>
        <w:t xml:space="preserve"> </w:t>
      </w:r>
      <w:r>
        <w:t xml:space="preserve">do FDP v9-DRAFT e seção 26.2 deste documento.</w:t>
      </w:r>
    </w:p>
    <w:bookmarkEnd w:id="105"/>
    <w:bookmarkStart w:id="106" w:name="X465f8c1b1929a031c616857dad7f7ea1f10e1cf"/>
    <w:p>
      <w:pPr>
        <w:pStyle w:val="Heading2"/>
      </w:pPr>
      <w:r>
        <w:t xml:space="preserve">Apêndice L — Registro Completo do FDP v8 Legado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L</w:t>
      </w:r>
      <w:r>
        <w:t xml:space="preserve"> </w:t>
      </w:r>
      <w:r>
        <w:t xml:space="preserve">do FDP v9-DRAFT.</w:t>
      </w:r>
    </w:p>
    <w:bookmarkEnd w:id="106"/>
    <w:bookmarkStart w:id="107" w:name="X881146f0c623761e976e504e15d3f62d7c1697d"/>
    <w:p>
      <w:pPr>
        <w:pStyle w:val="Heading2"/>
      </w:pPr>
      <w:r>
        <w:t xml:space="preserve">Apêndice M — Registro Completo do FEED Class 3 Inicial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M</w:t>
      </w:r>
      <w:r>
        <w:t xml:space="preserve"> </w:t>
      </w:r>
      <w:r>
        <w:t xml:space="preserve">do FDP v9-DRAFT.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encerramento"/>
    <w:p>
      <w:pPr>
        <w:pStyle w:val="Heading1"/>
      </w:pPr>
      <w:r>
        <w:t xml:space="preserve">ENCERRAMENTO</w:t>
      </w:r>
    </w:p>
    <w:p>
      <w:pPr>
        <w:pStyle w:val="FirstParagraph"/>
      </w:pPr>
      <w:r>
        <w:t xml:space="preserve">Este</w:t>
      </w:r>
      <w:r>
        <w:t xml:space="preserve"> </w:t>
      </w:r>
      <w:r>
        <w:rPr>
          <w:bCs/>
          <w:b/>
        </w:rPr>
        <w:t xml:space="preserve">FDP 9</w:t>
      </w:r>
      <w:r>
        <w:t xml:space="preserve"> </w:t>
      </w:r>
      <w:r>
        <w:t xml:space="preserve">consolida e</w:t>
      </w:r>
      <w:r>
        <w:t xml:space="preserve"> </w:t>
      </w:r>
      <w:r>
        <w:rPr>
          <w:bCs/>
          <w:b/>
        </w:rPr>
        <w:t xml:space="preserve">completa</w:t>
      </w:r>
      <w:r>
        <w:t xml:space="preserve"> </w:t>
      </w:r>
      <w:r>
        <w:t xml:space="preserve">o FDP 8, integrando toda a engenharia conceitual/básica com os</w:t>
      </w:r>
      <w:r>
        <w:t xml:space="preserve"> </w:t>
      </w:r>
      <w:r>
        <w:rPr>
          <w:bCs/>
          <w:b/>
        </w:rPr>
        <w:t xml:space="preserve">4 workstreams executados</w:t>
      </w:r>
      <w:r>
        <w:t xml:space="preserve">, os</w:t>
      </w:r>
      <w:r>
        <w:t xml:space="preserve"> </w:t>
      </w:r>
      <w:r>
        <w:rPr>
          <w:bCs/>
          <w:b/>
        </w:rPr>
        <w:t xml:space="preserve">5 SOWs em formato MSA</w:t>
      </w:r>
      <w:r>
        <w:t xml:space="preserve">, os</w:t>
      </w:r>
      <w:r>
        <w:t xml:space="preserve"> </w:t>
      </w:r>
      <w:r>
        <w:rPr>
          <w:bCs/>
          <w:b/>
        </w:rPr>
        <w:t xml:space="preserve">39 AFEs de poços</w:t>
      </w:r>
      <w:r>
        <w:t xml:space="preserve">, o</w:t>
      </w:r>
      <w:r>
        <w:t xml:space="preserve"> </w:t>
      </w:r>
      <w:r>
        <w:rPr>
          <w:bCs/>
          <w:b/>
        </w:rPr>
        <w:t xml:space="preserve">plano integrado de 4 MSAs</w:t>
      </w:r>
      <w:r>
        <w:t xml:space="preserve">, o</w:t>
      </w:r>
      <w:r>
        <w:t xml:space="preserve"> </w:t>
      </w:r>
      <w:r>
        <w:rPr>
          <w:bCs/>
          <w:b/>
        </w:rPr>
        <w:t xml:space="preserve">pacote de tender + RFP da Onda 1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sistema de rastreamento de mudanças</w:t>
      </w:r>
      <w:r>
        <w:t xml:space="preserve"> </w:t>
      </w:r>
      <w:r>
        <w:t xml:space="preserve">(25 mudanças, CH-001 a CH-025).</w:t>
      </w:r>
    </w:p>
    <w:p>
      <w:pPr>
        <w:pStyle w:val="BodyText"/>
      </w:pPr>
      <w:r>
        <w:t xml:space="preserve">O documento está</w:t>
      </w:r>
      <w:r>
        <w:t xml:space="preserve"> </w:t>
      </w:r>
      <w:r>
        <w:rPr>
          <w:bCs/>
          <w:b/>
        </w:rPr>
        <w:t xml:space="preserve">pronto para tender da Onda 1 (G-02 + G-03)</w:t>
      </w:r>
      <w:r>
        <w:t xml:space="preserve"> </w:t>
      </w:r>
      <w:r>
        <w:t xml:space="preserve">e para</w:t>
      </w:r>
      <w:r>
        <w:t xml:space="preserve"> </w:t>
      </w:r>
      <w:r>
        <w:rPr>
          <w:bCs/>
          <w:b/>
        </w:rPr>
        <w:t xml:space="preserve">aprovação dos AFEs</w:t>
      </w:r>
      <w:r>
        <w:t xml:space="preserve">, e permanece</w:t>
      </w:r>
      <w:r>
        <w:t xml:space="preserve"> </w:t>
      </w:r>
      <w:r>
        <w:rPr>
          <w:bCs/>
          <w:b/>
        </w:rPr>
        <w:t xml:space="preserve">aguardando FEED</w:t>
      </w:r>
      <w:r>
        <w:t xml:space="preserve"> </w:t>
      </w:r>
      <w:r>
        <w:t xml:space="preserve">para as fases de engenharia básica e de detalhe.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FDP 9 gerado pelo Gtasck (copiloto do COO) · 29 de agosto de 2026 · Conforme API, NORSOK, COVENIN e normas venezuelanas</w:t>
      </w:r>
    </w:p>
    <w:bookmarkEnd w:id="10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PetroUrdaneta · FDP 9 — Field Development Plan</dc:title>
  <dc:creator>Gtasck (copiloto do COO)</dc:creator>
  <cp:keywords/>
  <dcterms:created xsi:type="dcterms:W3CDTF">2026-08-30T12:18:19Z</dcterms:created>
  <dcterms:modified xsi:type="dcterms:W3CDTF">2026-08-30T12:18:19Z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de agosto de 2026</vt:lpwstr>
  </property>
</Properties>
</file>