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Small"/>
      </w:pPr>
      <w:r>
        <w:t xml:space="preserve">[Наименование на училището / организацията]</w:t>
      </w:r>
    </w:p>
    <w:p>
      <w:pPr>
        <w:pStyle w:val="TitleSmall"/>
      </w:pPr>
      <w:r>
        <w:t xml:space="preserve">[Наименование и номер на проекта]</w:t>
      </w:r>
    </w:p>
    <w:p>
      <w:pPr>
        <w:pStyle w:val="TitleBig"/>
        <w:spacing w:before="2600"/>
      </w:pPr>
      <w:r>
        <w:t xml:space="preserve">ТЕХНИЧЕСКА ДОКУМЕНТАЦИЯ</w:t>
      </w:r>
    </w:p>
    <w:p>
      <w:pPr>
        <w:pStyle w:val="TitleSub"/>
      </w:pPr>
      <w:r>
        <w:t xml:space="preserve">на компютърна конфигурация, закупена със средства по европейски проект</w:t>
      </w:r>
    </w:p>
    <w:p>
      <w:pPr>
        <w:pStyle w:val="TitleSub"/>
        <w:spacing w:before="360"/>
      </w:pPr>
      <w:r>
        <w:rPr>
          <w:i/>
          <w:iCs/>
        </w:rPr>
        <w:t xml:space="preserve">Обосновка на избраните хардуерни компоненти и финансов анализ на изразходваните средства</w:t>
      </w:r>
    </w:p>
    <w:p>
      <w:pPr>
        <w:pStyle w:val="TitleSub"/>
        <w:spacing w:before="600"/>
      </w:pPr>
      <w:r>
        <w:rPr>
          <w:b/>
          <w:bCs/>
        </w:rPr>
        <w:t xml:space="preserve">Одобрен бюджет: 4 688,00 €</w:t>
      </w:r>
    </w:p>
    <w:p>
      <w:pPr>
        <w:pStyle w:val="TitleInfo"/>
        <w:spacing w:before="3400"/>
      </w:pPr>
      <w:r>
        <w:t xml:space="preserve">Изготвил: [Име и фамилия]</w:t>
      </w:r>
    </w:p>
    <w:p>
      <w:pPr>
        <w:pStyle w:val="TitleInfo"/>
      </w:pPr>
      <w:r>
        <w:t xml:space="preserve">Клас: [клас], № [номер]</w:t>
      </w:r>
    </w:p>
    <w:p>
      <w:pPr>
        <w:pStyle w:val="TitleInfo"/>
      </w:pPr>
      <w:r>
        <w:t xml:space="preserve">Проверил: [Име на преподавателя]</w:t>
      </w:r>
    </w:p>
    <w:p>
      <w:pPr>
        <w:pStyle w:val="TitleSmall"/>
        <w:spacing w:before="1200"/>
      </w:pPr>
      <w:r>
        <w:t xml:space="preserve">гр. [град], октомври 2026 г.</w:t>
      </w:r>
    </w:p>
    <w:p>
      <w:r>
        <w:br w:type="page"/>
      </w:r>
    </w:p>
    <w:p>
      <w:pPr>
        <w:pStyle w:val="TocHeading"/>
      </w:pPr>
      <w:r>
        <w:t xml:space="preserve">СЪДЪРЖАНИЕ</w:t>
      </w:r>
    </w:p>
    <w:sdt>
      <w:sdtPr>
        <w:alias w:val="Съдъ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Увод</w:t>
      </w:r>
    </w:p>
    <w:p>
      <w:r>
        <w:t xml:space="preserve">Настоящата техническа документация е изготвена във връзка с кандидатстването по европейски проект за закупуване на компютърна конфигурация. Проектното предложение е одобрено за финансиране с бюджет в размер на 4 688,00 € (с включен ДДС).</w:t>
      </w:r>
    </w:p>
    <w:p>
      <w:r>
        <w:t xml:space="preserve">Целта на документа е да опише избраните хардуерни компоненти и техните производители, да обоснове взетите технически решения и да представи финансов анализ на изразходваните средства, който доказва, че бюджетът е използван ефективно и по предназначение.</w:t>
      </w:r>
    </w:p>
    <w:p>
      <w:r>
        <w:t xml:space="preserve">Конфигурацията е предвидена като високопроизводителна работна станция за компютърна графика, 3D моделиране, обработка на видео, програмиране и провеждане на онлайн обучения и видеоконференции с партньорите по проекта. Тези задачи изискват мощен многоядрен процесор, видеокарта с голяма видеопамет, голям обем оперативна памет и бързо и надеждно съхранение на данните.</w:t>
      </w:r>
    </w:p>
    <w:p>
      <w:pPr>
        <w:pStyle w:val="Heading1"/>
      </w:pPr>
      <w:r>
        <w:t xml:space="preserve">2. Изисквания към конфигурацията</w:t>
      </w:r>
    </w:p>
    <w:p>
      <w:r>
        <w:t xml:space="preserve">Преди избора на конкретни компоненти бяха формулирани следните изисквания, произтичащи от дейностите по проекта: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Производителност</w:t>
      </w:r>
      <w:r>
        <w:t xml:space="preserve"> – многоядрен процесор от последно поколение за рендиране, компилиране и видеообработка.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Графична мощ</w:t>
      </w:r>
      <w:r>
        <w:t xml:space="preserve"> – видеокарта с поне 16 GB видеопамет и поддръжка на CUDA/OptiX за професионален софтуер.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Оперативна памет</w:t>
      </w:r>
      <w:r>
        <w:t xml:space="preserve"> – не по-малко от 64 GB DDR5 за работа с големи проекти и няколко приложения едновременно.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Съхранение на данни</w:t>
      </w:r>
      <w:r>
        <w:t xml:space="preserve"> – бърз NVMe SSD за системата и програмите и отделен диск с голям капацитет за архив.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Надеждност и защита</w:t>
      </w:r>
      <w:r>
        <w:t xml:space="preserve"> – качествено захранване, непрекъсваемо захранване (UPS) и външно устройство за резервни копия.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Ергономия</w:t>
      </w:r>
      <w:r>
        <w:t xml:space="preserve"> – монитор с висока резолюция и точно възпроизвеждане на цветовете, удобна клавиатура и мишка.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Легален софтуер</w:t>
      </w:r>
      <w:r>
        <w:t xml:space="preserve"> – лицензирана операционна система и офис пакет без абонаментни такси след края на проекта.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Финансова дисциплина</w:t>
      </w:r>
      <w:r>
        <w:t xml:space="preserve"> – общата стойност да не надвишава одобрения бюджет от 4 688,00 €, а всички компоненти да са с гаранция и да се предлагат от официални търговци в България.</w:t>
      </w:r>
    </w:p>
    <w:p>
      <w:r>
        <w:t xml:space="preserve">Цените в документа са определени след сравнение на оферти от три независими търговци на компютърна техника в България. За всеки компонент е избрана най-изгодната оферта при еднакви технически параметри и гаранционни условия.</w:t>
      </w:r>
    </w:p>
    <w:p>
      <w:pPr>
        <w:pStyle w:val="Heading1"/>
      </w:pPr>
      <w:r>
        <w:t xml:space="preserve">3. Хардуерни компоненти</w:t>
      </w:r>
    </w:p>
    <w:p>
      <w:r>
        <w:t xml:space="preserve">В тази част е представен всеки от избраните компоненти – кратко техническо описание, информация за производителя и обосновка защо е предпочетен пред алтернативите. На фигура 1 е показана блоковата схема на конфигурацията, а в таблица 1 са обобщени основните характеристики на компонентите.</w:t>
      </w:r>
    </w:p>
    <w:p>
      <w:pPr>
        <w:pStyle w:val="Figure"/>
      </w:pPr>
      <w:r>
        <w:drawing>
          <wp:inline distT="0" distB="0" distL="0" distR="0">
            <wp:extent cx="5334000" cy="3000375"/>
            <wp:effectExtent t="0" r="0" b="0" l="0"/>
            <wp:docPr id="1" name="fig1_block.png" descr="Блокова схема на компютърната конфигурация" title="Блокова схема на компютърната конфигур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Фигура </w:t>
      </w:r>
      <w:fldSimple w:instr="SEQ Фигура \* ARABIC">
        <w:r>
          <w:t xml:space="preserve">1</w:t>
        </w:r>
      </w:fldSimple>
      <w:r>
        <w:rPr>
          <w:b/>
          <w:bCs/>
        </w:rPr>
        <w:t xml:space="preserve">. </w:t>
      </w:r>
      <w:r>
        <w:t xml:space="preserve">Блокова схема на компютърната конфигурация</w:t>
      </w:r>
    </w:p>
    <w:p>
      <w:pPr>
        <w:pStyle w:val="Caption"/>
      </w:pPr>
      <w:r>
        <w:rPr>
          <w:b/>
          <w:bCs/>
        </w:rPr>
        <w:t xml:space="preserve">Таблица </w:t>
      </w:r>
      <w:fldSimple w:instr="SEQ Таблица \* ARABIC">
        <w:r>
          <w:t xml:space="preserve">1</w:t>
        </w:r>
      </w:fldSimple>
      <w:r>
        <w:rPr>
          <w:b/>
          <w:bCs/>
        </w:rPr>
        <w:t xml:space="preserve">. </w:t>
      </w:r>
      <w:r>
        <w:t xml:space="preserve">Обобщение на избраните хардуерни компоненти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550"/>
        <w:gridCol w:w="1800"/>
        <w:gridCol w:w="3071"/>
      </w:tblGrid>
      <w:tr>
        <w:trPr>
          <w:tblHeader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Компонент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Модел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Производител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Основни характеристики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Процесор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Ryzen 9 9900X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AMD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12 ядра / 24 нишки, до 5,6 GHz, 64 MB L3 кеш, 120 W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Охладител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Liquid Freezer III Pro 360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ARCTIC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Водно охлаждане, радиатор 360 mm, 3 вентилатора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Дънна платка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TUF GAMING X870-PLUS WIFI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ASUS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Сокет AM5, чипсет X870, PCIe 5.0, USB4, Wi-Fi 7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Оперативна памет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FURY Beast DDR5-6000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Kingston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64 GB (2 × 32 GB), CL30, AMD EXPO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Видеокарта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RTX 5080 WINDFORCE OC 16G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GIGABYTE / NVIDIA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16 GB GDDR7, архитектура Blackwell, DLSS 4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SSD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990 PRO 2 TB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Samsung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NVMe PCIe 4.0, до 7450 MB/s четене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HDD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WD Red Plus 4 TB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Western Digital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SATA 6 Gb/s, CMR, за режим 24/7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Захранване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RM1000x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Corsair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1000 W, 80 PLUS Gold, модулно, ATX 3.1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Кутия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North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Fractal Design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ATX Mid Tower, мрежест панел, 2 × 140 mm вентилатора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Монитор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UltraSharp U2723QE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Dell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27", 3840 × 2160, IPS Black, USB-C хъб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Клавиатура и мишка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MX Keys S Combo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Logitech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Безжични, Bluetooth / Logi Bolt, презареждаеми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Уеб камера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Brio 500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Logitech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Full HD 1080p, два микрофона, капак за поверителност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UPS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Back-UPS Pro BR1500MI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APC (Schneider Electric)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1500 VA / 900 W, AVR, LCD дисплей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Външен SSD</w:t>
            </w:r>
          </w:p>
        </w:tc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T7 Shield 2 TB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Samsung</w:t>
            </w:r>
          </w:p>
        </w:tc>
        <w:tc>
          <w:tcPr>
            <w:tcW w:type="dxa" w:w="3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USB 3.2 Gen 2, до 1050 MB/s, IP65</w:t>
            </w:r>
          </w:p>
        </w:tc>
      </w:tr>
    </w:tbl>
    <w:p>
      <w:pPr>
        <w:pStyle w:val="Heading2"/>
      </w:pPr>
      <w:r>
        <w:t xml:space="preserve">3.1. Процесор AMD Ryzen 9 9900X</w:t>
      </w:r>
    </w:p>
    <w:p>
      <w:r>
        <w:rPr>
          <w:b/>
          <w:bCs/>
        </w:rPr>
        <w:t xml:space="preserve">Описание: </w:t>
      </w:r>
      <w:r>
        <w:t xml:space="preserve">Процесорът е изграден на архитектурата Zen 5 и е произведен по 4-нанометров технологичен процес. Разполага с 12 ядра и 24 нишки, базова честота 4,4 GHz и максимална честота до 5,6 GHz, 64 MB кеш памет от трето ниво и номинална мощност (TDP) 120 W. Поддържа памет DDR5 и интерфейс PCIe 5.0, монтира се в сокет AM5.</w:t>
      </w:r>
    </w:p>
    <w:p>
      <w:r>
        <w:rPr>
          <w:b/>
          <w:bCs/>
        </w:rPr>
        <w:t xml:space="preserve">Производител: </w:t>
      </w:r>
      <w:r>
        <w:t xml:space="preserve">Advanced Micro Devices (AMD) е американска компания, основана през 1969 г., със седалище в Санта Клара, Калифорния. Тя е един от двата водещи световни производители на процесори за персонални компютри и сървъри, както и производител на видеокарти Radeon.</w:t>
      </w:r>
    </w:p>
    <w:p>
      <w:r>
        <w:rPr>
          <w:b/>
          <w:bCs/>
        </w:rPr>
        <w:t xml:space="preserve">Обосновка на избора: </w:t>
      </w:r>
      <w:r>
        <w:t xml:space="preserve">Процесорът предлага много добро съотношение цена/производителност в многонишкови задачи като рендиране, видеокодиране и компилиране. Спрямо 16-ядрения Ryzen 9 9950X той е със 170 € по-евтин, а разликата в производителност за нашите задачи е около 20–25 %. Спестените средства позволиха закупуването на UPS и външен диск за резервни копия. Платформата AM5 се поддържа от AMD в дългосрочен план, което позволява бъдеща надстройка само чрез смяна на процесора.</w:t>
      </w:r>
    </w:p>
    <w:p>
      <w:pPr>
        <w:pStyle w:val="Heading2"/>
      </w:pPr>
      <w:r>
        <w:t xml:space="preserve">3.2. Охладителна система ARCTIC Liquid Freezer III Pro 360</w:t>
      </w:r>
    </w:p>
    <w:p>
      <w:r>
        <w:rPr>
          <w:b/>
          <w:bCs/>
        </w:rPr>
        <w:t xml:space="preserve">Описание: </w:t>
      </w:r>
      <w:r>
        <w:t xml:space="preserve">Затворена система за водно охлаждане (AIO) с радиатор 360 mm и три вентилатора P12 Pro. Помпата е с отместен монтаж, оптимизиран за процесорите AMD, а допълнителен малък вентилатор охлажда захранващата верига (VRM) на дънната платка.</w:t>
      </w:r>
    </w:p>
    <w:p>
      <w:r>
        <w:rPr>
          <w:b/>
          <w:bCs/>
        </w:rPr>
        <w:t xml:space="preserve">Производител: </w:t>
      </w:r>
      <w:r>
        <w:t xml:space="preserve">ARCTIC е европейски производител на охладителни системи, основан през 2001 г. в Швейцария, със седалище в Брауншвайг, Германия. Компанията е известна с тихи и ефективни продукти на достъпни цени.</w:t>
      </w:r>
    </w:p>
    <w:p>
      <w:r>
        <w:rPr>
          <w:b/>
          <w:bCs/>
        </w:rPr>
        <w:t xml:space="preserve">Обосновка на избора: </w:t>
      </w:r>
      <w:r>
        <w:t xml:space="preserve">При продължително натоварване (рендиране на видео и 3D сцени) процесорът отделя значителна топлина. Водното охлаждане поддържа ниски температури и нисък шум, като не позволява понижаване на честотата поради прегряване. Моделът е сред най-добре представящите се в независими тестове при цена около 110 €.</w:t>
      </w:r>
    </w:p>
    <w:p>
      <w:pPr>
        <w:pStyle w:val="Heading2"/>
      </w:pPr>
      <w:r>
        <w:t xml:space="preserve">3.3. Дънна платка ASUS TUF GAMING X870-PLUS WIFI</w:t>
      </w:r>
    </w:p>
    <w:p>
      <w:r>
        <w:rPr>
          <w:b/>
          <w:bCs/>
        </w:rPr>
        <w:t xml:space="preserve">Описание: </w:t>
      </w:r>
      <w:r>
        <w:t xml:space="preserve">Дънна платка във формат ATX със сокет AM5 и чипсет AMD X870. Разполага с четири слота за памет DDR5, слот PCIe 5.0 x16 за видеокартата, няколко слота M.2 (включително PCIe 5.0), портове USB4, мрежова карта 2,5 Gb Ethernet, Wi-Fi 7 и Bluetooth. Захранващата верига е с усилени радиатори.</w:t>
      </w:r>
    </w:p>
    <w:p>
      <w:r>
        <w:rPr>
          <w:b/>
          <w:bCs/>
        </w:rPr>
        <w:t xml:space="preserve">Производител: </w:t>
      </w:r>
      <w:r>
        <w:t xml:space="preserve">ASUSTeK Computer Inc. (ASUS) е тайванска компания, основана през 1989 г., със седалище в Тайпе. Тя е един от най-големите световни производители на дънни платки, лаптопи и видеокарти.</w:t>
      </w:r>
    </w:p>
    <w:p>
      <w:r>
        <w:rPr>
          <w:b/>
          <w:bCs/>
        </w:rPr>
        <w:t xml:space="preserve">Обосновка на избора: </w:t>
      </w:r>
      <w:r>
        <w:t xml:space="preserve">Серията TUF е предназначена за висока надеждност и издръжливост при продължителна работа. Платката поддържа всички съвременни стандарти (PCIe 5.0, USB4, Wi-Fi 7), което гарантира, че конфигурацията няма да остарее бързо. По-скъпите модели от серията ROG предлагат основно допълнителни геймърски функции, които не са необходими за целите на проекта.</w:t>
      </w:r>
    </w:p>
    <w:p>
      <w:pPr>
        <w:pStyle w:val="Heading2"/>
      </w:pPr>
      <w:r>
        <w:t xml:space="preserve">3.4. Оперативна памет Kingston FURY Beast 64 GB DDR5-6000</w:t>
      </w:r>
    </w:p>
    <w:p>
      <w:r>
        <w:rPr>
          <w:b/>
          <w:bCs/>
        </w:rPr>
        <w:t xml:space="preserve">Описание: </w:t>
      </w:r>
      <w:r>
        <w:t xml:space="preserve">Комплект от два модула по 32 GB DDR5 с честота 6000 MT/s и латентност CL30. Модулите поддържат профили AMD EXPO и Intel XMP 3.0 за автоматична настройка и са с алуминиеви охлаждащи радиатори.</w:t>
      </w:r>
    </w:p>
    <w:p>
      <w:r>
        <w:rPr>
          <w:b/>
          <w:bCs/>
        </w:rPr>
        <w:t xml:space="preserve">Производител: </w:t>
      </w:r>
      <w:r>
        <w:t xml:space="preserve">Kingston Technology е американска компания, основана през 1987 г., със седалище във Фаунтин Вали, Калифорния. Тя е най-големият независим производител на модули памет в света.</w:t>
      </w:r>
    </w:p>
    <w:p>
      <w:r>
        <w:rPr>
          <w:b/>
          <w:bCs/>
        </w:rPr>
        <w:t xml:space="preserve">Обосновка на избора: </w:t>
      </w:r>
      <w:r>
        <w:t xml:space="preserve">64 GB памет позволяват едновременна работа с професионален софтуер за видео, 3D и виртуални машини без забавяне. Честотата 6000 MT/s с CL30 е оптималната комбинация за процесорите Ryzen 9000. Изборът на два модула оставя два свободни слота за бъдещо разширение до 128 GB. Kingston предоставя доживотна ограничена гаранция.</w:t>
      </w:r>
    </w:p>
    <w:p>
      <w:pPr>
        <w:pStyle w:val="Heading2"/>
      </w:pPr>
      <w:r>
        <w:t xml:space="preserve">3.5. Видеокарта GIGABYTE GeForce RTX 5080 WINDFORCE OC 16G</w:t>
      </w:r>
    </w:p>
    <w:p>
      <w:r>
        <w:rPr>
          <w:b/>
          <w:bCs/>
        </w:rPr>
        <w:t xml:space="preserve">Описание: </w:t>
      </w:r>
      <w:r>
        <w:t xml:space="preserve">Видеокартата е базирана на графичния процесор NVIDIA GeForce RTX 5080 с архитектура Blackwell. Разполага с 10 752 CUDA ядра, 16 GB видеопамет GDDR7 с 256-битова шина, тензорни ядра от пето поколение, RT ядра от четвърто поколение и поддръжка на DLSS 4. Консумацията е до 360 W, а охлаждането WINDFORCE е с три вентилатора.</w:t>
      </w:r>
    </w:p>
    <w:p>
      <w:r>
        <w:rPr>
          <w:b/>
          <w:bCs/>
        </w:rPr>
        <w:t xml:space="preserve">Производител: </w:t>
      </w:r>
      <w:r>
        <w:t xml:space="preserve">Графичният процесор е разработен от NVIDIA – американска компания, основана през 1993 г. в Санта Клара, Калифорния, световен лидер в графичните процесори и изкуствения интелект. Самата карта е произведена от GIGABYTE Technology – тайванска компания, основана през 1986 г., партньор на NVIDIA.</w:t>
      </w:r>
    </w:p>
    <w:p>
      <w:r>
        <w:rPr>
          <w:b/>
          <w:bCs/>
        </w:rPr>
        <w:t xml:space="preserve">Обосновка на избора: </w:t>
      </w:r>
      <w:r>
        <w:t xml:space="preserve">Видеокартата е най-скъпият компонент, тъй като е ключова за рендиране, видеомонтаж и работа с изкуствен интелект. Технологиите CUDA и OptiX се поддържат от Blender, Adobe Premiere Pro, DaVinci Resolve и др. и ускоряват работата многократно. 16 GB видеопамет са достатъчни за сложни сцени. По-мощната RTX 5090 струва над 2 400 € и би заела повече от половината бюджет, а по-евтините алтернативи предлагат по-слаба поддръжка на професионален софтуер (виж таблица 4).</w:t>
      </w:r>
    </w:p>
    <w:p>
      <w:pPr>
        <w:pStyle w:val="Heading2"/>
      </w:pPr>
      <w:r>
        <w:t xml:space="preserve">3.6. Устройства за съхранение – Samsung 990 PRO 2 TB и WD Red Plus 4 TB</w:t>
      </w:r>
    </w:p>
    <w:p>
      <w:r>
        <w:rPr>
          <w:b/>
          <w:bCs/>
        </w:rPr>
        <w:t xml:space="preserve">Описание: </w:t>
      </w:r>
      <w:r>
        <w:t xml:space="preserve">Samsung 990 PRO е NVMe SSD с интерфейс PCIe 4.0 x4, скорост на четене до 7450 MB/s и запис до 6900 MB/s, ресурс 1200 TBW и 5 години гаранция. WD Red Plus е 3,5-инчов твърд диск с капацитет 4 TB, технология на запис CMR и интерфейс SATA 6 Gb/s, предназначен за непрекъсната работа (24/7).</w:t>
      </w:r>
    </w:p>
    <w:p>
      <w:r>
        <w:rPr>
          <w:b/>
          <w:bCs/>
        </w:rPr>
        <w:t xml:space="preserve">Производител: </w:t>
      </w:r>
      <w:r>
        <w:t xml:space="preserve">Samsung Electronics е южнокорейска компания, основана през 1969 г., със седалище в Сувон – най-големият производител на флаш памет в света. Western Digital е американска компания, основана през 1970 г., със седалище в Сан Хосе, Калифорния, един от лидерите при твърдите дискове.</w:t>
      </w:r>
    </w:p>
    <w:p>
      <w:r>
        <w:rPr>
          <w:b/>
          <w:bCs/>
        </w:rPr>
        <w:t xml:space="preserve">Обосновка на избора: </w:t>
      </w:r>
      <w:r>
        <w:t xml:space="preserve">SSD устройството осигурява бързо стартиране на системата и програмите и бързо зареждане на проекти. Твърдият диск предлага голям капацитет на ниска цена за архив на готови проекти и видеоматериали. Комбинацията от двете устройства дава най-добро съотношение между скорост, обем и цена.</w:t>
      </w:r>
    </w:p>
    <w:p>
      <w:pPr>
        <w:pStyle w:val="Heading2"/>
      </w:pPr>
      <w:r>
        <w:t xml:space="preserve">3.7. Захранващ блок Corsair RM1000x</w:t>
      </w:r>
    </w:p>
    <w:p>
      <w:r>
        <w:rPr>
          <w:b/>
          <w:bCs/>
        </w:rPr>
        <w:t xml:space="preserve">Описание: </w:t>
      </w:r>
      <w:r>
        <w:t xml:space="preserve">Захранване с мощност 1000 W, сертификат за ефективност 80 PLUS Gold, напълно модулни кабели, съответствие със стандарта ATX 3.1 и директен 12V-2x6 кабел за съвременни видеокарти. Вентилаторът е 140 mm и спира при ниско натоварване. Гаранцията е 10 години.</w:t>
      </w:r>
    </w:p>
    <w:p>
      <w:r>
        <w:rPr>
          <w:b/>
          <w:bCs/>
        </w:rPr>
        <w:t xml:space="preserve">Производител: </w:t>
      </w:r>
      <w:r>
        <w:t xml:space="preserve">Corsair е американска компания, основана през 1994 г., със седалище във Фримонт, Калифорния, производител на компоненти и периферия за компютри.</w:t>
      </w:r>
    </w:p>
    <w:p>
      <w:r>
        <w:rPr>
          <w:b/>
          <w:bCs/>
        </w:rPr>
        <w:t xml:space="preserve">Обосновка на избора: </w:t>
      </w:r>
      <w:r>
        <w:t xml:space="preserve">Максималната консумация на системата е около 620 W (процесор до 160 W, видеокарта до 360 W, останалите компоненти около 100 W). Захранване от 1000 W работи при около 60 % натоварване, където ефективността е най-висока, а шумът – минимален, и оставя резерв за бъдеща надстройка. Сертификатът Gold намалява разходите за електроенергия, а 10-годишната гаранция е доказателство за качество.</w:t>
      </w:r>
    </w:p>
    <w:p>
      <w:pPr>
        <w:pStyle w:val="Heading2"/>
      </w:pPr>
      <w:r>
        <w:t xml:space="preserve">3.8. Кутия Fractal Design North</w:t>
      </w:r>
    </w:p>
    <w:p>
      <w:r>
        <w:rPr>
          <w:b/>
          <w:bCs/>
        </w:rPr>
        <w:t xml:space="preserve">Описание: </w:t>
      </w:r>
      <w:r>
        <w:t xml:space="preserve">Кутия тип ATX Mid Tower с мрежест (mesh) страничен панел и преден панел с декоративни дървени елементи. Включва два вентилатора от 140 mm, поддържа видеокарти с дължина до 355 mm и радиатор 360 mm.</w:t>
      </w:r>
    </w:p>
    <w:p>
      <w:r>
        <w:rPr>
          <w:b/>
          <w:bCs/>
        </w:rPr>
        <w:t xml:space="preserve">Производител: </w:t>
      </w:r>
      <w:r>
        <w:t xml:space="preserve">Fractal Design е шведска компания, основана през 2007 г., със седалище в Гьотеборг, известна със скандинавския си минималистичен дизайн.</w:t>
      </w:r>
    </w:p>
    <w:p>
      <w:r>
        <w:rPr>
          <w:b/>
          <w:bCs/>
        </w:rPr>
        <w:t xml:space="preserve">Обосновка на избора: </w:t>
      </w:r>
      <w:r>
        <w:t xml:space="preserve">Кутията осигурява отличен въздушен поток, необходим за мощните процесор и видеокарта, побира радиатора 360 mm и е тиха. Дизайнът ѝ е подходящ за офис или учебна среда.</w:t>
      </w:r>
    </w:p>
    <w:p>
      <w:pPr>
        <w:pStyle w:val="Heading2"/>
      </w:pPr>
      <w:r>
        <w:t xml:space="preserve">3.9. Монитор Dell UltraSharp U2723QE</w:t>
      </w:r>
    </w:p>
    <w:p>
      <w:r>
        <w:rPr>
          <w:b/>
          <w:bCs/>
        </w:rPr>
        <w:t xml:space="preserve">Описание: </w:t>
      </w:r>
      <w:r>
        <w:t xml:space="preserve">27-инчов монитор с резолюция 3840 × 2160 (4K UHD) и матрица IPS Black с контраст 2000:1. Покрива 98 % от цветовото пространство DCI-P3 и 100 % от sRGB. Разполага с USB-C хъб със захранване до 90 W, LAN порт (RJ45), KVM превключвател и стойка с регулиране на височината. Технологията ComfortView Plus намалява синята светлина.</w:t>
      </w:r>
    </w:p>
    <w:p>
      <w:r>
        <w:rPr>
          <w:b/>
          <w:bCs/>
        </w:rPr>
        <w:t xml:space="preserve">Производител: </w:t>
      </w:r>
      <w:r>
        <w:t xml:space="preserve">Dell Technologies е американска компания, основана през 1984 г. от Майкъл Дел, със седалище в Раунд Рок, Тексас. Серията UltraSharp е професионалната линия монитори на компанията.</w:t>
      </w:r>
    </w:p>
    <w:p>
      <w:r>
        <w:rPr>
          <w:b/>
          <w:bCs/>
        </w:rPr>
        <w:t xml:space="preserve">Обосновка на избора: </w:t>
      </w:r>
      <w:r>
        <w:t xml:space="preserve">Точното възпроизвеждане на цветовете е задължително при графичен дизайн и видеообработка. 4K резолюцията дава повече работно пространство, а ергономичната стойка намалява умората при продължителна работа. Dell предлага 3 години гаранция с бърза подмяна.</w:t>
      </w:r>
    </w:p>
    <w:p>
      <w:pPr>
        <w:pStyle w:val="Heading2"/>
      </w:pPr>
      <w:r>
        <w:t xml:space="preserve">3.10. Периферни устройства</w:t>
      </w:r>
    </w:p>
    <w:p>
      <w:r>
        <w:rPr>
          <w:b/>
          <w:bCs/>
        </w:rPr>
        <w:t xml:space="preserve">Описание: </w:t>
      </w:r>
      <w:r>
        <w:t xml:space="preserve">Комплектът Logitech MX Keys S Combo включва безжична клавиатура MX Keys S, мишка MX Master 3S (сензор 8000 DPI, тихи бутони) и подложка за китката. Уеб камерата Logitech Brio 500 заснема видео Full HD 1080p, има автоматична корекция на светлината, два микрофона с шумопотискане и капак за поверителност. Външният SSD Samsung T7 Shield 2 TB е с интерфейс USB 3.2 Gen 2, скорост до 1050 MB/s и защита от прах и вода IP65.</w:t>
      </w:r>
    </w:p>
    <w:p>
      <w:r>
        <w:rPr>
          <w:b/>
          <w:bCs/>
        </w:rPr>
        <w:t xml:space="preserve">Производител: </w:t>
      </w:r>
      <w:r>
        <w:t xml:space="preserve">Logitech International е швейцарска компания, основана през 1981 г., със седалище в Лозана – световен лидер в компютърната периферия. Samsung Electronics е представена в т. 3.6.</w:t>
      </w:r>
    </w:p>
    <w:p>
      <w:r>
        <w:rPr>
          <w:b/>
          <w:bCs/>
        </w:rPr>
        <w:t xml:space="preserve">Обосновка на избора: </w:t>
      </w:r>
      <w:r>
        <w:t xml:space="preserve">Ергономичните клавиатура и мишка повишават продуктивността и намаляват натоварването на ръцете. Уеб камерата е необходима за онлайн срещите с партньорите по проекта. Външният SSD е предназначен за редовни резервни копия на важните данни, съхранявани отделно от компютъра.</w:t>
      </w:r>
    </w:p>
    <w:p>
      <w:pPr>
        <w:pStyle w:val="Heading2"/>
      </w:pPr>
      <w:r>
        <w:t xml:space="preserve">3.11. Непрекъсваемо захранване APC Back-UPS Pro BR1500MI</w:t>
      </w:r>
    </w:p>
    <w:p>
      <w:r>
        <w:rPr>
          <w:b/>
          <w:bCs/>
        </w:rPr>
        <w:t xml:space="preserve">Описание: </w:t>
      </w:r>
      <w:r>
        <w:t xml:space="preserve">Линейно-интерактивен UPS с мощност 1500 VA / 900 W, автоматично регулиране на напрежението (AVR), синусоидален изход, LCD дисплей и USB връзка със софтуера PowerChute за автоматично безопасно изключване на компютъра.</w:t>
      </w:r>
    </w:p>
    <w:p>
      <w:r>
        <w:rPr>
          <w:b/>
          <w:bCs/>
        </w:rPr>
        <w:t xml:space="preserve">Производител: </w:t>
      </w:r>
      <w:r>
        <w:t xml:space="preserve">APC е създадена през 1981 г. в САЩ и от 2007 г. е част от френската група Schneider Electric със седалище в Рюей-Малмезон – световен лидер в енергийното управление.</w:t>
      </w:r>
    </w:p>
    <w:p>
      <w:r>
        <w:rPr>
          <w:b/>
          <w:bCs/>
        </w:rPr>
        <w:t xml:space="preserve">Обосновка на избора: </w:t>
      </w:r>
      <w:r>
        <w:t xml:space="preserve">UPS-ът защитава скъпото оборудване от токови удари и колебания в мрежата и предотвратява загуба на незапазена работа при спиране на тока. Мощността 900 W покрива максималната консумация на компютъра и монитора (около 660 W).</w:t>
      </w:r>
    </w:p>
    <w:p>
      <w:pPr>
        <w:pStyle w:val="Heading2"/>
      </w:pPr>
      <w:r>
        <w:t xml:space="preserve">3.12. Софтуер</w:t>
      </w:r>
    </w:p>
    <w:p>
      <w:r>
        <w:rPr>
          <w:b/>
          <w:bCs/>
        </w:rPr>
        <w:t xml:space="preserve">Описание: </w:t>
      </w:r>
      <w:r>
        <w:t xml:space="preserve">Операционна система Microsoft Windows 11 Pro и офис пакет Microsoft Office Home 2024 (Word, Excel, PowerPoint и OneNote) с безсрочен лиценз.</w:t>
      </w:r>
    </w:p>
    <w:p>
      <w:r>
        <w:rPr>
          <w:b/>
          <w:bCs/>
        </w:rPr>
        <w:t xml:space="preserve">Производител: </w:t>
      </w:r>
      <w:r>
        <w:t xml:space="preserve">Microsoft Corporation е американска компания, основана през 1975 г. от Бил Гейтс и Пол Алън, със седалище в Редмънд, Вашингтон.</w:t>
      </w:r>
    </w:p>
    <w:p>
      <w:r>
        <w:rPr>
          <w:b/>
          <w:bCs/>
        </w:rPr>
        <w:t xml:space="preserve">Обосновка на избора: </w:t>
      </w:r>
      <w:r>
        <w:t xml:space="preserve">Версията Pro включва криптиране на диска BitLocker, виртуализация Hyper-V, отдалечен работен плот и групови политики, необходими в учебна или организационна среда. Офис пакетът е с еднократно плащане, а не с абонамент, така че след приключване на проекта няма да има допълнителни разходи. Използването на лицензиран софтуер е задължително условие при проекти с европейско финансиране.</w:t>
      </w:r>
    </w:p>
    <w:p>
      <w:pPr>
        <w:pStyle w:val="Heading1"/>
      </w:pPr>
      <w:r>
        <w:t xml:space="preserve">4. Финансов анализ на изразходваните средства</w:t>
      </w:r>
    </w:p>
    <w:p>
      <w:pPr>
        <w:pStyle w:val="Heading2"/>
      </w:pPr>
      <w:r>
        <w:t xml:space="preserve">4.1. Количествено-стойностна сметка</w:t>
      </w:r>
    </w:p>
    <w:p>
      <w:r>
        <w:t xml:space="preserve">В таблица 2 са представени всички закупени позиции с цена без ДДС, начислен ДДС (20 %) и обща стойност. Общата стойност на конфигурацията е 4 670,20 €, от които 3 891,82 € без ДДС и 778,38 € ДДС.</w:t>
      </w:r>
    </w:p>
    <w:p>
      <w:pPr>
        <w:pStyle w:val="Caption"/>
      </w:pPr>
      <w:r>
        <w:rPr>
          <w:b/>
          <w:bCs/>
        </w:rPr>
        <w:t xml:space="preserve">Таблица </w:t>
      </w:r>
      <w:fldSimple w:instr="SEQ Таблица \* ARABIC">
        <w:r>
          <w:t xml:space="preserve">2</w:t>
        </w:r>
      </w:fldSimple>
      <w:r>
        <w:rPr>
          <w:b/>
          <w:bCs/>
        </w:rPr>
        <w:t xml:space="preserve">. </w:t>
      </w:r>
      <w:r>
        <w:t xml:space="preserve">Количествено-стойностна сметка на закупените компоненти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50"/>
        <w:gridCol w:w="600"/>
        <w:gridCol w:w="1300"/>
        <w:gridCol w:w="1150"/>
        <w:gridCol w:w="1471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Наименование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Бр.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Цена без ДДС, €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ДДС, €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Стойност с ДДС, €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Процесор AMD Ryzen 9 9900X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332,50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66,50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399,00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2.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Охладител ARCTIC Liquid Freezer III Pro 360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91,58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18,32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109,90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3.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Дънна платка ASUS TUF GAMING X870-PLUS WIFI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240,83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48,17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289,00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4.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RAM Kingston FURY Beast 64 GB (2×32 GB) DDR5-6000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282,50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56,50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339,00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5.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Видеокарта GIGABYTE GeForce RTX 5080 WINDFORCE OC 16G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990,83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198,17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1 189,00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6.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SSD Samsung 990 PRO 2 TB NVMe M.2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158,25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31,65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189,90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7.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HDD WD Red Plus 4 TB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99,92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19,98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119,90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8.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Захранване Corsair RM1000x, 1000 W, 80 PLUS Gold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149,92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29,98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179,90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9.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Кутия Fractal Design North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116,58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23,32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139,90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10.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Монитор Dell UltraSharp U2723QE, 27", 4K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457,50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91,50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549,00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11.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Клавиатура и мишка Logitech MX Keys S Combo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166,58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33,32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199,90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12.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Уеб камера Logitech Brio 500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91,58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18,32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109,90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13.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UPS APC Back-UPS Pro BR1500MI, 1500 VA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232,50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46,50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279,00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14.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Външен SSD Samsung T7 Shield 2 TB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133,25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26,65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159,90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15.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Операционна система Microsoft Windows 11 Pro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190,83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38,17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229,00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16.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Microsoft Office Home 2024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124,17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24,83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149,00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17.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Сглобяване, инсталиране и тестване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32,50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6,50</w:t>
            </w:r>
          </w:p>
        </w:tc>
        <w:tc>
          <w:tcPr>
            <w:tcW w:type="dxa" w:w="1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39,00</w:t>
            </w:r>
          </w:p>
        </w:tc>
      </w:tr>
      <w:tr>
        <w:trPr>
          <w:cantSplit/>
        </w:trPr>
        <w:tc>
          <w:tcPr>
            <w:tcW w:type="dxa" w:w="515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ОБЩО: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3 891,82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778,38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4 670,20</w:t>
            </w:r>
          </w:p>
        </w:tc>
      </w:tr>
      <w:tr>
        <w:trPr>
          <w:cantSplit/>
        </w:trPr>
        <w:tc>
          <w:tcPr>
            <w:tcW w:type="dxa" w:w="760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Одобрен бюджет: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4 688,00</w:t>
            </w:r>
          </w:p>
        </w:tc>
      </w:tr>
      <w:tr>
        <w:trPr>
          <w:cantSplit/>
        </w:trPr>
        <w:tc>
          <w:tcPr>
            <w:tcW w:type="dxa" w:w="760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Остатък (резерв):</w:t>
            </w:r>
          </w:p>
        </w:tc>
        <w:tc>
          <w:tcPr>
            <w:tcW w:type="dxa" w:w="4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17,80</w:t>
            </w:r>
          </w:p>
        </w:tc>
      </w:tr>
    </w:tbl>
    <w:p>
      <w:pPr>
        <w:pStyle w:val="Heading2"/>
      </w:pPr>
      <w:r>
        <w:t xml:space="preserve">4.2. Разпределение на средствата по категории</w:t>
      </w:r>
    </w:p>
    <w:p>
      <w:r>
        <w:t xml:space="preserve">Разходите са групирани в четири категории (таблица 3 и фигура 2). Най-голям дял заема системният блок, което е логично, тъй като той определя производителността на работната станция. Неизразходваният остатък е само 17,80 €, т.е. бюджетът е усвоен на 99,62 %.</w:t>
      </w:r>
    </w:p>
    <w:p>
      <w:pPr>
        <w:pStyle w:val="Caption"/>
      </w:pPr>
      <w:r>
        <w:rPr>
          <w:b/>
          <w:bCs/>
        </w:rPr>
        <w:t xml:space="preserve">Таблица </w:t>
      </w:r>
      <w:fldSimple w:instr="SEQ Таблица \* ARABIC">
        <w:r>
          <w:t xml:space="preserve">3</w:t>
        </w:r>
      </w:fldSimple>
      <w:r>
        <w:rPr>
          <w:b/>
          <w:bCs/>
        </w:rPr>
        <w:t xml:space="preserve">. </w:t>
      </w:r>
      <w:r>
        <w:t xml:space="preserve">Разпределение на разходите по категории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1"/>
        <w:gridCol w:w="1500"/>
        <w:gridCol w:w="2150"/>
        <w:gridCol w:w="2150"/>
      </w:tblGrid>
      <w:tr>
        <w:trPr>
          <w:tblHeader/>
        </w:trPr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Категория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Брой позиции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Сума с ДДС, €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Дял от бюджета, %</w:t>
            </w:r>
          </w:p>
        </w:tc>
      </w:tr>
      <w:tr>
        <w:trPr>
          <w:cantSplit/>
        </w:trPr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Системен блок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2 955,50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63,04</w:t>
            </w:r>
          </w:p>
        </w:tc>
      </w:tr>
      <w:tr>
        <w:trPr>
          <w:cantSplit/>
        </w:trPr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Периферия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1 297,70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27,68</w:t>
            </w:r>
          </w:p>
        </w:tc>
      </w:tr>
      <w:tr>
        <w:trPr>
          <w:cantSplit/>
        </w:trPr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Софтуер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378,00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8,06</w:t>
            </w:r>
          </w:p>
        </w:tc>
      </w:tr>
      <w:tr>
        <w:trPr>
          <w:cantSplit/>
        </w:trPr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Услуги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39,00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0,83</w:t>
            </w:r>
          </w:p>
        </w:tc>
      </w:tr>
      <w:tr>
        <w:trPr>
          <w:cantSplit/>
        </w:trPr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Резерв (неизразходвани средства)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–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17,80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>ОБЩО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17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4 688,00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100,00</w:t>
            </w:r>
          </w:p>
        </w:tc>
      </w:tr>
    </w:tbl>
    <w:p>
      <w:pPr>
        <w:pStyle w:val="Figure"/>
      </w:pPr>
      <w:r>
        <w:drawing>
          <wp:inline distT="0" distB="0" distL="0" distR="0">
            <wp:extent cx="5143500" cy="3048000"/>
            <wp:effectExtent t="0" r="0" b="0" l="0"/>
            <wp:docPr id="2" name="fig2_pie.png" descr="Разпределение на бюджета по категории разходи" title="Разпределение на бюджета по категории разхо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Фигура </w:t>
      </w:r>
      <w:fldSimple w:instr="SEQ Фигура \* ARABIC">
        <w:r>
          <w:t xml:space="preserve">2</w:t>
        </w:r>
      </w:fldSimple>
      <w:r>
        <w:rPr>
          <w:b/>
          <w:bCs/>
        </w:rPr>
        <w:t xml:space="preserve">. </w:t>
      </w:r>
      <w:r>
        <w:t xml:space="preserve">Разпределение на бюджета по категории разходи</w:t>
      </w:r>
    </w:p>
    <w:p>
      <w:pPr>
        <w:pStyle w:val="Heading2"/>
      </w:pPr>
      <w:r>
        <w:t xml:space="preserve">4.3. Стойност по компоненти</w:t>
      </w:r>
    </w:p>
    <w:p>
      <w:r>
        <w:t xml:space="preserve">На фигура 3 компонентите са подредени по стойност. Видеокартата е най-голямото единично перо – 1 189,00 € (25,36 % от бюджета), следвана от монитора и процесора. Тези три компонента формират 45,58 % от бюджета и са пряко свързани с основните дейности по проекта – графика, видео и 3D.</w:t>
      </w:r>
    </w:p>
    <w:p>
      <w:pPr>
        <w:pStyle w:val="Figure"/>
      </w:pPr>
      <w:r>
        <w:drawing>
          <wp:inline distT="0" distB="0" distL="0" distR="0">
            <wp:extent cx="5334000" cy="3600450"/>
            <wp:effectExtent t="0" r="0" b="0" l="0"/>
            <wp:docPr id="3" name="fig3_bars.png" descr="Стойност на компонентите с ДДС, подредени по цена" title="Стойност на компонентите с ДДС, подредени по ц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Фигура </w:t>
      </w:r>
      <w:fldSimple w:instr="SEQ Фигура \* ARABIC">
        <w:r>
          <w:t xml:space="preserve">3</w:t>
        </w:r>
      </w:fldSimple>
      <w:r>
        <w:rPr>
          <w:b/>
          <w:bCs/>
        </w:rPr>
        <w:t xml:space="preserve">. </w:t>
      </w:r>
      <w:r>
        <w:t xml:space="preserve">Стойност на компонентите с ДДС, подредени по цена</w:t>
      </w:r>
    </w:p>
    <w:p>
      <w:pPr>
        <w:pStyle w:val="Heading2"/>
      </w:pPr>
      <w:r>
        <w:t xml:space="preserve">4.4. Сравнение с алтернативни решения – защо сме избрали тези компоненти</w:t>
      </w:r>
    </w:p>
    <w:p>
      <w:r>
        <w:t xml:space="preserve">За най-скъпите компоненти бяха разгледани по няколко алтернативи. Сравнението е представено в таблица 4. Избраните модели не са най-евтините, но предлагат най-доброто съотношение между цена, производителност и надеждност в рамките на бюджета.</w:t>
      </w:r>
    </w:p>
    <w:p>
      <w:pPr>
        <w:pStyle w:val="Caption"/>
      </w:pPr>
      <w:r>
        <w:rPr>
          <w:b/>
          <w:bCs/>
        </w:rPr>
        <w:t xml:space="preserve">Таблица </w:t>
      </w:r>
      <w:fldSimple w:instr="SEQ Таблица \* ARABIC">
        <w:r>
          <w:t xml:space="preserve">4</w:t>
        </w:r>
      </w:fldSimple>
      <w:r>
        <w:rPr>
          <w:b/>
          <w:bCs/>
        </w:rPr>
        <w:t xml:space="preserve">. </w:t>
      </w:r>
      <w:r>
        <w:t xml:space="preserve">Сравнение на избраните компоненти с алтернативи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150"/>
        <w:gridCol w:w="1100"/>
        <w:gridCol w:w="3271"/>
        <w:gridCol w:w="1200"/>
      </w:tblGrid>
      <w:tr>
        <w:trPr>
          <w:tblHeader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Компонент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Разгледан вариант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Цена, €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Оценка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  <w:color w:val="FFFFFF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Процесор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AMD Ryzen 9 9900X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399,00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12 ядра, ниска консумация, платформа AM5 с възможност за надстройка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Избран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AMD Ryzen 9 9950X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569,00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16 ядра, но +170 € – бюджетът не би стигнал за UPS и архивиране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Отхвърлен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Intel Core Ultra 9 285K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≈ 579,00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Сходна производителност, по-висока цена, ограничена надстройка на платформата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Отхвърлен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Видеокарта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NVIDIA RTX 5080 16 GB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1 189,00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CUDA/OptiX, 16 GB GDDR7, отлична поддръжка на професионален софтуер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Избран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AMD Radeon RX 9070 XT 16 GB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≈ 699,00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По-евтина, но без CUDA – по-бавна в Blender и AI инструменти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Отхвърлен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NVIDIA RTX 5090 32 GB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≈ 2 499,00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Най-мощна, но над 50 % от бюджета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Отхвърлен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Монитор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Dell U2723QE 27" 4K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549,00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IPS Black, 98 % DCI-P3, USB-C хъб с LAN, 3 г. гаранция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Избран</w:t>
            </w:r>
          </w:p>
        </w:tc>
      </w:tr>
      <w:tr>
        <w:trPr>
          <w:cantSplit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LG 27UP850N 27" 4K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≈ 349,00</w:t>
            </w:r>
          </w:p>
        </w:tc>
        <w:tc>
          <w:tcPr>
            <w:tcW w:type="dxa" w:w="3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По-евтин, но с по-нисък контраст и без LAN порт и KVM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Отхвърлен</w:t>
            </w:r>
          </w:p>
        </w:tc>
      </w:tr>
    </w:tbl>
    <w:p>
      <w:r>
        <w:t xml:space="preserve">Основните критерии, по които са избрани компонентите, са: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Съотношение цена/производителност</w:t>
      </w:r>
      <w:r>
        <w:t xml:space="preserve"> – предпочетени са модели, при които допълнителната цена носи реална полза за дейностите по проекта.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Надеждност и гаранция</w:t>
      </w:r>
      <w:r>
        <w:t xml:space="preserve"> – всички компоненти са от утвърдени световни производители с гаранция от 2 до 10 години.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Енергийна ефективност</w:t>
      </w:r>
      <w:r>
        <w:t xml:space="preserve"> – процесор със 120 W TDP и захранване с 80 PLUS Gold намаляват разходите за ток през целия срок на експлоатация.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Възможност за надстройка</w:t>
      </w:r>
      <w:r>
        <w:t xml:space="preserve"> – платформа AM5, свободни слотове за памет и резерв от мощност на захранването.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Липса на последващи разходи</w:t>
      </w:r>
      <w:r>
        <w:t xml:space="preserve"> – софтуер с безсрочен лиценз, без абонаменти след края на проекта.</w:t>
      </w:r>
    </w:p>
    <w:p>
      <w:pPr>
        <w:pStyle w:val="Heading2"/>
      </w:pPr>
      <w:r>
        <w:t xml:space="preserve">4.5. Оценка на усвояването на бюджета</w:t>
      </w:r>
    </w:p>
    <w:p>
      <w:r>
        <w:t xml:space="preserve">От одобрения бюджет от 4 688,00 € са изразходвани 4 670,20 €, което представлява 99,62 % усвояване. Остатъкът от 17,80 € е по-малък от 0,5 % и може да покрие евентуални разходи за доставка или малки ценови разлики към датата на покупката.</w:t>
      </w:r>
    </w:p>
    <w:p>
      <w:r>
        <w:t xml:space="preserve">ДДС е включен в бюджета като допустим разход, тъй като бенефициентът (училище или организация с нестопанска цел) няма право на данъчен кредит и не може да възстанови платения данък. Всички разходи са документално обосновани с оферти и ще бъдат доказани с фактури и приемо-предавателни протоколи.</w:t>
      </w:r>
    </w:p>
    <w:p>
      <w:pPr>
        <w:pStyle w:val="Heading1"/>
      </w:pPr>
      <w:r>
        <w:t xml:space="preserve">5. Заключение и обосновка на взетите решения</w:t>
      </w:r>
    </w:p>
    <w:p>
      <w:r>
        <w:t xml:space="preserve">Избраната конфигурация напълно отговаря на изискванията на проекта. Тя съчетава висока производителност, надеждност и ергономия, като се вписва в одобрения бюджет. Основните взети решения могат да се обобщят така:</w:t>
      </w:r>
    </w:p>
    <w:p>
      <w:pPr>
        <w:pStyle w:val="ListText"/>
        <w:numPr>
          <w:ilvl w:val="0"/>
          <w:numId w:val="2"/>
        </w:numPr>
      </w:pPr>
      <w:r>
        <w:t xml:space="preserve">Средствата са съсредоточени в компонентите с най-голямо влияние върху работата – видеокарта, процесор и памет.</w:t>
      </w:r>
    </w:p>
    <w:p>
      <w:pPr>
        <w:pStyle w:val="ListText"/>
        <w:numPr>
          <w:ilvl w:val="0"/>
          <w:numId w:val="2"/>
        </w:numPr>
      </w:pPr>
      <w:r>
        <w:t xml:space="preserve">Предпочетен е процесор с 12 ядра вместо 16, което освободи средства за защита на данните и оборудването (UPS и външен SSD).</w:t>
      </w:r>
    </w:p>
    <w:p>
      <w:pPr>
        <w:pStyle w:val="ListText"/>
        <w:numPr>
          <w:ilvl w:val="0"/>
          <w:numId w:val="2"/>
        </w:numPr>
      </w:pPr>
      <w:r>
        <w:t xml:space="preserve">Избрани са компоненти от водещи световни производители с дълга гаранция, което намалява риска от повреди и допълнителни разходи.</w:t>
      </w:r>
    </w:p>
    <w:p>
      <w:pPr>
        <w:pStyle w:val="ListText"/>
        <w:numPr>
          <w:ilvl w:val="0"/>
          <w:numId w:val="2"/>
        </w:numPr>
      </w:pPr>
      <w:r>
        <w:t xml:space="preserve">Конфигурацията е подготвена за бъдеща надстройка без смяна на основните компоненти.</w:t>
      </w:r>
    </w:p>
    <w:p>
      <w:pPr>
        <w:pStyle w:val="ListText"/>
        <w:numPr>
          <w:ilvl w:val="0"/>
          <w:numId w:val="2"/>
        </w:numPr>
      </w:pPr>
      <w:r>
        <w:t xml:space="preserve">Бюджетът е усвоен на 99,62 % при пълна прозрачност на разходите.</w:t>
      </w:r>
    </w:p>
    <w:p>
      <w:r>
        <w:t xml:space="preserve">С тази конфигурация екипът на проекта разполага с модерна работна станция, която ще се използва ефективно поне 5–6 години и ще допринесе за постигане на целите на проекта.</w:t>
      </w:r>
    </w:p>
    <w:p>
      <w:pPr>
        <w:pStyle w:val="Heading1"/>
      </w:pPr>
      <w:r>
        <w:t xml:space="preserve">6. Използвани източници</w:t>
      </w:r>
    </w:p>
    <w:p>
      <w:pPr>
        <w:pStyle w:val="ListText"/>
        <w:numPr>
          <w:ilvl w:val="0"/>
          <w:numId w:val="3"/>
        </w:numPr>
      </w:pPr>
      <w:r>
        <w:t xml:space="preserve">AMD – официален сайт, спецификация на Ryzen 9 9900X: www.amd.com</w:t>
      </w:r>
    </w:p>
    <w:p>
      <w:pPr>
        <w:pStyle w:val="ListText"/>
        <w:numPr>
          <w:ilvl w:val="0"/>
          <w:numId w:val="3"/>
        </w:numPr>
      </w:pPr>
      <w:r>
        <w:t xml:space="preserve">ARCTIC – официален сайт, Liquid Freezer III Pro 360: www.arctic.de</w:t>
      </w:r>
    </w:p>
    <w:p>
      <w:pPr>
        <w:pStyle w:val="ListText"/>
        <w:numPr>
          <w:ilvl w:val="0"/>
          <w:numId w:val="3"/>
        </w:numPr>
      </w:pPr>
      <w:r>
        <w:t xml:space="preserve">ASUS – официален сайт, TUF GAMING X870-PLUS WIFI: www.asus.com</w:t>
      </w:r>
    </w:p>
    <w:p>
      <w:pPr>
        <w:pStyle w:val="ListText"/>
        <w:numPr>
          <w:ilvl w:val="0"/>
          <w:numId w:val="3"/>
        </w:numPr>
      </w:pPr>
      <w:r>
        <w:t xml:space="preserve">Kingston – официален сайт, FURY Beast DDR5: www.kingston.com</w:t>
      </w:r>
    </w:p>
    <w:p>
      <w:pPr>
        <w:pStyle w:val="ListText"/>
        <w:numPr>
          <w:ilvl w:val="0"/>
          <w:numId w:val="3"/>
        </w:numPr>
      </w:pPr>
      <w:r>
        <w:t xml:space="preserve">NVIDIA – GeForce RTX 5080: www.nvidia.com; GIGABYTE: www.gigabyte.com</w:t>
      </w:r>
    </w:p>
    <w:p>
      <w:pPr>
        <w:pStyle w:val="ListText"/>
        <w:numPr>
          <w:ilvl w:val="0"/>
          <w:numId w:val="3"/>
        </w:numPr>
      </w:pPr>
      <w:r>
        <w:t xml:space="preserve">Samsung Semiconductor – 990 PRO и T7 Shield: semiconductor.samsung.com</w:t>
      </w:r>
    </w:p>
    <w:p>
      <w:pPr>
        <w:pStyle w:val="ListText"/>
        <w:numPr>
          <w:ilvl w:val="0"/>
          <w:numId w:val="3"/>
        </w:numPr>
      </w:pPr>
      <w:r>
        <w:t xml:space="preserve">Western Digital – WD Red Plus: www.westerndigital.com</w:t>
      </w:r>
    </w:p>
    <w:p>
      <w:pPr>
        <w:pStyle w:val="ListText"/>
        <w:numPr>
          <w:ilvl w:val="0"/>
          <w:numId w:val="3"/>
        </w:numPr>
      </w:pPr>
      <w:r>
        <w:t xml:space="preserve">Corsair – RM1000x: www.corsair.com</w:t>
      </w:r>
    </w:p>
    <w:p>
      <w:pPr>
        <w:pStyle w:val="ListText"/>
        <w:numPr>
          <w:ilvl w:val="0"/>
          <w:numId w:val="3"/>
        </w:numPr>
      </w:pPr>
      <w:r>
        <w:t xml:space="preserve">Fractal Design – North: www.fractal-design.com</w:t>
      </w:r>
    </w:p>
    <w:p>
      <w:pPr>
        <w:pStyle w:val="ListText"/>
        <w:numPr>
          <w:ilvl w:val="0"/>
          <w:numId w:val="3"/>
        </w:numPr>
      </w:pPr>
      <w:r>
        <w:t xml:space="preserve">Dell – UltraSharp U2723QE: www.dell.com</w:t>
      </w:r>
    </w:p>
    <w:p>
      <w:pPr>
        <w:pStyle w:val="ListText"/>
        <w:numPr>
          <w:ilvl w:val="0"/>
          <w:numId w:val="3"/>
        </w:numPr>
      </w:pPr>
      <w:r>
        <w:t xml:space="preserve">Logitech – MX Keys S Combo и Brio 500: www.logitech.com</w:t>
      </w:r>
    </w:p>
    <w:p>
      <w:pPr>
        <w:pStyle w:val="ListText"/>
        <w:numPr>
          <w:ilvl w:val="0"/>
          <w:numId w:val="3"/>
        </w:numPr>
      </w:pPr>
      <w:r>
        <w:t xml:space="preserve">APC by Schneider Electric – Back-UPS Pro BR1500MI: www.apc.com</w:t>
      </w:r>
    </w:p>
    <w:p>
      <w:pPr>
        <w:pStyle w:val="ListText"/>
        <w:numPr>
          <w:ilvl w:val="0"/>
          <w:numId w:val="3"/>
        </w:numPr>
      </w:pPr>
      <w:r>
        <w:t xml:space="preserve">Microsoft – Windows 11 Pro и Office 2024: www.microsoft.com</w:t>
      </w:r>
    </w:p>
    <w:p>
      <w:pPr>
        <w:pStyle w:val="ListText"/>
        <w:numPr>
          <w:ilvl w:val="0"/>
          <w:numId w:val="3"/>
        </w:numPr>
      </w:pPr>
      <w:r>
        <w:t xml:space="preserve">Оферти от търговци на компютърна техника в България, октомври 2026 г.</w:t>
      </w:r>
    </w:p>
    <w:sectPr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 w:orient="portrait"/>
      <w:pgMar w:top="1418" w:right="1134" w:bottom="1418" w:left="170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  <w:jc w:val="lef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  <w:jc w:val="right"/>
    </w:pPr>
    <w:r>
      <w:t xml:space="preserve">Техническа документация – компютърна конфигурация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  <w:jc w:val="left"/>
    </w:pPr>
    <w:r>
      <w:t xml:space="preserve">Техническа документация – компютърна конфигурация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mirrorMargins/>
  <w:evenAndOddHeaders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bg-BG" w:eastAsia="en-US" w:bidi="ar-SA"/>
        <w:rFonts w:ascii="Times New Roman" w:cs="Times New Roman" w:eastAsia="Times New Roman" w:hAnsi="Times New Roman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 w:lineRule="auto"/>
      <w:ind w:firstLine="709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 w:line="276" w:lineRule="auto"/>
      <w:ind w:firstLine="0"/>
      <w:jc w:val="left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 w:line="276" w:lineRule="auto"/>
      <w:ind w:firstLine="0"/>
      <w:jc w:val="left"/>
      <w:outlineLvl w:val="1"/>
    </w:pPr>
    <w:rPr>
      <w:rFonts w:ascii="Times New Roman" w:cs="Times New Roman" w:eastAsia="Times New Roman" w:hAnsi="Times New Roman"/>
      <w:b/>
      <w:bCs/>
      <w:color w:val="2F5597"/>
      <w:sz w:val="28"/>
      <w:szCs w:val="28"/>
    </w:rPr>
  </w:style>
  <w:style w:type="paragraph" w:styleId="Caption">
    <w:name w:val="Caption"/>
    <w:basedOn w:val="Normal"/>
    <w:next w:val="Normal"/>
    <w:qFormat/>
    <w:pPr>
      <w:keepNext w:val="false"/>
      <w:spacing w:after="200" w:before="120" w:line="240" w:lineRule="auto"/>
      <w:ind w:firstLine="0"/>
      <w:jc w:val="center"/>
    </w:pPr>
    <w:rPr>
      <w:rFonts w:ascii="Times New Roman" w:cs="Times New Roman" w:eastAsia="Times New Roman" w:hAnsi="Times New Roman"/>
      <w:sz w:val="22"/>
      <w:szCs w:val="22"/>
    </w:rPr>
  </w:style>
  <w:style w:type="paragraph" w:styleId="Figure">
    <w:name w:val="Figure"/>
    <w:basedOn w:val="Normal"/>
    <w:next w:val="Caption"/>
    <w:pPr>
      <w:keepNext/>
      <w:spacing w:after="0" w:before="200" w:line="240" w:lineRule="auto"/>
      <w:ind w:firstLine="0"/>
      <w:jc w:val="center"/>
    </w:pPr>
  </w:style>
  <w:style w:type="paragraph" w:styleId="TableText">
    <w:name w:val="Table Text"/>
    <w:basedOn w:val="Normal"/>
    <w:pPr>
      <w:spacing w:after="0" w:before="0" w:line="240" w:lineRule="auto"/>
      <w:ind w:firstLine="0"/>
    </w:pPr>
    <w:rPr>
      <w:rFonts w:ascii="Times New Roman" w:cs="Times New Roman" w:eastAsia="Times New Roman" w:hAnsi="Times New Roman"/>
      <w:sz w:val="20"/>
      <w:szCs w:val="20"/>
    </w:rPr>
  </w:style>
  <w:style w:type="paragraph" w:styleId="ListText">
    <w:name w:val="List Text"/>
    <w:basedOn w:val="Normal"/>
    <w:pPr>
      <w:spacing w:after="60"/>
      <w:ind w:firstLine="0"/>
    </w:pPr>
  </w:style>
  <w:style w:type="paragraph" w:styleId="TocHeading">
    <w:name w:val="TOC Heading Custom"/>
    <w:basedOn w:val="Normal"/>
    <w:pPr>
      <w:spacing w:after="360"/>
      <w:ind w:firstLine="0"/>
      <w:jc w:val="center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TitleBig">
    <w:name w:val="Title Big"/>
    <w:basedOn w:val="Normal"/>
    <w:pPr>
      <w:spacing w:after="240"/>
      <w:ind w:firstLine="0"/>
      <w:jc w:val="center"/>
    </w:pPr>
    <w:rPr>
      <w:rFonts w:ascii="Times New Roman" w:cs="Times New Roman" w:eastAsia="Times New Roman" w:hAnsi="Times New Roman"/>
      <w:b/>
      <w:bCs/>
      <w:color w:val="1F3864"/>
      <w:sz w:val="44"/>
      <w:szCs w:val="44"/>
    </w:rPr>
  </w:style>
  <w:style w:type="paragraph" w:styleId="TitleSub">
    <w:name w:val="Title Sub"/>
    <w:basedOn w:val="Normal"/>
    <w:pPr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type="paragraph" w:styleId="TitleSmall">
    <w:name w:val="Title Small"/>
    <w:basedOn w:val="Normal"/>
    <w:pPr>
      <w:spacing w:after="0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type="paragraph" w:styleId="TitleInfo">
    <w:name w:val="Title Info"/>
    <w:basedOn w:val="Normal"/>
    <w:pPr>
      <w:spacing w:after="0"/>
      <w:ind w:left="5103" w:firstLine="0"/>
      <w:jc w:val="left"/>
    </w:pPr>
    <w:rPr>
      <w:rFonts w:ascii="Times New Roman" w:cs="Times New Roman" w:eastAsia="Times New Roman" w:hAnsi="Times New Roman"/>
      <w:sz w:val="24"/>
      <w:szCs w:val="24"/>
    </w:rPr>
  </w:style>
  <w:style w:type="paragraph" w:styleId="HeaderText">
    <w:name w:val="Header Text"/>
    <w:basedOn w:val="Normal"/>
    <w:pPr>
      <w:pBdr>
        <w:bottom w:val="single" w:color="A6A6A6" w:sz="4" w:space="2"/>
      </w:pBdr>
      <w:spacing w:after="0" w:line="240" w:lineRule="auto"/>
      <w:ind w:firstLine="0"/>
    </w:pPr>
    <w:rPr>
      <w:rFonts w:ascii="Times New Roman" w:cs="Times New Roman" w:eastAsia="Times New Roman" w:hAnsi="Times New Roman"/>
      <w:i/>
      <w:iCs/>
      <w:color w:val="595959"/>
      <w:sz w:val="18"/>
      <w:szCs w:val="18"/>
    </w:rPr>
  </w:style>
  <w:style w:type="paragraph" w:styleId="FooterText">
    <w:name w:val="Footer Text"/>
    <w:basedOn w:val="Normal"/>
    <w:pPr>
      <w:spacing w:after="0" w:line="240" w:lineRule="auto"/>
      <w:ind w:firstLine="0"/>
    </w:pPr>
    <w:rPr>
      <w:rFonts w:ascii="Times New Roman" w:cs="Times New Roman" w:eastAsia="Times New Roman" w:hAnsi="Times New Roman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2f4a1a1e0a95c79ffb9d6ef45adb76f328b81b51.png"/><Relationship Id="rId14" Type="http://schemas.openxmlformats.org/officeDocument/2006/relationships/image" Target="media/b764b8a8374aab34c032fc07ef484a0266a02a95.png"/><Relationship Id="rId15" Type="http://schemas.openxmlformats.org/officeDocument/2006/relationships/image" Target="media/624022ae6485e16e29685331a81ff7ce3ddc859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 документация – компютърна конфигурация</dc:title>
  <dc:creator>[Име и фамилия]</dc:creator>
  <dc:description>Обосновка на хардуерните компоненти и финансов анализ</dc:description>
  <cp:lastModifiedBy>Un-named</cp:lastModifiedBy>
  <cp:revision>1</cp:revision>
  <dcterms:created xsi:type="dcterms:W3CDTF">2026-10-05T05:26:20.266Z</dcterms:created>
  <dcterms:modified xsi:type="dcterms:W3CDTF">2026-10-05T05:26:20.267Z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