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Big"/>
      </w:pPr>
      <w:r>
        <w:t xml:space="preserve">ТЕХНИЧЕСКА ДОКУМЕНТАЦИЯ</w:t>
      </w:r>
    </w:p>
    <w:p>
      <w:pPr>
        <w:pStyle w:val="TitleSub"/>
      </w:pPr>
      <w:r>
        <w:t xml:space="preserve">Компютърна конфигурация за 3D моделиране по европейски проект</w:t>
      </w:r>
    </w:p>
    <w:p>
      <w:pPr>
        <w:pStyle w:val="TitleSub"/>
        <w:spacing w:after="360"/>
      </w:pPr>
      <w:r>
        <w:rPr>
          <w:i/>
          <w:iCs/>
        </w:rPr>
        <w:t xml:space="preserve">Изготвил: [Име и фамилия], [клас]</w:t>
      </w:r>
    </w:p>
    <w:p>
      <w:pPr>
        <w:pStyle w:val="Heading1"/>
      </w:pPr>
      <w:r>
        <w:t xml:space="preserve">1. Въведение</w:t>
      </w:r>
    </w:p>
    <w:p>
      <w:r>
        <w:t xml:space="preserve">Кандидатствахме по европейски проект за компютърна конфигурация и бяхме одобрени с бюджет 4 688,00 €. Реших компютърът да е работна станция за 3D моделиране – моделиране и рендер в Blender, сканиране на реални предмети с 3D скенер и бързо създаване на модели с изкуствен интелект.</w:t>
      </w:r>
    </w:p>
    <w:p>
      <w:r>
        <w:t xml:space="preserve">За такава работа най-важни са видеокартата (рендерът и работата във viewport-а вървят на нея), много оперативна памет и бърз SSD. Затова повечето пари отидоха там, а на останалите части търсих добро съотношение между цена и качество. Всички цени са с ДДС и са взети от онлайн магазини в България през октомври 2026 г.</w:t>
      </w:r>
    </w:p>
    <w:p>
      <w:pPr>
        <w:pStyle w:val="Heading1"/>
      </w:pPr>
      <w:r>
        <w:t xml:space="preserve">2. Хардуерни компоненти</w:t>
      </w:r>
    </w:p>
    <w:p>
      <w:r>
        <w:t xml:space="preserve">В таблица 1 са всички закупени неща с производителя и цената. След нея накратко обяснявам защо съм избрал всяко от тях – номерата съвпадат с таблицата.</w:t>
      </w:r>
    </w:p>
    <w:p>
      <w:pPr>
        <w:pStyle w:val="Caption"/>
      </w:pPr>
      <w:r>
        <w:rPr>
          <w:b/>
          <w:bCs/>
        </w:rPr>
        <w:t xml:space="preserve">Таблица </w:t>
      </w:r>
      <w:fldSimple w:instr="SEQ Таблица \* ARABIC">
        <w:r>
          <w:t xml:space="preserve">1</w:t>
        </w:r>
      </w:fldSimple>
      <w:r>
        <w:rPr>
          <w:b/>
          <w:bCs/>
        </w:rPr>
        <w:t xml:space="preserve">. </w:t>
      </w:r>
      <w:r>
        <w:t xml:space="preserve">Компоненти на конфигурацията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471"/>
        <w:gridCol w:w="2600"/>
        <w:gridCol w:w="1500"/>
      </w:tblGrid>
      <w:tr>
        <w:trPr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Компонент / модел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Производител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Цена, €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Процесор AMD Ryzen 9 9900X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AMD (САЩ)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399,00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2.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Охладител ARCTIC Liquid Freezer III Pro 360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ARCTIC (Германия)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109,90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3.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Дънна платка ASUS TUF GAMING X870-PLUS WIFI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ASUS (Тайван)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289,00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4.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RAM Kingston FURY Beast 64 GB (2×32 GB) DDR5-6000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Kingston (САЩ)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339,00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5.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Видеокарта GIGABYTE GeForce RTX 5070 Ti WINDFORCE OC SFF 16G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GIGABYTE (Тайван) / NVIDIA (САЩ)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879,00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6.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SSD Samsung 990 PRO 2 TB NVMe M.2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Samsung (Южна Корея)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189,90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7.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HDD WD Red Plus 4 TB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Western Digital (САЩ)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119,90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8.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Захранване Corsair RM1000x, 1000 W, 80 PLUS Gold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Corsair (САЩ)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179,90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9.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Кутия Fractal Design North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Fractal Design (Швеция)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139,90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10.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Монитор Dell UltraSharp U2723QE, 27", 4K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Dell (САЩ)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549,00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11.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Клавиатура и мишка Logitech MX Keys S Combo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Logitech (Швейцария)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199,90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12.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UPS APC Back-UPS Pro BR1500MI, 1500 VA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APC by Schneider Electric (Франция)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279,00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13.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Външен SSD Samsung T7 Shield 2 TB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Samsung (Южна Корея)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159,90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14.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3D скенер Creality CR-Scan Ferret Pro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Creality (Китай)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299,00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15.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Операционна система Microsoft Windows 11 Pro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Microsoft (САЩ)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229,00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16.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Абонамент Meshy AI Pro – изкуствен интелект за 3D модели, 12 месеца (12 × 19,99 €)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Meshy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239,88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17.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Сглобяване, инсталиране и тестване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Доставчик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39,00</w:t>
            </w:r>
          </w:p>
        </w:tc>
      </w:tr>
      <w:tr>
        <w:trPr>
          <w:cantSplit/>
        </w:trPr>
        <w:tc>
          <w:tcPr>
            <w:tcW w:type="dxa" w:w="7571"/>
            <w:gridSpan w:val="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Общо:</w:t>
            </w:r>
          </w:p>
        </w:tc>
        <w:tc>
          <w:tcPr>
            <w:tcW w:type="dxa" w:w="4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4 640,18</w:t>
            </w:r>
          </w:p>
        </w:tc>
      </w:tr>
    </w:tbl>
    <w:p>
      <w:pPr>
        <w:pStyle w:val="ListText"/>
        <w:numPr>
          <w:ilvl w:val="0"/>
          <w:numId w:val="2"/>
        </w:numPr>
        <w:spacing w:before="200"/>
      </w:pPr>
      <w:r>
        <w:rPr>
          <w:b/>
          <w:bCs/>
        </w:rPr>
        <w:t xml:space="preserve">Процесор AMD Ryzen 9 9900X</w:t>
      </w:r>
      <w:r>
        <w:t xml:space="preserve"> – 12 ядра и 24 нишки, до 5,6 GHz. Взех го вместо Ryzen 9 9950X, защото е със 170 € по-евтин, а при рендер на видеокартата разликата почти не се усеща. Сокетът AM5 позволява по-късно да сменя само процесора.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Охладител ARCTIC Liquid Freezer III Pro 360</w:t>
      </w:r>
      <w:r>
        <w:t xml:space="preserve"> – водно охлаждане с радиатор 360 mm. При дълъг рендер процесорът загрява и така не губи честота и не вдига шум.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Дънна платка ASUS TUF GAMING X870-PLUS WIFI</w:t>
      </w:r>
      <w:r>
        <w:t xml:space="preserve"> – AM5, PCIe 5.0, USB4 и Wi-Fi 7. Серията TUF е направена за надеждност, а няма излишни геймърски екстри, за които да плащам.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RAM Kingston FURY Beast 64 GB DDR5-6000</w:t>
      </w:r>
      <w:r>
        <w:t xml:space="preserve"> – при 3D 32 GB свършват бързо: сцени с много полигони, текстури в 4K и сканирани модели. Остават два свободни слота, ако някой ден трябват 128 GB.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Видеокарта GIGABYTE GeForce RTX 5070 Ti 16 GB</w:t>
      </w:r>
      <w:r>
        <w:t xml:space="preserve"> – най-важната част. Blender Cycles рендерира през NVIDIA OptiX, а 16 GB видеопамет стигат за тежки сцени. RTX 5080 има същите 16 GB, но е с около 310 € по-скъпа за 15–20 % повече скорост. С тези пари купих 3D скенера и AI абонамента.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SSD Samsung 990 PRO 2 TB</w:t>
      </w:r>
      <w:r>
        <w:t xml:space="preserve"> – NVMe до 7450 MB/s за системата, програмите и текущите проекти, които се отварят за секунди.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HDD WD Red Plus 4 TB</w:t>
      </w:r>
      <w:r>
        <w:t xml:space="preserve"> – евтино място за архив на готови проекти, рендери и сканирания.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Захранване Corsair RM1000x</w:t>
      </w:r>
      <w:r>
        <w:t xml:space="preserve"> – 1000 W, 80 PLUS Gold, 10 години гаранция. Системата тегли около 560 W, така че захранването работи наполовина натоварено, тихо и с резерв.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Кутия Fractal Design North</w:t>
      </w:r>
      <w:r>
        <w:t xml:space="preserve"> – добро охлаждане с мрежест панел и място за радиатор 360 mm.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Монитор Dell UltraSharp U2723QE 27" 4K</w:t>
      </w:r>
      <w:r>
        <w:t xml:space="preserve"> – 4K резолюцията дава място за всички панели на Blender, а IPS Black матрицата показва точно цветовете на текстурите.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Logitech MX Keys S Combo</w:t>
      </w:r>
      <w:r>
        <w:t xml:space="preserve"> – мишката MX Master 3S е удобна за дълга работа и има бутони, които настройвам за Blender.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UPS APC Back-UPS Pro 1500 VA</w:t>
      </w:r>
      <w:r>
        <w:t xml:space="preserve"> – ако токът спре по време на рендер, имам време да запазя файла и да изключа нормално.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Външен SSD Samsung T7 Shield 2 TB</w:t>
      </w:r>
      <w:r>
        <w:t xml:space="preserve"> – за резервни копия на проектите, за да не загубя всичко при повреда.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3D скенер Creality CR-Scan Ferret Pro</w:t>
      </w:r>
      <w:r>
        <w:t xml:space="preserve"> – сканира предмети от около 15 mm до 2 m с точност до 0,1 mm и с цветна текстура. Така прехвърлям реални предмети в Blender и ги доработвам, вместо да моделирам всичко от нулата.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Windows 11 Pro</w:t>
      </w:r>
      <w:r>
        <w:t xml:space="preserve"> – трябва за драйверите на видеокартата и скенера и за повечето 3D програми.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Абонамент Meshy AI Pro за 12 месеца</w:t>
      </w:r>
      <w:r>
        <w:t xml:space="preserve"> – изкуствен интелект, който прави 3D модел от текст или от снимка и генерира текстури. Ползвам го за бързи чернови и предмети за фона, после ги оправям в Blender (експорт във FBX, OBJ, GLB и STL).</w:t>
      </w:r>
    </w:p>
    <w:p>
      <w:pPr>
        <w:pStyle w:val="ListText"/>
        <w:numPr>
          <w:ilvl w:val="0"/>
          <w:numId w:val="2"/>
        </w:numPr>
      </w:pPr>
      <w:r>
        <w:rPr>
          <w:b/>
          <w:bCs/>
        </w:rPr>
        <w:t xml:space="preserve">Сглобяване и тестване</w:t>
      </w:r>
      <w:r>
        <w:t xml:space="preserve"> – магазинът сглобява и тества компютъра, за да важи гаранцията на всички части.</w:t>
      </w:r>
    </w:p>
    <w:p>
      <w:r>
        <w:t xml:space="preserve">Програмата за моделиране Blender е безплатна, затова не съм предвидил пари за нея. Офис пакет не купих, защото не е нужен за 3D работата.</w:t>
      </w:r>
    </w:p>
    <w:p>
      <w:pPr>
        <w:pStyle w:val="Heading1"/>
      </w:pPr>
      <w:r>
        <w:t xml:space="preserve">3. Финансов анализ</w:t>
      </w:r>
    </w:p>
    <w:p>
      <w:r>
        <w:t xml:space="preserve">От одобрените 4 688,00 € съм изхарчил 4 640,18 €, т.е. 98,98 % от бюджета. Остават 47,82 € за доставка или ако някоя цена се вдигне до покупката. В таблица 2 и на фигура 1 се вижда за какво отиват парите.</w:t>
      </w:r>
    </w:p>
    <w:p>
      <w:pPr>
        <w:pStyle w:val="Caption"/>
      </w:pPr>
      <w:r>
        <w:rPr>
          <w:b/>
          <w:bCs/>
        </w:rPr>
        <w:t xml:space="preserve">Таблица </w:t>
      </w:r>
      <w:fldSimple w:instr="SEQ Таблица \* ARABIC">
        <w:r>
          <w:t xml:space="preserve">2</w:t>
        </w:r>
      </w:fldSimple>
      <w:r>
        <w:rPr>
          <w:b/>
          <w:bCs/>
        </w:rPr>
        <w:t xml:space="preserve">. </w:t>
      </w:r>
      <w:r>
        <w:t xml:space="preserve">Разходи по категории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71"/>
        <w:gridCol w:w="2400"/>
        <w:gridCol w:w="2400"/>
      </w:tblGrid>
      <w:tr>
        <w:trPr>
          <w:tblHeader/>
        </w:trPr>
        <w:tc>
          <w:tcPr>
            <w:tcW w:type="dxa" w:w="4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Категория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Сума, €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Дял от бюджета, %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Системен блок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2 645,50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56,43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Периферия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1 486,80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31,72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Софтуер и абонаменти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468,88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Услуги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39,00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0,83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Остатък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47,82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1,02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</w:rPr>
              <w:t xml:space="preserve">Общо (бюджет)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4 688,00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</w:rPr>
              <w:t xml:space="preserve">100,00</w:t>
            </w:r>
          </w:p>
        </w:tc>
      </w:tr>
    </w:tbl>
    <w:p>
      <w:pPr>
        <w:pStyle w:val="Figure"/>
      </w:pPr>
      <w:r>
        <w:drawing>
          <wp:inline distT="0" distB="0" distL="0" distR="0">
            <wp:extent cx="3429000" cy="2038350"/>
            <wp:effectExtent t="0" r="0" b="0" l="0"/>
            <wp:docPr id="1" name="fig2_pie.png" descr="Разпределение на бюджета" title="Разпределение на бюдж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Фигура </w:t>
      </w:r>
      <w:fldSimple w:instr="SEQ Фигура \* ARABIC">
        <w:r>
          <w:t xml:space="preserve">1</w:t>
        </w:r>
      </w:fldSimple>
      <w:r>
        <w:rPr>
          <w:b/>
          <w:bCs/>
        </w:rPr>
        <w:t xml:space="preserve">. </w:t>
      </w:r>
      <w:r>
        <w:t xml:space="preserve">Разпределение на бюджета</w:t>
      </w:r>
    </w:p>
    <w:p>
      <w:r>
        <w:t xml:space="preserve">Защо съм избрал точно тези компоненти:</w:t>
      </w:r>
    </w:p>
    <w:p>
      <w:pPr>
        <w:pStyle w:val="ListText"/>
        <w:numPr>
          <w:ilvl w:val="0"/>
          <w:numId w:val="3"/>
        </w:numPr>
      </w:pPr>
      <w:r>
        <w:rPr>
          <w:b/>
          <w:bCs/>
        </w:rPr>
        <w:t xml:space="preserve">Парите са там, където има ефект</w:t>
      </w:r>
      <w:r>
        <w:t xml:space="preserve"> – видеокартата, паметта и процесорът определят колко бързо се рендерира и колко тежки сцени мога да отворя.</w:t>
      </w:r>
    </w:p>
    <w:p>
      <w:pPr>
        <w:pStyle w:val="ListText"/>
        <w:numPr>
          <w:ilvl w:val="0"/>
          <w:numId w:val="3"/>
        </w:numPr>
      </w:pPr>
      <w:r>
        <w:rPr>
          <w:b/>
          <w:bCs/>
        </w:rPr>
        <w:t xml:space="preserve">Спестих там, където разликата е малка</w:t>
      </w:r>
      <w:r>
        <w:t xml:space="preserve"> – RTX 5070 Ti вместо RTX 5080 и Ryzen 9 9900X вместо 9950X спестиха около 480 €. С тях купих 3D скенер, AI абонамент и UPS, които дават повече на работата, отколкото малко повече скорост.</w:t>
      </w:r>
    </w:p>
    <w:p>
      <w:pPr>
        <w:pStyle w:val="ListText"/>
        <w:numPr>
          <w:ilvl w:val="0"/>
          <w:numId w:val="3"/>
        </w:numPr>
      </w:pPr>
      <w:r>
        <w:rPr>
          <w:b/>
          <w:bCs/>
        </w:rPr>
        <w:t xml:space="preserve">Сигурност на данните</w:t>
      </w:r>
      <w:r>
        <w:t xml:space="preserve"> – UPS, външен SSD и отделен HDD за архив, защото един изгубен проект струва повече от тях.</w:t>
      </w:r>
    </w:p>
    <w:p>
      <w:pPr>
        <w:pStyle w:val="Heading1"/>
      </w:pPr>
      <w:r>
        <w:t xml:space="preserve">4. Заключение</w:t>
      </w:r>
    </w:p>
    <w:p>
      <w:r>
        <w:t xml:space="preserve">С този бюджет успях да събера пълна работна станция за 3D – мощен компютър за моделиране и рендер, 4K монитор, 3D скенер за реални предмети и AI за бързо създаване на модели. Всички части са от познати производители с гаранция от 2 до 10 години, а компютърът може да се надгради с още памет или нов процесор.</w:t>
      </w:r>
    </w:p>
    <w:sectPr>
      <w:footerReference w:type="default" r:id="rId7"/>
      <w:footerReference w:type="even" r:id="rId8"/>
      <w:pgSz w:w="11906" w:h="16838" w:orient="portrait"/>
      <w:pgMar w:top="1134" w:right="1134" w:bottom="1134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  <w:jc w:val="lef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mirrorMargins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bg-BG" w:eastAsia="en-US" w:bidi="ar-SA"/>
        <w:rFonts w:ascii="Times New Roman" w:cs="Times New Roman" w:eastAsia="Times New Roman" w:hAnsi="Times New Roman"/>
        <w:sz w:val="24"/>
        <w:szCs w:val="24"/>
      </w:rPr>
    </w:rPrDefault>
    <w:pPrDefault>
      <w:pPr>
        <w:spacing w:after="10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00" w:line="276" w:lineRule="auto"/>
      <w:ind w:firstLine="709"/>
      <w:jc w:val="both"/>
    </w:pPr>
    <w:rPr>
      <w:rFonts w:ascii="Times New Roman" w:cs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ind w:firstLine="0"/>
      <w:jc w:val="left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Caption">
    <w:name w:val="Caption"/>
    <w:basedOn w:val="Normal"/>
    <w:next w:val="Normal"/>
    <w:qFormat/>
    <w:pPr>
      <w:keepNext/>
      <w:spacing w:after="120" w:before="120" w:line="240" w:lineRule="auto"/>
      <w:ind w:firstLine="0"/>
      <w:jc w:val="center"/>
    </w:pPr>
    <w:rPr>
      <w:rFonts w:ascii="Times New Roman" w:cs="Times New Roman" w:eastAsia="Times New Roman" w:hAnsi="Times New Roman"/>
      <w:sz w:val="22"/>
      <w:szCs w:val="22"/>
    </w:rPr>
  </w:style>
  <w:style w:type="paragraph" w:styleId="Figure">
    <w:name w:val="Figure"/>
    <w:basedOn w:val="Normal"/>
    <w:next w:val="Caption"/>
    <w:pPr>
      <w:keepNext/>
      <w:spacing w:after="0" w:before="120" w:line="240" w:lineRule="auto"/>
      <w:ind w:firstLine="0"/>
      <w:jc w:val="center"/>
    </w:pPr>
  </w:style>
  <w:style w:type="paragraph" w:styleId="TableText">
    <w:name w:val="Table Text"/>
    <w:basedOn w:val="Normal"/>
    <w:pPr>
      <w:spacing w:after="0" w:before="0" w:line="240" w:lineRule="auto"/>
      <w:ind w:firstLine="0"/>
    </w:pPr>
    <w:rPr>
      <w:rFonts w:ascii="Times New Roman" w:cs="Times New Roman" w:eastAsia="Times New Roman" w:hAnsi="Times New Roman"/>
      <w:sz w:val="20"/>
      <w:szCs w:val="20"/>
    </w:rPr>
  </w:style>
  <w:style w:type="paragraph" w:styleId="ListText">
    <w:name w:val="List Text"/>
    <w:basedOn w:val="Normal"/>
    <w:pPr>
      <w:spacing w:after="60"/>
      <w:ind w:firstLine="0"/>
    </w:pPr>
  </w:style>
  <w:style w:type="paragraph" w:styleId="TitleBig">
    <w:name w:val="Title Big"/>
    <w:basedOn w:val="Normal"/>
    <w:pPr>
      <w:spacing w:after="60"/>
      <w:ind w:firstLine="0"/>
      <w:jc w:val="center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TitleSub">
    <w:name w:val="Title Sub"/>
    <w:basedOn w:val="Normal"/>
    <w:pPr>
      <w:spacing w:after="0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type="paragraph" w:styleId="FooterText">
    <w:name w:val="Footer Text"/>
    <w:basedOn w:val="Normal"/>
    <w:pPr>
      <w:spacing w:after="0" w:line="240" w:lineRule="auto"/>
      <w:ind w:firstLine="0"/>
    </w:pPr>
    <w:rPr>
      <w:rFonts w:ascii="Times New Roman" w:cs="Times New Roman" w:eastAsia="Times New Roman" w:hAnsi="Times New Roman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960e86f82563ad328c6d445ecf7fa591f5c3df1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 документация – конфигурация за 3D моделиране</dc:title>
  <dc:creator>[Име и фамилия]</dc:creator>
  <cp:lastModifiedBy>Un-named</cp:lastModifiedBy>
  <cp:revision>1</cp:revision>
  <dcterms:created xsi:type="dcterms:W3CDTF">2026-10-05T05:34:43.947Z</dcterms:created>
  <dcterms:modified xsi:type="dcterms:W3CDTF">2026-10-05T05:34:43.947Z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