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78.0" w:type="dxa"/>
        <w:jc w:val="left"/>
        <w:tblInd w:w="5.0" w:type="dxa"/>
        <w:tblLayout w:type="fixed"/>
        <w:tblLook w:val="0400"/>
      </w:tblPr>
      <w:tblGrid>
        <w:gridCol w:w="1271"/>
        <w:gridCol w:w="3491"/>
        <w:gridCol w:w="454"/>
        <w:gridCol w:w="3426"/>
        <w:gridCol w:w="1336"/>
        <w:tblGridChange w:id="0">
          <w:tblGrid>
            <w:gridCol w:w="1271"/>
            <w:gridCol w:w="3491"/>
            <w:gridCol w:w="454"/>
            <w:gridCol w:w="3426"/>
            <w:gridCol w:w="1336"/>
          </w:tblGrid>
        </w:tblGridChange>
      </w:tblGrid>
      <w:tr>
        <w:trPr>
          <w:cantSplit w:val="0"/>
          <w:tblHeader w:val="0"/>
        </w:trPr>
        <w:tc>
          <w:tcPr>
            <w:gridSpan w:val="2"/>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56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Vollmacht</w:t>
            </w:r>
          </w:p>
        </w:tc>
        <w:tc>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56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Power of Attorney</w:t>
            </w:r>
          </w:p>
        </w:tc>
      </w:tr>
      <w:tr>
        <w:trPr>
          <w:cantSplit w:val="0"/>
          <w:tblHeader w:val="0"/>
        </w:trPr>
        <w:tc>
          <w:tcPr>
            <w:gridSpan w:val="2"/>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Digital Marketing GmbH mit Sitz in Meerbusch, eingetragen im Handelsregister des Amtsgerichts Neuss unter HRB 20261,</w:t>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Digital Marketing GmbH with its registered seat in Meerbusch, registered in the commercial register of the local court of Neuss under HRB 20261,</w:t>
            </w:r>
          </w:p>
        </w:tc>
      </w:tr>
      <w:tr>
        <w:trPr>
          <w:cantSplit w:val="0"/>
          <w:tblHeader w:val="0"/>
        </w:trPr>
        <w:tc>
          <w:tcPr>
            <w:gridSpan w:val="2"/>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Vollmachtgeber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Principal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bevollmächtigt hiermit</w:t>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hereby grants power of attorney to</w:t>
            </w:r>
          </w:p>
        </w:tc>
      </w:tr>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Martin Groschke</w:t>
            </w: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1287" w:right="0" w:hanging="566.9999999999999"/>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geschäftsansässig bei</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1287" w:right="0" w:hanging="566.99999999999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business address at</w:t>
            </w:r>
          </w:p>
        </w:tc>
      </w:tr>
      <w:tr>
        <w:trPr>
          <w:cantSplit w:val="0"/>
          <w:tblHeader w:val="0"/>
        </w:trP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25">
            <w:pPr>
              <w:spacing w:after="240" w:before="240" w:line="320" w:lineRule="auto"/>
              <w:jc w:val="center"/>
              <w:rPr>
                <w:sz w:val="20"/>
                <w:szCs w:val="20"/>
              </w:rPr>
            </w:pPr>
            <w:r w:rsidDel="00000000" w:rsidR="00000000" w:rsidRPr="00000000">
              <w:rPr>
                <w:sz w:val="20"/>
                <w:szCs w:val="20"/>
                <w:rtl w:val="0"/>
              </w:rPr>
              <w:t xml:space="preserve">Lange Reihe 19, 18246 Rühn</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(jeder im Folgenden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Bevollmächtigter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genannt)</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hereinafter referred to 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Proxy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gridSpan w:val="2"/>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jeweils einzeln, den Vollmachtgeber in seiner Eigenschaft als künftiger Gesellschafter der Muvn Mobility GmbH mit Sitz in Hamburg, eingetragen im Handelsregister des Amtsgerichts Hamburg unter HRB 190492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Gesellschaft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jeder rechtlich zulässigen Hinsicht im Zusammenhang mit der rechtlichen Umsetzung und dem Vollzug einer Kapitalerhöhung der Gesellschaft einschließlich aller damit zusammenhängenden Maßnahmen, Rechtsgeschäfte und Erklärungen zwecks Durchführung einer Finanzierungsrunde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Finanzierungsrunde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zu vertreten. Die Vollmacht umfasst insbesondere folgende Rechtsgeschäfte und Erklärungen:</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individually, to represent the Principal in his capacity as an future shareholder of Muvn Mobility GmbH with its registered seat in Hamburg, registered in the commercial register of the local court of Hamburg under HRB 190492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Company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all legally permissible respects in connection with the legal implementation and execution of a capital increase of the Company, including all related measures, legal transactions and declarations for the purpose of carrying out a financing round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Financing Round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power of attorney includes in particular the following legal transactions and declarations:</w:t>
            </w:r>
          </w:p>
        </w:tc>
      </w:tr>
      <w:tr>
        <w:trPr>
          <w:cantSplit w:val="0"/>
          <w:tblHeader w:val="0"/>
        </w:trPr>
        <w:tc>
          <w:tcPr>
            <w:gridSpan w:val="2"/>
          </w:tcPr>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Abschluss, Ergänzung, Aufhebung und/oder Änderung einer Gesellschafter- und/oder Investitions-/Beteiligungsvereinbarung für die Finanzierungsrunde der Gesellschaft;</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 amendment, termination and/or modification of a shareholders’ agreement and/or investment/participation agreement for the Financing Round of the Company;</w:t>
            </w:r>
            <w:r w:rsidDel="00000000" w:rsidR="00000000" w:rsidRPr="00000000">
              <w:rPr>
                <w:rtl w:val="0"/>
              </w:rPr>
            </w:r>
          </w:p>
        </w:tc>
      </w:tr>
      <w:tr>
        <w:trPr>
          <w:cantSplit w:val="0"/>
          <w:tblHeader w:val="0"/>
        </w:trPr>
        <w:tc>
          <w:tcPr>
            <w:gridSpan w:val="2"/>
          </w:tcPr>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Teilnahme an Gesellschafterversammlungen der Gesellschaft und bei der Fassung von jeglichen Gesellschafterbeschlüssen der Gesellschaft (innerhalb oder außerhalb von Gesellschafterversammlungen und mit oder ohne Verzicht auf alle Form- und Fristerfordernisse), einschließlich zu Kapitalerhöhungen (gegen Bar- und/oder Sacheinlagen und auch unter Verzicht auf eigene Bezugsrechte), Sitzverlegung, Errichtung eines Beirats und weiteren Satzungsänderungen (einschließlich der Satzungsneufassung), zur Bestellung oder Abberufung von Geschäftsführern (und der Festlegung/Änderung ihrer Vertretungsbefugnisse und Befreiungen von § 181 BGB), dem Abschluss, der Änderung oder Aufhebung von Geschäftsführerdienstverträgen, zu Bestellung und Abberufung von Beiratsmitgliedern, der Fassung oder Änderung von Geschäftsordnungen für die Geschäftsführung oder den Beirat, der Zustimmung zu Übertragungen von Geschäftsanteilen;</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Participation in shareholders’ meetings of the Company and in the adoption of any shareholders’ resolutions of the Company (within or outside shareholders’ meetings and with or without waiver of all formal and time requirements), including regarding capital increases (against cash and/or contributions in kind and also with waiver of own subscription rights), relocation of the registered seat, establishment of an advisory board and further amendments to the articles of association (including the complete restatement of the articles of association), appointment or removal of managing directors (and the determination/amendment of their powers of representation and exemptions from Section 181 of the German Civil Code), conclusion, amendment or termination of managing directors’ service agreements, appointment and removal of advisory board members, adoption or amendment of rules of procedure for the management or the advisory board, consent to transfers of shares;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Verhandlung, Änderung, Abschluss und Vollziehung/Wandlung von Wandeldarlehensverträgen;</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Negotiation, amendment, conclusion and execution/conversion of convertible loan agreements;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Wandlung eigener Wandeldarlehensverträge und (typischen) stillen Gesellschaften, einschließlich der endgültigen Einbringung des Rückzahlungsanspruchs und des Wandeldarlehensgeberzinsanspruchs in die freie Kapitalrücklage der Gesellschaft im Sinne von § 272 Abs. 2 Nr. 4 HGB;</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Conversion of the Company’s own convertible loan agreements and (typical) silent partnerships, including the final contribution of the repayment claim and the convertible loan lender’s interest claim to the Company’s free capital reserve within the meaning of section 272 (2) no. 4 of the German Commercial Code (HGB);</w:t>
            </w:r>
            <w:r w:rsidDel="00000000" w:rsidR="00000000" w:rsidRPr="00000000">
              <w:rPr>
                <w:rtl w:val="0"/>
              </w:rPr>
            </w:r>
          </w:p>
        </w:tc>
      </w:tr>
      <w:tr>
        <w:trPr>
          <w:cantSplit w:val="0"/>
          <w:tblHeader w:val="0"/>
        </w:trPr>
        <w:tc>
          <w:tcPr>
            <w:gridSpan w:val="2"/>
          </w:tcPr>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Verhandlung, Änderung, Abschluss und Umsetzung eines virtuellen Mitarbeiterbeteiligungsprogramms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VSOP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der Gesellschaft im Zusammenhang mit der Finanzierungsrunde;</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Negotiation, amendment, conclusion and implementation of a virtual employee participation programme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VSOP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Company in connection with the Financing Round;</w:t>
            </w:r>
            <w:r w:rsidDel="00000000" w:rsidR="00000000" w:rsidRPr="00000000">
              <w:rPr>
                <w:rtl w:val="0"/>
              </w:rPr>
            </w:r>
          </w:p>
        </w:tc>
      </w:tr>
      <w:tr>
        <w:trPr>
          <w:cantSplit w:val="0"/>
          <w:tblHeader w:val="0"/>
        </w:trPr>
        <w:tc>
          <w:tcPr>
            <w:gridSpan w:val="2"/>
          </w:tcPr>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Errichtung, Änderung, Neubesetzung des Beirats der Gesellschaft;</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Establishment, amendment, recomposition of the advisory board of the Company;</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Änderung und Erlass von Geschäftsordnungen für die Geschäftsführung und/oder den Beirat der Gesellschaft;</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Amendment and adoption of rules of procedure for the management and/or the advisory board of the Company;</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Erwerb und der Übertragung bestehender Geschäftsanteile der Gesellschaft und Zeichnung und Übernahme neuer Geschäftsanteile der Gesellschaft im Rahmen von Kapitalerhöhungen (gegebenenfalls unter Abtretung von Ansprüchen aus Gesellschafterdarlehen und/oder der Vereinbarung von Liquidationspräferenzen); hierzu zählen auch die Eingehung von Verpflichtungen zur Erbringung weiterer Zahlungen bzw. Einlagen in die freie Kapitalrücklage der Gesellschaft gemäß § 272 Abs. 2 HGB;</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Acquisition and transfer of existing shares in the Company and subscription and assumption of new shares in the Company in the course of capital increases (where applicable, by way of assignment of claims arising from shareholder loans and/or the agreement of liquidation preferences); this also includes entering into obligations to make further payments or contributions to the Company’s free capital reserve pursuant to section 272 (2) of the German Commercial Code (HGB);</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Erklärung des Verzichts auf etwaige Bezugs- oder Vorkaufsrechte, Mitveräußerungsrechte und sonstige Vorzugsrechte im Zusammenhang mit Kapitalerhöhungen, Ausgabe neuer Anteile oder sonstigen kapital- bzw. gesellschaftsrechtlichen Maßnahmen, ganz oder teilweise, bedingt oder unbedingt, unwiderruflich zu verzichten und entsprechende Erklärungen gegenüber der Gesellschaft, Gesellschaftern und anderen abzugeben;</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Declaration of waiver of any subscription or pre-emption rights, tag-along rights and other preferential rights in connection with capital increases, issuance of new shares or other capital or corporate law measures, in whole or in part, conditional or unconditional, irrevocably, and to issue corresponding declarations to the Company, shareholders and others;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Verzicht auf vertragliche oder satzungsmäßige Verwässerungsschutzrechte, einschließlich Anti-Dilution-Mechanismen, Anpassungs-, Nachzeichnungs- oder Kompensationsrechte;</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Waiver of contractual or statutory anti-dilution rights, including anti-dilution mechanisms, adjustment, subscription or compensation rights;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Zustimmung zu und nachträgliche Genehmigung der von dieser Vollmacht umfassten und bereits ausgeführten Handlungen; und</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Consent to and subsequent ratification of actions covered by this power of attorney that have already been carried out; and</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Alle anderen Handlungen und Erklärungen, die der Bevollmächtigte im Vorfeld oder im Zusammenhang mit der Finanzierungsrunde für notwendig oder sinnvoll erachtet, einschließlich etwaiger Verhandlungen von Verträgen sowie Handelsregisteranmeldungen.</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other actions and declarations that the Proxy deems necessary or expedient in advance of or in connection with the Financing Round, including any negotiations of contracts as well as commercial register filings.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Zudem ist jeder Bevollmächtigte befugt, alle Verträge zu verhandeln, abzuschließen, durchzuführen, zu ändern und zu beenden und alle Erklärungen abzugeben und entgegenzunehmen und alle sonstigen tatsächlichen und rechtlichen Handlungen für den Vollmachtgeber vorzunehmen, die er im Zusammenhang mit der Finanzierungsrunde für erforderlich oder sachdienlich hält.</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addition, each Proxy is authorised to negotiate, conclude, perform, amend and terminate all contracts and to make and receive all declarations and to carry out all other factual and legal acts for the Principal that he deems necessary or expedient in connection with the Financing Round.</w:t>
            </w:r>
          </w:p>
        </w:tc>
      </w:tr>
      <w:tr>
        <w:trPr>
          <w:cantSplit w:val="0"/>
          <w:tblHeader w:val="0"/>
        </w:trPr>
        <w:tc>
          <w:tcPr>
            <w:gridSpan w:val="2"/>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Jeder Bevollmächtigte ist ermächtigt, den Vollmachtgeber im Rahmen dieser Vollmacht umfassend zu vertreten. Im Zweifelsfall soll die Vollmacht umfassend/weit ausgelegt werden. Jeder Bevollmächtigte ist auch berechtigt, von ihm selbst oder von Dritten in dem vorstehend genannten Zusammenhang abgegebene Erklärungen und abgeschlossene Verträge nachträglich zu genehmigen.</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Proxy is authorised to comprehensively represent the Principal within the scope of this power of attorney. In case of doubt, the power of attorney shall be interpreted broadly/widely. Each Proxy is also entitled to subsequently ratify declarations made and contracts concluded by himself or by third parties in the above-mentioned context.</w:t>
            </w:r>
          </w:p>
        </w:tc>
      </w:tr>
      <w:tr>
        <w:trPr>
          <w:cantSplit w:val="0"/>
          <w:tblHeader w:val="0"/>
        </w:trPr>
        <w:tc>
          <w:tcPr>
            <w:gridSpan w:val="2"/>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Bevollmächtigten sind umfassend von den Beschränkungen des § 181 BGB (Verbot des In-Sich-Geschäfts und der Mehrfachvertretung) befreit. Jeder Bevollmächtigte darf Untervollmachten im Umfang dieser Vollmacht erteilen.</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Proxies are comprehensively exempt from the restrictions of Section 181 of the German Civil Code (prohibition of self-dealing and multiple representation). Each Proxy may grant sub-powers of attorney within the scope of this power of attorney.</w:t>
            </w:r>
          </w:p>
        </w:tc>
      </w:tr>
      <w:tr>
        <w:trPr>
          <w:cantSplit w:val="0"/>
          <w:tblHeader w:val="0"/>
        </w:trPr>
        <w:tc>
          <w:tcPr>
            <w:gridSpan w:val="2"/>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Zweifel sind die in dieser Vollmacht enthaltenen Ermächtigungen weit auszulegen. Sollten einzelne Regelungen dieser Vollmacht unwirksam sein, bleiben die übrigen Regelungen hiervon unberührt.</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case of doubt, the authorisations contained in this power of attorney shall be interpreted broadly. Should individual provisions of this power of attorney be invalid, the remaining provisions shall remain unaffected.</w:t>
            </w:r>
          </w:p>
        </w:tc>
      </w:tr>
      <w:tr>
        <w:trPr>
          <w:cantSplit w:val="0"/>
          <w:tblHeader w:val="0"/>
        </w:trPr>
        <w:tc>
          <w:tcPr>
            <w:gridSpan w:val="2"/>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Innenverhältnis zwischen dem Vollmachtgeber und dem Bevollmächtigten hat der Vollmachtgeber den Bevollmächtigten von allen Kosten, Ansprüchen, Aufwendungen und Verbindlichkeiten freizustellen, die dem Bevollmächtigten im Zusammenhang mit der Ausübung der nach Maßgabe dieser Vollmacht gewährten Rechte entstanden sind oder gegen sie/ihn geltend gemacht werden.</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internal relationship between the Principal and the Proxy, the Principal shall indemnify the Proxy against all costs, claims, expenses and liabilities incurred by the Proxy or asserted against him/her in connection with the exercise of the rights granted pursuant to this power of attorney.</w:t>
            </w:r>
          </w:p>
        </w:tc>
      </w:tr>
      <w:tr>
        <w:trPr>
          <w:cantSplit w:val="0"/>
          <w:tblHeader w:val="0"/>
        </w:trPr>
        <w:tc>
          <w:tcPr>
            <w:gridSpan w:val="2"/>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Vollmacht erlischt am 1. Oktober 2026.</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power of attorney expires on 1 October 2026.</w:t>
            </w:r>
          </w:p>
        </w:tc>
      </w:tr>
      <w:tr>
        <w:trPr>
          <w:cantSplit w:val="0"/>
          <w:tblHeader w:val="0"/>
        </w:trPr>
        <w:tc>
          <w:tcPr>
            <w:gridSpan w:val="2"/>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Bei Abweichungen zwischen der deutschen und der englischen Fassung dieser Vollmacht gilt die deutsche Fassung.</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case of any discrepancies between the German and the English version of this power of attorney, the Germany version shall prevail.</w:t>
            </w:r>
          </w:p>
        </w:tc>
      </w:tr>
      <w:tr>
        <w:trPr>
          <w:cantSplit w:val="0"/>
          <w:tblHeader w:val="0"/>
        </w:trPr>
        <w:tc>
          <w:tcPr>
            <w:gridSpan w:val="2"/>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Vollmacht unterliegt dem Recht der Bundesrepublik Deutschland mit Ausnahme der Vorschriften des Internationalen Privatrechts. Soweit rechtlich zulässig, ist ausschließlicher Gerichtsstand bezüglich aller Streitigkeiten aus oder im Zusammenhang mit dieser Vollmacht in Hamburg, Deutschland.</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power of attorney is governed by the laws of the Federal Republic of Germany, except for its conflict of laws provisions. To the extent legally permissible, the exclusive place of jurisdiction for all disputes arising out of or in connection with this power of attorney shall be Hamburg, Germany.</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5954.0" w:type="dxa"/>
        <w:jc w:val="left"/>
        <w:tblLayout w:type="fixed"/>
        <w:tblLook w:val="0400"/>
      </w:tblPr>
      <w:tblGrid>
        <w:gridCol w:w="5954"/>
        <w:tblGridChange w:id="0">
          <w:tblGrid>
            <w:gridCol w:w="5954"/>
          </w:tblGrid>
        </w:tblGridChange>
      </w:tblGrid>
      <w:tr>
        <w:trPr>
          <w:cantSplit w:val="0"/>
          <w:trHeight w:val="567" w:hRule="atLeast"/>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Düsseldorf, 8. Juli 2026</w:t>
            </w:r>
          </w:p>
        </w:tc>
      </w:tr>
      <w:tr>
        <w:trPr>
          <w:cantSplit w:val="0"/>
          <w:trHeight w:val="851" w:hRule="atLeast"/>
          <w:tblHeader w:val="0"/>
        </w:trPr>
        <w:tc>
          <w:tcPr>
            <w:tcBorders>
              <w:bottom w:color="000000" w:space="0" w:sz="4" w:val="single"/>
            </w:tcBorders>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vertAlign w:val="baseline"/>
              </w:rPr>
            </w:pPr>
            <w:r w:rsidR="00000000">
              <w:rPr>
                <w:rFonts w:ascii="Arial" w:cs="Arial" w:eastAsia="Arial" w:hAnsi="Arial"/>
                <w:b w:val="0"/>
                <w:bCs w:val="0"/>
                <w:i w:val="0"/>
                <w:iCs w:val="0"/>
                <w:smallCaps w:val="0"/>
                <w:strike w:val="0"/>
                <w:color w:val="000000"/>
                <w:sz w:val="20"/>
                <w:szCs w:val="20"/>
                <w:u w:val="none"/>
                <w:vertAlign w:val="baseline"/>
                <w:rtl w:val="0"/>
              </w:rPr>
              <w:t xml:space="preserve">ME Digital Marketing GmbH, vertreten durch den Geschäftsführer Martin Esters</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7" w:type="first"/>
      <w:footerReference r:id="rId8" w:type="first"/>
      <w:pgSz w:h="16838" w:w="11906" w:orient="portrait"/>
      <w:pgMar w:bottom="1644" w:top="1985" w:left="1134" w:right="1134" w:header="816"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1"/>
        <w:strike w:val="0"/>
        <w:color w:val="000000"/>
        <w:sz w:val="18"/>
        <w:szCs w:val="18"/>
        <w:u w:val="none"/>
        <w:shd w:fill="auto" w:val="clear"/>
        <w:vertAlign w:val="baseline"/>
      </w:rPr>
    </w:pPr>
    <w:r w:rsidDel="00000000" w:rsidR="00000000" w:rsidRPr="00000000">
      <w:rPr>
        <w:rtl w:val="0"/>
      </w:rPr>
    </w:r>
  </w:p>
  <w:tbl>
    <w:tblPr>
      <w:tblStyle w:val="Table3"/>
      <w:tblpPr w:leftFromText="0" w:rightFromText="0" w:topFromText="0" w:bottomFromText="0" w:vertAnchor="text" w:horzAnchor="text" w:tblpX="7369.999999999998" w:tblpY="16047"/>
      <w:tblW w:w="2268.0" w:type="dxa"/>
      <w:jc w:val="left"/>
      <w:tblLayout w:type="fixed"/>
      <w:tblLook w:val="0400"/>
    </w:tblPr>
    <w:tblGrid>
      <w:gridCol w:w="2268"/>
      <w:tblGridChange w:id="0">
        <w:tblGrid>
          <w:gridCol w:w="2268"/>
        </w:tblGrid>
      </w:tblGridChange>
    </w:tblGrid>
    <w:tr>
      <w:trPr>
        <w:cantSplit w:val="0"/>
        <w:tblHeader w:val="0"/>
      </w:trPr>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1"/>
        <w:strike w:val="0"/>
        <w:color w:val="000000"/>
        <w:sz w:val="18"/>
        <w:szCs w:val="18"/>
        <w:u w:val="none"/>
        <w:vertAlign w:val="baseline"/>
      </w:rPr>
    </w:pPr>
    <w:r w:rsidDel="00000000" w:rsidR="00000000" w:rsidRPr="00000000">
      <w:rPr>
        <w:rFonts w:ascii="Arial" w:cs="Arial" w:eastAsia="Arial" w:hAnsi="Arial"/>
        <w:b w:val="1"/>
        <w:bCs w:val="1"/>
        <w:i w:val="0"/>
        <w:iCs w:val="0"/>
        <w:smallCaps w:val="1"/>
        <w:strike w:val="0"/>
        <w:color w:val="000000"/>
        <w:sz w:val="18"/>
        <w:szCs w:val="18"/>
        <w:u w:val="none"/>
        <w:vertAlign w:val="baseline"/>
        <w:rtl w:val="0"/>
      </w:rPr>
      <w:t xml:space="preserve">[Vollmacht CLA-Geber/Power of Attorney for CLA-Lenders]</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1"/>
        <w:strike w:val="0"/>
        <w:color w:val="000000"/>
        <w:sz w:val="18"/>
        <w:szCs w:val="18"/>
        <w:u w:val="none"/>
        <w:vertAlign w:val="baseline"/>
      </w:rPr>
    </w:pPr>
    <w:r w:rsidDel="00000000" w:rsidR="00000000" w:rsidRPr="00000000">
      <w:rPr>
        <w:rFonts w:ascii="Arial" w:cs="Arial" w:eastAsia="Arial" w:hAnsi="Arial"/>
        <w:b w:val="1"/>
        <w:bCs w:val="1"/>
        <w:i w:val="0"/>
        <w:iCs w:val="0"/>
        <w:smallCaps w:val="1"/>
        <w:strike w:val="0"/>
        <w:color w:val="000000"/>
        <w:sz w:val="18"/>
        <w:szCs w:val="18"/>
        <w:u w:val="none"/>
        <w:vertAlign w:val="baseline"/>
        <w:rtl w:val="0"/>
      </w:rPr>
      <w:t xml:space="preserve">[Notarielle Beglaubigung/Apostille notwendig/notarisation/Apostille required]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lowerLetter"/>
      <w:lvlText w:val="%3)"/>
      <w:lvlJc w:val="left"/>
      <w:pPr>
        <w:ind w:left="567" w:hanging="567"/>
      </w:pPr>
      <w:rPr/>
    </w:lvl>
    <w:lvl w:ilvl="3">
      <w:start w:val="1"/>
      <w:numFmt w:val="decimal"/>
      <w:lvlText w:val=""/>
      <w:lvlJc w:val="left"/>
      <w:pPr>
        <w:ind w:left="567" w:hanging="567"/>
      </w:pPr>
      <w:rPr/>
    </w:lvl>
    <w:lvl w:ilvl="4">
      <w:start w:val="1"/>
      <w:numFmt w:val="decimal"/>
      <w:lvlText w:val=""/>
      <w:lvlJc w:val="left"/>
      <w:pPr>
        <w:ind w:left="567" w:hanging="567"/>
      </w:pPr>
      <w:rPr/>
    </w:lvl>
    <w:lvl w:ilvl="5">
      <w:start w:val="1"/>
      <w:numFmt w:val="decimal"/>
      <w:lvlText w:val=""/>
      <w:lvlJc w:val="left"/>
      <w:pPr>
        <w:ind w:left="567" w:hanging="567"/>
      </w:pPr>
      <w:rPr/>
    </w:lvl>
    <w:lvl w:ilvl="6">
      <w:start w:val="1"/>
      <w:numFmt w:val="decimal"/>
      <w:lvlText w:val=""/>
      <w:lvlJc w:val="left"/>
      <w:pPr>
        <w:ind w:left="567" w:hanging="567"/>
      </w:pPr>
      <w:rPr/>
    </w:lvl>
    <w:lvl w:ilvl="7">
      <w:start w:val="1"/>
      <w:numFmt w:val="decimal"/>
      <w:lvlText w:val=""/>
      <w:lvlJc w:val="left"/>
      <w:pPr>
        <w:ind w:left="567" w:hanging="567"/>
      </w:pPr>
      <w:rPr/>
    </w:lvl>
    <w:lvl w:ilvl="8">
      <w:start w:val="1"/>
      <w:numFmt w:val="decimal"/>
      <w:lvlText w:val=""/>
      <w:lvlJc w:val="left"/>
      <w:pPr>
        <w:ind w:left="567" w:hanging="567"/>
      </w:pPr>
      <w:rPr/>
    </w:lvl>
  </w:abstractNum>
  <w:abstractNum w:abstractNumId="2">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lowerLetter"/>
      <w:lvlText w:val="%3)"/>
      <w:lvlJc w:val="left"/>
      <w:pPr>
        <w:ind w:left="567" w:hanging="567"/>
      </w:pPr>
      <w:rPr/>
    </w:lvl>
    <w:lvl w:ilvl="3">
      <w:start w:val="1"/>
      <w:numFmt w:val="decimal"/>
      <w:lvlText w:val=""/>
      <w:lvlJc w:val="left"/>
      <w:pPr>
        <w:ind w:left="567" w:hanging="567"/>
      </w:pPr>
      <w:rPr/>
    </w:lvl>
    <w:lvl w:ilvl="4">
      <w:start w:val="1"/>
      <w:numFmt w:val="decimal"/>
      <w:lvlText w:val=""/>
      <w:lvlJc w:val="left"/>
      <w:pPr>
        <w:ind w:left="567" w:hanging="567"/>
      </w:pPr>
      <w:rPr/>
    </w:lvl>
    <w:lvl w:ilvl="5">
      <w:start w:val="1"/>
      <w:numFmt w:val="decimal"/>
      <w:lvlText w:val=""/>
      <w:lvlJc w:val="left"/>
      <w:pPr>
        <w:ind w:left="567" w:hanging="567"/>
      </w:pPr>
      <w:rPr/>
    </w:lvl>
    <w:lvl w:ilvl="6">
      <w:start w:val="1"/>
      <w:numFmt w:val="decimal"/>
      <w:lvlText w:val=""/>
      <w:lvlJc w:val="left"/>
      <w:pPr>
        <w:ind w:left="567" w:hanging="567"/>
      </w:pPr>
      <w:rPr/>
    </w:lvl>
    <w:lvl w:ilvl="7">
      <w:start w:val="1"/>
      <w:numFmt w:val="decimal"/>
      <w:lvlText w:val=""/>
      <w:lvlJc w:val="left"/>
      <w:pPr>
        <w:ind w:left="567" w:hanging="567"/>
      </w:pPr>
      <w:rPr/>
    </w:lvl>
    <w:lvl w:ilvl="8">
      <w:start w:val="1"/>
      <w:numFmt w:val="decimal"/>
      <w:lvlText w:val=""/>
      <w:lvlJc w:val="left"/>
      <w:pPr>
        <w:ind w:left="567" w:hanging="567"/>
      </w:pPr>
      <w:rPr/>
    </w:lvl>
  </w:abstractNum>
  <w:abstractNum w:abstractNumId="3">
    <w:lvl w:ilvl="0">
      <w:start w:val="1"/>
      <w:numFmt w:val="decimal"/>
      <w:lvlText w:val=""/>
      <w:lvlJc w:val="left"/>
      <w:pPr>
        <w:ind w:left="1287" w:hanging="567"/>
      </w:pPr>
      <w:rPr/>
    </w:lvl>
    <w:lvl w:ilvl="1">
      <w:start w:val="1"/>
      <w:numFmt w:val="decimal"/>
      <w:lvlText w:val=""/>
      <w:lvlJc w:val="left"/>
      <w:pPr>
        <w:ind w:left="1854" w:hanging="567"/>
      </w:pPr>
      <w:rPr/>
    </w:lvl>
    <w:lvl w:ilvl="2">
      <w:start w:val="1"/>
      <w:numFmt w:val="decimal"/>
      <w:lvlText w:val=""/>
      <w:lvlJc w:val="left"/>
      <w:pPr>
        <w:ind w:left="2421" w:hanging="567.0000000000002"/>
      </w:pPr>
      <w:rPr/>
    </w:lvl>
    <w:lvl w:ilvl="3">
      <w:start w:val="1"/>
      <w:numFmt w:val="decimal"/>
      <w:lvlText w:val=""/>
      <w:lvlJc w:val="left"/>
      <w:pPr>
        <w:ind w:left="2988" w:hanging="567"/>
      </w:pPr>
      <w:rPr/>
    </w:lvl>
    <w:lvl w:ilvl="4">
      <w:start w:val="1"/>
      <w:numFmt w:val="decimal"/>
      <w:lvlText w:val=""/>
      <w:lvlJc w:val="left"/>
      <w:pPr>
        <w:ind w:left="2845" w:hanging="424"/>
      </w:pPr>
      <w:rPr/>
    </w:lvl>
    <w:lvl w:ilvl="5">
      <w:start w:val="1"/>
      <w:numFmt w:val="decimal"/>
      <w:lvlText w:val=""/>
      <w:lvlJc w:val="left"/>
      <w:pPr>
        <w:ind w:left="2846" w:hanging="425"/>
      </w:pPr>
      <w:rPr/>
    </w:lvl>
    <w:lvl w:ilvl="6">
      <w:start w:val="1"/>
      <w:numFmt w:val="decimal"/>
      <w:lvlText w:val=""/>
      <w:lvlJc w:val="left"/>
      <w:pPr>
        <w:ind w:left="2846" w:hanging="425"/>
      </w:pPr>
      <w:rPr/>
    </w:lvl>
    <w:lvl w:ilvl="7">
      <w:start w:val="1"/>
      <w:numFmt w:val="decimal"/>
      <w:lvlText w:val=""/>
      <w:lvlJc w:val="left"/>
      <w:pPr>
        <w:ind w:left="2846" w:hanging="425"/>
      </w:pPr>
      <w:rPr/>
    </w:lvl>
    <w:lvl w:ilvl="8">
      <w:start w:val="1"/>
      <w:numFmt w:val="decimal"/>
      <w:lvlText w:val=""/>
      <w:lvlJc w:val="left"/>
      <w:pPr>
        <w:ind w:left="2846" w:hanging="425"/>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567" w:hanging="567"/>
      <w:jc w:val="both"/>
    </w:pPr>
    <w:rPr>
      <w:rFonts w:ascii="Arial" w:cs="Arial" w:eastAsia="Arial" w:hAnsi="Arial"/>
      <w:b w:val="1"/>
      <w:bCs w:val="1"/>
      <w:sz w:val="20"/>
      <w:szCs w:val="20"/>
    </w:rPr>
  </w:style>
  <w:style w:type="paragraph" w:styleId="Heading2">
    <w:name w:val="heading 2"/>
    <w:basedOn w:val="Normal"/>
    <w:next w:val="Normal"/>
    <w:pPr>
      <w:keepNext w:val="1"/>
      <w:keepLines w:val="1"/>
      <w:spacing w:before="240" w:lineRule="auto"/>
      <w:ind w:left="567" w:hanging="567"/>
      <w:jc w:val="both"/>
    </w:pPr>
    <w:rPr>
      <w:rFonts w:ascii="Arial" w:cs="Arial" w:eastAsia="Arial" w:hAnsi="Arial"/>
      <w:b w:val="1"/>
      <w:bCs w:val="1"/>
      <w:sz w:val="20"/>
      <w:szCs w:val="20"/>
    </w:rPr>
  </w:style>
  <w:style w:type="paragraph" w:styleId="Heading3">
    <w:name w:val="heading 3"/>
    <w:basedOn w:val="Normal"/>
    <w:next w:val="Normal"/>
    <w:pPr>
      <w:spacing w:before="240" w:lineRule="auto"/>
      <w:ind w:left="567" w:hanging="567"/>
      <w:jc w:val="both"/>
    </w:pPr>
    <w:rPr>
      <w:rFonts w:ascii="Arial" w:cs="Arial" w:eastAsia="Arial" w:hAnsi="Arial"/>
      <w:sz w:val="20"/>
      <w:szCs w:val="20"/>
    </w:rPr>
  </w:style>
  <w:style w:type="paragraph" w:styleId="Heading4">
    <w:name w:val="heading 4"/>
    <w:basedOn w:val="Normal"/>
    <w:next w:val="Normal"/>
    <w:pPr>
      <w:spacing w:before="240" w:lineRule="auto"/>
      <w:ind w:left="567" w:hanging="567"/>
      <w:jc w:val="both"/>
    </w:pPr>
    <w:rPr>
      <w:rFonts w:ascii="Arial" w:cs="Arial" w:eastAsia="Arial" w:hAnsi="Arial"/>
      <w:sz w:val="20"/>
      <w:szCs w:val="20"/>
    </w:rPr>
  </w:style>
  <w:style w:type="paragraph" w:styleId="Heading5">
    <w:name w:val="heading 5"/>
    <w:basedOn w:val="Normal"/>
    <w:next w:val="Normal"/>
    <w:pPr>
      <w:spacing w:before="240" w:lineRule="auto"/>
      <w:ind w:left="1134" w:hanging="567"/>
      <w:jc w:val="both"/>
    </w:pPr>
    <w:rPr>
      <w:rFonts w:ascii="Arial" w:cs="Arial" w:eastAsia="Arial" w:hAnsi="Arial"/>
      <w:sz w:val="20"/>
      <w:szCs w:val="20"/>
    </w:rPr>
  </w:style>
  <w:style w:type="paragraph" w:styleId="Heading6">
    <w:name w:val="heading 6"/>
    <w:basedOn w:val="Normal"/>
    <w:next w:val="Normal"/>
    <w:pPr>
      <w:spacing w:before="240" w:lineRule="auto"/>
      <w:ind w:left="1701" w:hanging="567"/>
      <w:jc w:val="both"/>
    </w:pPr>
    <w:rPr>
      <w:rFonts w:ascii="Arial" w:cs="Arial" w:eastAsia="Arial" w:hAnsi="Arial"/>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HAKJRCyZU5b1pCBrZVuc0yMPQ==">CgMxLjA4AHIhMU00dExRUnotT1YtblpBZlRYNEg1X3FFdGtsRXo3aUhl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hydoc669fe21881435921">
    <vt:lpwstr>019dbee8-3f68-7e46-b9c6-4077590ad3dd</vt:lpwstr>
  </property>
</Properties>
</file>