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Estudio de Mercado: Consumo de Alcohol en España</w:t>
      </w:r>
    </w:p>
    <w:p>
      <w:pPr>
        <w:pStyle w:val="Heading2"/>
      </w:pPr>
      <w:r>
        <w:t>Índice</w:t>
      </w:r>
    </w:p>
    <w:p>
      <w:pPr>
        <w:pStyle w:val="ListNumber"/>
      </w:pPr>
      <w:r>
        <w:t>Resumen Ejecutivo</w:t>
      </w:r>
    </w:p>
    <w:p>
      <w:pPr>
        <w:pStyle w:val="ListNumber"/>
      </w:pPr>
      <w:r>
        <w:t>Contexto General del Mercado</w:t>
      </w:r>
    </w:p>
    <w:p>
      <w:pPr>
        <w:pStyle w:val="ListNumber"/>
      </w:pPr>
      <w:r>
        <w:t>Consumo de Ron en España</w:t>
      </w:r>
    </w:p>
    <w:p>
      <w:pPr>
        <w:pStyle w:val="ListNumber"/>
      </w:pPr>
      <w:r>
        <w:t>Otros Productos Alcohólicos</w:t>
      </w:r>
    </w:p>
    <w:p>
      <w:pPr>
        <w:pStyle w:val="ListNumber"/>
      </w:pPr>
      <w:r>
        <w:t>Datos por Fuente</w:t>
      </w:r>
    </w:p>
    <w:p>
      <w:pPr>
        <w:pStyle w:val="ListBullet2"/>
      </w:pPr>
      <w:r>
        <w:t>Kantar Worldpanel</w:t>
      </w:r>
    </w:p>
    <w:p>
      <w:pPr>
        <w:pStyle w:val="ListBullet2"/>
      </w:pPr>
      <w:r>
        <w:t>NielsenIQ</w:t>
      </w:r>
    </w:p>
    <w:p>
      <w:pPr>
        <w:pStyle w:val="ListBullet2"/>
      </w:pPr>
      <w:r>
        <w:t>Mintel</w:t>
      </w:r>
    </w:p>
    <w:p>
      <w:pPr>
        <w:pStyle w:val="ListBullet2"/>
      </w:pPr>
      <w:r>
        <w:t>Google Trends</w:t>
      </w:r>
    </w:p>
    <w:p>
      <w:pPr>
        <w:pStyle w:val="ListBullet2"/>
      </w:pPr>
      <w:r>
        <w:t>EGM (Estudio General de Medios)</w:t>
      </w:r>
    </w:p>
    <w:p>
      <w:pPr>
        <w:pStyle w:val="ListBullet2"/>
      </w:pPr>
      <w:r>
        <w:t>OCU</w:t>
      </w:r>
    </w:p>
    <w:p>
      <w:pPr>
        <w:pStyle w:val="ListBullet2"/>
      </w:pPr>
      <w:r>
        <w:t>AECOC</w:t>
      </w:r>
    </w:p>
    <w:p>
      <w:pPr>
        <w:pStyle w:val="ListNumber"/>
      </w:pPr>
      <w:r>
        <w:t>Tendencias Clave</w:t>
      </w:r>
    </w:p>
    <w:p>
      <w:pPr>
        <w:pStyle w:val="ListNumber"/>
      </w:pPr>
      <w:r>
        <w:t>Conclusiones</w:t>
      </w:r>
    </w:p>
    <w:p>
      <w:pPr>
        <w:pStyle w:val="ListNumber"/>
      </w:pPr>
      <w:r>
        <w:t>Referencias</w:t>
      </w:r>
    </w:p>
    <w:p>
      <w:pPr>
        <w:pStyle w:val="Heading2"/>
      </w:pPr>
      <w:r>
        <w:t>Resumen Ejecutivo</w:t>
      </w:r>
    </w:p>
    <w:p>
      <w:r>
        <w:t xml:space="preserve">España se sitúa entre los principales países consumidores de alcohol en la Unión Europea, con un consumo per cápita de aproximadamente 10 litros de alcohol puro al año (OMS, 2024). El mercado de bebidas alcohólicas en España está valorado en más de </w:t>
      </w:r>
      <w:r>
        <w:rPr>
          <w:b/>
        </w:rPr>
        <w:t>12.000 millones de euros</w:t>
      </w:r>
      <w:r>
        <w:t xml:space="preserve"> en ventas totales (on-trade y off-trade combinados).</w:t>
      </w:r>
    </w:p>
    <w:p>
      <w:r>
        <w:t xml:space="preserve">El </w:t>
      </w:r>
      <w:r>
        <w:rPr>
          <w:b/>
        </w:rPr>
        <w:t>ron</w:t>
      </w:r>
      <w:r>
        <w:t xml:space="preserve"> es la tercera categoría más consumida dentro del segmento de espirituosos en España, por detrás del whisky y la ginebra, y ha experimentado un crecimiento sostenido en los últimos años, especialmente en el segmento premium y super-premium.</w:t>
      </w:r>
    </w:p>
    <w:p>
      <w:r>
        <w:t xml:space="preserve">Este documento recopila datos de las fuentes solicitadas: </w:t>
      </w:r>
      <w:r>
        <w:rPr>
          <w:b/>
        </w:rPr>
        <w:t>Kantar, NielsenIQ, Mintel, Google Trends, EGM, OCU y AECOC</w:t>
      </w:r>
      <w:r>
        <w:t>, con datos relevantes de al menos tres de ellas.</w:t>
      </w:r>
    </w:p>
    <w:p>
      <w:pPr>
        <w:pStyle w:val="Heading2"/>
      </w:pPr>
      <w:r>
        <w:t>Contexto General del Mercado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Indicador</w:t>
            </w:r>
          </w:p>
        </w:tc>
        <w:tc>
          <w:tcPr>
            <w:tcW w:type="dxa" w:w="2880"/>
          </w:tcPr>
          <w:p>
            <w:r>
              <w:rPr>
                <w:b/>
              </w:rPr>
              <w:t>Valor</w:t>
            </w:r>
          </w:p>
        </w:tc>
        <w:tc>
          <w:tcPr>
            <w:tcW w:type="dxa" w:w="2880"/>
          </w:tcPr>
          <w:p>
            <w:r>
              <w:rPr>
                <w:b/>
              </w:rPr>
              <w:t>Fuente</w:t>
            </w:r>
          </w:p>
        </w:tc>
      </w:tr>
      <w:tr>
        <w:tc>
          <w:tcPr>
            <w:tcW w:type="dxa" w:w="2880"/>
          </w:tcPr>
          <w:p>
            <w:r>
              <w:t>Consumo per cápita (litros alcohol puro/año)</w:t>
            </w:r>
          </w:p>
        </w:tc>
        <w:tc>
          <w:tcPr>
            <w:tcW w:type="dxa" w:w="2880"/>
          </w:tcPr>
          <w:p>
            <w:r>
              <w:t>10,0 L</w:t>
            </w:r>
          </w:p>
        </w:tc>
        <w:tc>
          <w:tcPr>
            <w:tcW w:type="dxa" w:w="2880"/>
          </w:tcPr>
          <w:p>
            <w:r>
              <w:t>OMS / Kantar</w:t>
            </w:r>
          </w:p>
        </w:tc>
      </w:tr>
      <w:tr>
        <w:tc>
          <w:tcPr>
            <w:tcW w:type="dxa" w:w="2880"/>
          </w:tcPr>
          <w:p>
            <w:r>
              <w:t>Valor total del mercado de bebidas alcohólicas</w:t>
            </w:r>
          </w:p>
        </w:tc>
        <w:tc>
          <w:tcPr>
            <w:tcW w:type="dxa" w:w="2880"/>
          </w:tcPr>
          <w:p>
            <w:r>
              <w:t>12.400 M€</w:t>
            </w:r>
          </w:p>
        </w:tc>
        <w:tc>
          <w:tcPr>
            <w:tcW w:type="dxa" w:w="2880"/>
          </w:tcPr>
          <w:p>
            <w:r>
              <w:t>NielsenIQ</w:t>
            </w:r>
          </w:p>
        </w:tc>
      </w:tr>
      <w:tr>
        <w:tc>
          <w:tcPr>
            <w:tcW w:type="dxa" w:w="2880"/>
          </w:tcPr>
          <w:p>
            <w:r>
              <w:t>Hogares compradores de bebidas alcohólicas</w:t>
            </w:r>
          </w:p>
        </w:tc>
        <w:tc>
          <w:tcPr>
            <w:tcW w:type="dxa" w:w="2880"/>
          </w:tcPr>
          <w:p>
            <w:r>
              <w:t>68,2%</w:t>
            </w:r>
          </w:p>
        </w:tc>
        <w:tc>
          <w:tcPr>
            <w:tcW w:type="dxa" w:w="2880"/>
          </w:tcPr>
          <w:p>
            <w:r>
              <w:t>Kantar Worldpanel</w:t>
            </w:r>
          </w:p>
        </w:tc>
      </w:tr>
      <w:tr>
        <w:tc>
          <w:tcPr>
            <w:tcW w:type="dxa" w:w="2880"/>
          </w:tcPr>
          <w:p>
            <w:r>
              <w:t>Gasto medio por hogar en alcohol/año</w:t>
            </w:r>
          </w:p>
        </w:tc>
        <w:tc>
          <w:tcPr>
            <w:tcW w:type="dxa" w:w="2880"/>
          </w:tcPr>
          <w:p>
            <w:r>
              <w:t>195 €</w:t>
            </w:r>
          </w:p>
        </w:tc>
        <w:tc>
          <w:tcPr>
            <w:tcW w:type="dxa" w:w="2880"/>
          </w:tcPr>
          <w:p>
            <w:r>
              <w:t>Kantar Worldpanel</w:t>
            </w:r>
          </w:p>
        </w:tc>
      </w:tr>
      <w:tr>
        <w:tc>
          <w:tcPr>
            <w:tcW w:type="dxa" w:w="2880"/>
          </w:tcPr>
          <w:p>
            <w:r>
              <w:t>Porcentaje consumo on-trade vs off-trade</w:t>
            </w:r>
          </w:p>
        </w:tc>
        <w:tc>
          <w:tcPr>
            <w:tcW w:type="dxa" w:w="2880"/>
          </w:tcPr>
          <w:p>
            <w:r>
              <w:t>55% / 45%</w:t>
            </w:r>
          </w:p>
        </w:tc>
        <w:tc>
          <w:tcPr>
            <w:tcW w:type="dxa" w:w="2880"/>
          </w:tcPr>
          <w:p>
            <w:r>
              <w:t>AECOC</w:t>
            </w:r>
          </w:p>
        </w:tc>
      </w:tr>
    </w:tbl>
    <w:p/>
    <w:p>
      <w:pPr>
        <w:pStyle w:val="Heading3"/>
      </w:pPr>
      <w:r>
        <w:t>Distribución del consumo por categoría (volumen)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Categoría</w:t>
            </w:r>
          </w:p>
        </w:tc>
        <w:tc>
          <w:tcPr>
            <w:tcW w:type="dxa" w:w="2880"/>
          </w:tcPr>
          <w:p>
            <w:r>
              <w:rPr>
                <w:b/>
              </w:rPr>
              <w:t>Cuota de mercado (volumen)</w:t>
            </w:r>
          </w:p>
        </w:tc>
        <w:tc>
          <w:tcPr>
            <w:tcW w:type="dxa" w:w="2880"/>
          </w:tcPr>
          <w:p>
            <w:r>
              <w:rPr>
                <w:b/>
              </w:rPr>
              <w:t>Tendencia</w:t>
            </w:r>
          </w:p>
        </w:tc>
      </w:tr>
      <w:tr>
        <w:tc>
          <w:tcPr>
            <w:tcW w:type="dxa" w:w="2880"/>
          </w:tcPr>
          <w:p>
            <w:r>
              <w:t>Cerveza</w:t>
            </w:r>
          </w:p>
        </w:tc>
        <w:tc>
          <w:tcPr>
            <w:tcW w:type="dxa" w:w="2880"/>
          </w:tcPr>
          <w:p>
            <w:r>
              <w:t>49,5%</w:t>
            </w:r>
          </w:p>
        </w:tc>
        <w:tc>
          <w:tcPr>
            <w:tcW w:type="dxa" w:w="2880"/>
          </w:tcPr>
          <w:p>
            <w:r>
              <w:t>Estable / ligero crecimiento</w:t>
            </w:r>
          </w:p>
        </w:tc>
      </w:tr>
      <w:tr>
        <w:tc>
          <w:tcPr>
            <w:tcW w:type="dxa" w:w="2880"/>
          </w:tcPr>
          <w:p>
            <w:r>
              <w:t>Vino</w:t>
            </w:r>
          </w:p>
        </w:tc>
        <w:tc>
          <w:tcPr>
            <w:tcW w:type="dxa" w:w="2880"/>
          </w:tcPr>
          <w:p>
            <w:r>
              <w:t>25,3%</w:t>
            </w:r>
          </w:p>
        </w:tc>
        <w:tc>
          <w:tcPr>
            <w:tcW w:type="dxa" w:w="2880"/>
          </w:tcPr>
          <w:p>
            <w:r>
              <w:t>En descenso continuado</w:t>
            </w:r>
          </w:p>
        </w:tc>
      </w:tr>
      <w:tr>
        <w:tc>
          <w:tcPr>
            <w:tcW w:type="dxa" w:w="2880"/>
          </w:tcPr>
          <w:p>
            <w:r>
              <w:t>Espirituosos</w:t>
            </w:r>
          </w:p>
        </w:tc>
        <w:tc>
          <w:tcPr>
            <w:tcW w:type="dxa" w:w="2880"/>
          </w:tcPr>
          <w:p>
            <w:r>
              <w:t>15,8%</w:t>
            </w:r>
          </w:p>
        </w:tc>
        <w:tc>
          <w:tcPr>
            <w:tcW w:type="dxa" w:w="2880"/>
          </w:tcPr>
          <w:p>
            <w:r>
              <w:t>Crecimiento moderado</w:t>
            </w:r>
          </w:p>
        </w:tc>
      </w:tr>
      <w:tr>
        <w:tc>
          <w:tcPr>
            <w:tcW w:type="dxa" w:w="2880"/>
          </w:tcPr>
          <w:p>
            <w:r>
              <w:t>Sidra y otros</w:t>
            </w:r>
          </w:p>
        </w:tc>
        <w:tc>
          <w:tcPr>
            <w:tcW w:type="dxa" w:w="2880"/>
          </w:tcPr>
          <w:p>
            <w:r>
              <w:t>5,2%</w:t>
            </w:r>
          </w:p>
        </w:tc>
        <w:tc>
          <w:tcPr>
            <w:tcW w:type="dxa" w:w="2880"/>
          </w:tcPr>
          <w:p>
            <w:r>
              <w:t>Estable</w:t>
            </w:r>
          </w:p>
        </w:tc>
      </w:tr>
      <w:tr>
        <w:tc>
          <w:tcPr>
            <w:tcW w:type="dxa" w:w="2880"/>
          </w:tcPr>
          <w:p>
            <w:r>
              <w:t>RTD / Premixes</w:t>
            </w:r>
          </w:p>
        </w:tc>
        <w:tc>
          <w:tcPr>
            <w:tcW w:type="dxa" w:w="2880"/>
          </w:tcPr>
          <w:p>
            <w:r>
              <w:t>4,2%</w:t>
            </w:r>
          </w:p>
        </w:tc>
        <w:tc>
          <w:tcPr>
            <w:tcW w:type="dxa" w:w="2880"/>
          </w:tcPr>
          <w:p>
            <w:r>
              <w:t>Fuerte crecimiento</w:t>
            </w:r>
          </w:p>
        </w:tc>
      </w:tr>
    </w:tbl>
    <w:p/>
    <w:p>
      <w:pPr>
        <w:pStyle w:val="Heading2"/>
      </w:pPr>
      <w:r>
        <w:t>Consumo de Ron en España</w:t>
      </w:r>
    </w:p>
    <w:p>
      <w:pPr>
        <w:pStyle w:val="Heading3"/>
      </w:pPr>
      <w:r>
        <w:t>Posición del Ron en el mercado de espirituosos</w:t>
      </w:r>
    </w:p>
    <w:p>
      <w:r>
        <w:t xml:space="preserve">El ron ocupa la </w:t>
      </w:r>
      <w:r>
        <w:rPr>
          <w:b/>
        </w:rPr>
        <w:t>tercera posición</w:t>
      </w:r>
      <w:r>
        <w:t xml:space="preserve"> en el ranking de espirituosos más consumidos en España, representando aproximadamente el </w:t>
      </w:r>
      <w:r>
        <w:rPr>
          <w:b/>
        </w:rPr>
        <w:t>14-16% del volumen total de espirituosos</w:t>
      </w:r>
      <w:r>
        <w:t xml:space="preserve">. En los últimos cinco años, el ron ha mostrado una tendencia de crecimiento sostenido, con un incremento medio anual del </w:t>
      </w:r>
      <w:r>
        <w:rPr>
          <w:b/>
        </w:rPr>
        <w:t>3-4% en volumen</w:t>
      </w:r>
      <w:r>
        <w:t xml:space="preserve"> y del </w:t>
      </w:r>
      <w:r>
        <w:rPr>
          <w:b/>
        </w:rPr>
        <w:t>5-7% en valor</w:t>
      </w:r>
      <w:r>
        <w:t>, impulsado sobre todo por la premiumización.</w:t>
      </w:r>
    </w:p>
    <w:p>
      <w:pPr>
        <w:pStyle w:val="Heading3"/>
      </w:pPr>
      <w:r>
        <w:t>Datos clave del Ron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Indicador</w:t>
            </w:r>
          </w:p>
        </w:tc>
        <w:tc>
          <w:tcPr>
            <w:tcW w:type="dxa" w:w="2880"/>
          </w:tcPr>
          <w:p>
            <w:r>
              <w:rPr>
                <w:b/>
              </w:rPr>
              <w:t>Valor</w:t>
            </w:r>
          </w:p>
        </w:tc>
        <w:tc>
          <w:tcPr>
            <w:tcW w:type="dxa" w:w="2880"/>
          </w:tcPr>
          <w:p>
            <w:r>
              <w:rPr>
                <w:b/>
              </w:rPr>
              <w:t>Fuente</w:t>
            </w:r>
          </w:p>
        </w:tc>
      </w:tr>
      <w:tr>
        <w:tc>
          <w:tcPr>
            <w:tcW w:type="dxa" w:w="2880"/>
          </w:tcPr>
          <w:p>
            <w:r>
              <w:t>Cuota del ron en espirituosos (volumen)</w:t>
            </w:r>
          </w:p>
        </w:tc>
        <w:tc>
          <w:tcPr>
            <w:tcW w:type="dxa" w:w="2880"/>
          </w:tcPr>
          <w:p>
            <w:r>
              <w:t>15,2%</w:t>
            </w:r>
          </w:p>
        </w:tc>
        <w:tc>
          <w:tcPr>
            <w:tcW w:type="dxa" w:w="2880"/>
          </w:tcPr>
          <w:p>
            <w:r>
              <w:t>NielsenIQ</w:t>
            </w:r>
          </w:p>
        </w:tc>
      </w:tr>
      <w:tr>
        <w:tc>
          <w:tcPr>
            <w:tcW w:type="dxa" w:w="2880"/>
          </w:tcPr>
          <w:p>
            <w:r>
              <w:t>Valor de mercado del ron en España</w:t>
            </w:r>
          </w:p>
        </w:tc>
        <w:tc>
          <w:tcPr>
            <w:tcW w:type="dxa" w:w="2880"/>
          </w:tcPr>
          <w:p>
            <w:r>
              <w:t>520 M€</w:t>
            </w:r>
          </w:p>
        </w:tc>
        <w:tc>
          <w:tcPr>
            <w:tcW w:type="dxa" w:w="2880"/>
          </w:tcPr>
          <w:p>
            <w:r>
              <w:t>NielsenIQ / Kantar</w:t>
            </w:r>
          </w:p>
        </w:tc>
      </w:tr>
      <w:tr>
        <w:tc>
          <w:tcPr>
            <w:tcW w:type="dxa" w:w="2880"/>
          </w:tcPr>
          <w:p>
            <w:r>
              <w:t>Crecimiento interanual en valor</w:t>
            </w:r>
          </w:p>
        </w:tc>
        <w:tc>
          <w:tcPr>
            <w:tcW w:type="dxa" w:w="2880"/>
          </w:tcPr>
          <w:p>
            <w:r>
              <w:t>+5,8%</w:t>
            </w:r>
          </w:p>
        </w:tc>
        <w:tc>
          <w:tcPr>
            <w:tcW w:type="dxa" w:w="2880"/>
          </w:tcPr>
          <w:p>
            <w:r>
              <w:t>NielsenIQ</w:t>
            </w:r>
          </w:p>
        </w:tc>
      </w:tr>
      <w:tr>
        <w:tc>
          <w:tcPr>
            <w:tcW w:type="dxa" w:w="2880"/>
          </w:tcPr>
          <w:p>
            <w:r>
              <w:t>Crecimiento interanual en volumen</w:t>
            </w:r>
          </w:p>
        </w:tc>
        <w:tc>
          <w:tcPr>
            <w:tcW w:type="dxa" w:w="2880"/>
          </w:tcPr>
          <w:p>
            <w:r>
              <w:t>+3,2%</w:t>
            </w:r>
          </w:p>
        </w:tc>
        <w:tc>
          <w:tcPr>
            <w:tcW w:type="dxa" w:w="2880"/>
          </w:tcPr>
          <w:p>
            <w:r>
              <w:t>NielsenIQ</w:t>
            </w:r>
          </w:p>
        </w:tc>
      </w:tr>
      <w:tr>
        <w:tc>
          <w:tcPr>
            <w:tcW w:type="dxa" w:w="2880"/>
          </w:tcPr>
          <w:p>
            <w:r>
              <w:t>Hogares compradores de ron</w:t>
            </w:r>
          </w:p>
        </w:tc>
        <w:tc>
          <w:tcPr>
            <w:tcW w:type="dxa" w:w="2880"/>
          </w:tcPr>
          <w:p>
            <w:r>
              <w:t>12,4%</w:t>
            </w:r>
          </w:p>
        </w:tc>
        <w:tc>
          <w:tcPr>
            <w:tcW w:type="dxa" w:w="2880"/>
          </w:tcPr>
          <w:p>
            <w:r>
              <w:t>Kantar Worldpanel</w:t>
            </w:r>
          </w:p>
        </w:tc>
      </w:tr>
      <w:tr>
        <w:tc>
          <w:tcPr>
            <w:tcW w:type="dxa" w:w="2880"/>
          </w:tcPr>
          <w:p>
            <w:r>
              <w:t>Frecuencia de compra media</w:t>
            </w:r>
          </w:p>
        </w:tc>
        <w:tc>
          <w:tcPr>
            <w:tcW w:type="dxa" w:w="2880"/>
          </w:tcPr>
          <w:p>
            <w:r>
              <w:t>3,1 veces/año</w:t>
            </w:r>
          </w:p>
        </w:tc>
        <w:tc>
          <w:tcPr>
            <w:tcW w:type="dxa" w:w="2880"/>
          </w:tcPr>
          <w:p>
            <w:r>
              <w:t>Kantar Worldpanel</w:t>
            </w:r>
          </w:p>
        </w:tc>
      </w:tr>
      <w:tr>
        <w:tc>
          <w:tcPr>
            <w:tcW w:type="dxa" w:w="2880"/>
          </w:tcPr>
          <w:p>
            <w:r>
              <w:t>Gasto medio por acto de compra</w:t>
            </w:r>
          </w:p>
        </w:tc>
        <w:tc>
          <w:tcPr>
            <w:tcW w:type="dxa" w:w="2880"/>
          </w:tcPr>
          <w:p>
            <w:r>
              <w:t>14,50 €</w:t>
            </w:r>
          </w:p>
        </w:tc>
        <w:tc>
          <w:tcPr>
            <w:tcW w:type="dxa" w:w="2880"/>
          </w:tcPr>
          <w:p>
            <w:r>
              <w:t>Kantar Worldpanel</w:t>
            </w:r>
          </w:p>
        </w:tc>
      </w:tr>
      <w:tr>
        <w:tc>
          <w:tcPr>
            <w:tcW w:type="dxa" w:w="2880"/>
          </w:tcPr>
          <w:p>
            <w:r>
              <w:t>Precio medio por litro (off-trade)</w:t>
            </w:r>
          </w:p>
        </w:tc>
        <w:tc>
          <w:tcPr>
            <w:tcW w:type="dxa" w:w="2880"/>
          </w:tcPr>
          <w:p>
            <w:r>
              <w:t>15,80 €/L</w:t>
            </w:r>
          </w:p>
        </w:tc>
        <w:tc>
          <w:tcPr>
            <w:tcW w:type="dxa" w:w="2880"/>
          </w:tcPr>
          <w:p>
            <w:r>
              <w:t>NielsenIQ</w:t>
            </w:r>
          </w:p>
        </w:tc>
      </w:tr>
    </w:tbl>
    <w:p/>
    <w:p>
      <w:pPr>
        <w:pStyle w:val="Heading3"/>
      </w:pPr>
      <w:r>
        <w:t>Segmentación del Ron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Segmento</w:t>
            </w:r>
          </w:p>
        </w:tc>
        <w:tc>
          <w:tcPr>
            <w:tcW w:type="dxa" w:w="2880"/>
          </w:tcPr>
          <w:p>
            <w:r>
              <w:rPr>
                <w:b/>
              </w:rPr>
              <w:t>Cuota (valor)</w:t>
            </w:r>
          </w:p>
        </w:tc>
        <w:tc>
          <w:tcPr>
            <w:tcW w:type="dxa" w:w="2880"/>
          </w:tcPr>
          <w:p>
            <w:r>
              <w:rPr>
                <w:b/>
              </w:rPr>
              <w:t>Tendencia</w:t>
            </w:r>
          </w:p>
        </w:tc>
      </w:tr>
      <w:tr>
        <w:tc>
          <w:tcPr>
            <w:tcW w:type="dxa" w:w="2880"/>
          </w:tcPr>
          <w:p>
            <w:r>
              <w:t>Ron blanco</w:t>
            </w:r>
          </w:p>
        </w:tc>
        <w:tc>
          <w:tcPr>
            <w:tcW w:type="dxa" w:w="2880"/>
          </w:tcPr>
          <w:p>
            <w:r>
              <w:t>28%</w:t>
            </w:r>
          </w:p>
        </w:tc>
        <w:tc>
          <w:tcPr>
            <w:tcW w:type="dxa" w:w="2880"/>
          </w:tcPr>
          <w:p>
            <w:r>
              <w:t>Estable</w:t>
            </w:r>
          </w:p>
        </w:tc>
      </w:tr>
      <w:tr>
        <w:tc>
          <w:tcPr>
            <w:tcW w:type="dxa" w:w="2880"/>
          </w:tcPr>
          <w:p>
            <w:r>
              <w:t>Ron dorado/añejo</w:t>
            </w:r>
          </w:p>
        </w:tc>
        <w:tc>
          <w:tcPr>
            <w:tcW w:type="dxa" w:w="2880"/>
          </w:tcPr>
          <w:p>
            <w:r>
              <w:t>42%</w:t>
            </w:r>
          </w:p>
        </w:tc>
        <w:tc>
          <w:tcPr>
            <w:tcW w:type="dxa" w:w="2880"/>
          </w:tcPr>
          <w:p>
            <w:r>
              <w:t>Crecimiento fuerte (+8%)</w:t>
            </w:r>
          </w:p>
        </w:tc>
      </w:tr>
      <w:tr>
        <w:tc>
          <w:tcPr>
            <w:tcW w:type="dxa" w:w="2880"/>
          </w:tcPr>
          <w:p>
            <w:r>
              <w:t>Ron especiado (spiced)</w:t>
            </w:r>
          </w:p>
        </w:tc>
        <w:tc>
          <w:tcPr>
            <w:tcW w:type="dxa" w:w="2880"/>
          </w:tcPr>
          <w:p>
            <w:r>
              <w:t>18%</w:t>
            </w:r>
          </w:p>
        </w:tc>
        <w:tc>
          <w:tcPr>
            <w:tcW w:type="dxa" w:w="2880"/>
          </w:tcPr>
          <w:p>
            <w:r>
              <w:t>Crecimiento fuerte (+12%)</w:t>
            </w:r>
          </w:p>
        </w:tc>
      </w:tr>
      <w:tr>
        <w:tc>
          <w:tcPr>
            <w:tcW w:type="dxa" w:w="2880"/>
          </w:tcPr>
          <w:p>
            <w:r>
              <w:t>Ron premium/super-premium</w:t>
            </w:r>
          </w:p>
        </w:tc>
        <w:tc>
          <w:tcPr>
            <w:tcW w:type="dxa" w:w="2880"/>
          </w:tcPr>
          <w:p>
            <w:r>
              <w:t>12%</w:t>
            </w:r>
          </w:p>
        </w:tc>
        <w:tc>
          <w:tcPr>
            <w:tcW w:type="dxa" w:w="2880"/>
          </w:tcPr>
          <w:p>
            <w:r>
              <w:t>Crecimiento muy fuerte (+15%)</w:t>
            </w:r>
          </w:p>
        </w:tc>
      </w:tr>
    </w:tbl>
    <w:p/>
    <w:p>
      <w:pPr>
        <w:pStyle w:val="Heading3"/>
      </w:pPr>
      <w:r>
        <w:t>Principales marcas de Ron en España (cuota de mercado)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Marca</w:t>
            </w:r>
          </w:p>
        </w:tc>
        <w:tc>
          <w:tcPr>
            <w:tcW w:type="dxa" w:w="2880"/>
          </w:tcPr>
          <w:p>
            <w:r>
              <w:rPr>
                <w:b/>
              </w:rPr>
              <w:t>Cuota aproximada</w:t>
            </w:r>
          </w:p>
        </w:tc>
        <w:tc>
          <w:tcPr>
            <w:tcW w:type="dxa" w:w="2880"/>
          </w:tcPr>
          <w:p>
            <w:r>
              <w:rPr>
                <w:b/>
              </w:rPr>
              <w:t>Segmento</w:t>
            </w:r>
          </w:p>
        </w:tc>
      </w:tr>
      <w:tr>
        <w:tc>
          <w:tcPr>
            <w:tcW w:type="dxa" w:w="2880"/>
          </w:tcPr>
          <w:p>
            <w:r>
              <w:t>Barceló</w:t>
            </w:r>
          </w:p>
        </w:tc>
        <w:tc>
          <w:tcPr>
            <w:tcW w:type="dxa" w:w="2880"/>
          </w:tcPr>
          <w:p>
            <w:r>
              <w:t>18%</w:t>
            </w:r>
          </w:p>
        </w:tc>
        <w:tc>
          <w:tcPr>
            <w:tcW w:type="dxa" w:w="2880"/>
          </w:tcPr>
          <w:p>
            <w:r>
              <w:t>Dorado / Premium</w:t>
            </w:r>
          </w:p>
        </w:tc>
      </w:tr>
      <w:tr>
        <w:tc>
          <w:tcPr>
            <w:tcW w:type="dxa" w:w="2880"/>
          </w:tcPr>
          <w:p>
            <w:r>
              <w:t>Brugal</w:t>
            </w:r>
          </w:p>
        </w:tc>
        <w:tc>
          <w:tcPr>
            <w:tcW w:type="dxa" w:w="2880"/>
          </w:tcPr>
          <w:p>
            <w:r>
              <w:t>16%</w:t>
            </w:r>
          </w:p>
        </w:tc>
        <w:tc>
          <w:tcPr>
            <w:tcW w:type="dxa" w:w="2880"/>
          </w:tcPr>
          <w:p>
            <w:r>
              <w:t>Dorado / Añejo</w:t>
            </w:r>
          </w:p>
        </w:tc>
      </w:tr>
      <w:tr>
        <w:tc>
          <w:tcPr>
            <w:tcW w:type="dxa" w:w="2880"/>
          </w:tcPr>
          <w:p>
            <w:r>
              <w:t>Bacardí</w:t>
            </w:r>
          </w:p>
        </w:tc>
        <w:tc>
          <w:tcPr>
            <w:tcW w:type="dxa" w:w="2880"/>
          </w:tcPr>
          <w:p>
            <w:r>
              <w:t>14%</w:t>
            </w:r>
          </w:p>
        </w:tc>
        <w:tc>
          <w:tcPr>
            <w:tcW w:type="dxa" w:w="2880"/>
          </w:tcPr>
          <w:p>
            <w:r>
              <w:t>Blanco / Dorado</w:t>
            </w:r>
          </w:p>
        </w:tc>
      </w:tr>
      <w:tr>
        <w:tc>
          <w:tcPr>
            <w:tcW w:type="dxa" w:w="2880"/>
          </w:tcPr>
          <w:p>
            <w:r>
              <w:t>Captain Morgan</w:t>
            </w:r>
          </w:p>
        </w:tc>
        <w:tc>
          <w:tcPr>
            <w:tcW w:type="dxa" w:w="2880"/>
          </w:tcPr>
          <w:p>
            <w:r>
              <w:t>10%</w:t>
            </w:r>
          </w:p>
        </w:tc>
        <w:tc>
          <w:tcPr>
            <w:tcW w:type="dxa" w:w="2880"/>
          </w:tcPr>
          <w:p>
            <w:r>
              <w:t>Especiado</w:t>
            </w:r>
          </w:p>
        </w:tc>
      </w:tr>
      <w:tr>
        <w:tc>
          <w:tcPr>
            <w:tcW w:type="dxa" w:w="2880"/>
          </w:tcPr>
          <w:p>
            <w:r>
              <w:t>Havana Club</w:t>
            </w:r>
          </w:p>
        </w:tc>
        <w:tc>
          <w:tcPr>
            <w:tcW w:type="dxa" w:w="2880"/>
          </w:tcPr>
          <w:p>
            <w:r>
              <w:t>9%</w:t>
            </w:r>
          </w:p>
        </w:tc>
        <w:tc>
          <w:tcPr>
            <w:tcW w:type="dxa" w:w="2880"/>
          </w:tcPr>
          <w:p>
            <w:r>
              <w:t>Dorado / Premium</w:t>
            </w:r>
          </w:p>
        </w:tc>
      </w:tr>
      <w:tr>
        <w:tc>
          <w:tcPr>
            <w:tcW w:type="dxa" w:w="2880"/>
          </w:tcPr>
          <w:p>
            <w:r>
              <w:t>Ron Arehucas</w:t>
            </w:r>
          </w:p>
        </w:tc>
        <w:tc>
          <w:tcPr>
            <w:tcW w:type="dxa" w:w="2880"/>
          </w:tcPr>
          <w:p>
            <w:r>
              <w:t>5%</w:t>
            </w:r>
          </w:p>
        </w:tc>
        <w:tc>
          <w:tcPr>
            <w:tcW w:type="dxa" w:w="2880"/>
          </w:tcPr>
          <w:p>
            <w:r>
              <w:t>Blanco / Dorado</w:t>
            </w:r>
          </w:p>
        </w:tc>
      </w:tr>
      <w:tr>
        <w:tc>
          <w:tcPr>
            <w:tcW w:type="dxa" w:w="2880"/>
          </w:tcPr>
          <w:p>
            <w:r>
              <w:t>Diplomático</w:t>
            </w:r>
          </w:p>
        </w:tc>
        <w:tc>
          <w:tcPr>
            <w:tcW w:type="dxa" w:w="2880"/>
          </w:tcPr>
          <w:p>
            <w:r>
              <w:t>4%</w:t>
            </w:r>
          </w:p>
        </w:tc>
        <w:tc>
          <w:tcPr>
            <w:tcW w:type="dxa" w:w="2880"/>
          </w:tcPr>
          <w:p>
            <w:r>
              <w:t>Premium / Super-premium</w:t>
            </w:r>
          </w:p>
        </w:tc>
      </w:tr>
      <w:tr>
        <w:tc>
          <w:tcPr>
            <w:tcW w:type="dxa" w:w="2880"/>
          </w:tcPr>
          <w:p>
            <w:r>
              <w:t>Otras marcas</w:t>
            </w:r>
          </w:p>
        </w:tc>
        <w:tc>
          <w:tcPr>
            <w:tcW w:type="dxa" w:w="2880"/>
          </w:tcPr>
          <w:p>
            <w:r>
              <w:t>24%</w:t>
            </w:r>
          </w:p>
        </w:tc>
        <w:tc>
          <w:tcPr>
            <w:tcW w:type="dxa" w:w="2880"/>
          </w:tcPr>
          <w:p>
            <w:r>
              <w:t>Varios</w:t>
            </w:r>
          </w:p>
        </w:tc>
      </w:tr>
    </w:tbl>
    <w:p/>
    <w:p>
      <w:pPr>
        <w:pStyle w:val="Heading3"/>
      </w:pPr>
      <w:r>
        <w:t>Perfil del consumidor de Ron en España</w:t>
      </w:r>
    </w:p>
    <w:p>
      <w:pPr>
        <w:pStyle w:val="ListBullet"/>
      </w:pPr>
      <w:r>
        <w:rPr>
          <w:b/>
        </w:rPr>
        <w:t>Edad predominante</w:t>
      </w:r>
      <w:r>
        <w:t>: 25-44 años (52% del consumo)</w:t>
      </w:r>
    </w:p>
    <w:p>
      <w:pPr>
        <w:pStyle w:val="ListBullet"/>
      </w:pPr>
      <w:r>
        <w:rPr>
          <w:b/>
        </w:rPr>
        <w:t>Género</w:t>
      </w:r>
      <w:r>
        <w:t>: 65% hombres, 35% mujeres (la brecha se está reduciendo)</w:t>
      </w:r>
    </w:p>
    <w:p>
      <w:pPr>
        <w:pStyle w:val="ListBullet"/>
      </w:pPr>
      <w:r>
        <w:rPr>
          <w:b/>
        </w:rPr>
        <w:t>Ocasión de consumo principal</w:t>
      </w:r>
      <w:r>
        <w:t>: Ocio nocturno (45%), reuniones sociales (30%), consumo en hogar (25%)</w:t>
      </w:r>
    </w:p>
    <w:p>
      <w:pPr>
        <w:pStyle w:val="ListBullet"/>
      </w:pPr>
      <w:r>
        <w:rPr>
          <w:b/>
        </w:rPr>
        <w:t>Combinación preferida</w:t>
      </w:r>
      <w:r>
        <w:t>: Ron con cola (55%), ron solo o con hielo (20%), cócteles (25%)</w:t>
      </w:r>
    </w:p>
    <w:p>
      <w:pPr>
        <w:pStyle w:val="ListBullet"/>
      </w:pPr>
      <w:r>
        <w:rPr>
          <w:b/>
        </w:rPr>
        <w:t>Canal de compra</w:t>
      </w:r>
      <w:r>
        <w:t>: Supermercados (48%), hipermercados (22%), tiendas especializadas (15%), online (15%)</w:t>
      </w:r>
    </w:p>
    <w:p>
      <w:pPr>
        <w:pStyle w:val="Heading2"/>
      </w:pPr>
      <w:r>
        <w:t>Otros Productos Alcohólicos</w:t>
      </w:r>
    </w:p>
    <w:p>
      <w:pPr>
        <w:pStyle w:val="Heading3"/>
      </w:pPr>
      <w:r>
        <w:t>Cerveza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Indicador</w:t>
            </w:r>
          </w:p>
        </w:tc>
        <w:tc>
          <w:tcPr>
            <w:tcW w:type="dxa" w:w="2880"/>
          </w:tcPr>
          <w:p>
            <w:r>
              <w:rPr>
                <w:b/>
              </w:rPr>
              <w:t>Valor</w:t>
            </w:r>
          </w:p>
        </w:tc>
        <w:tc>
          <w:tcPr>
            <w:tcW w:type="dxa" w:w="2880"/>
          </w:tcPr>
          <w:p>
            <w:r>
              <w:rPr>
                <w:b/>
              </w:rPr>
              <w:t>Fuente</w:t>
            </w:r>
          </w:p>
        </w:tc>
      </w:tr>
      <w:tr>
        <w:tc>
          <w:tcPr>
            <w:tcW w:type="dxa" w:w="2880"/>
          </w:tcPr>
          <w:p>
            <w:r>
              <w:t>Consumo per cápita</w:t>
            </w:r>
          </w:p>
        </w:tc>
        <w:tc>
          <w:tcPr>
            <w:tcW w:type="dxa" w:w="2880"/>
          </w:tcPr>
          <w:p>
            <w:r>
              <w:t>50 L/año</w:t>
            </w:r>
          </w:p>
        </w:tc>
        <w:tc>
          <w:tcPr>
            <w:tcW w:type="dxa" w:w="2880"/>
          </w:tcPr>
          <w:p>
            <w:r>
              <w:t>Kantar</w:t>
            </w:r>
          </w:p>
        </w:tc>
      </w:tr>
      <w:tr>
        <w:tc>
          <w:tcPr>
            <w:tcW w:type="dxa" w:w="2880"/>
          </w:tcPr>
          <w:p>
            <w:r>
              <w:t>Valor del mercado</w:t>
            </w:r>
          </w:p>
        </w:tc>
        <w:tc>
          <w:tcPr>
            <w:tcW w:type="dxa" w:w="2880"/>
          </w:tcPr>
          <w:p>
            <w:r>
              <w:t>5.800 M€</w:t>
            </w:r>
          </w:p>
        </w:tc>
        <w:tc>
          <w:tcPr>
            <w:tcW w:type="dxa" w:w="2880"/>
          </w:tcPr>
          <w:p>
            <w:r>
              <w:t>NielsenIQ</w:t>
            </w:r>
          </w:p>
        </w:tc>
      </w:tr>
      <w:tr>
        <w:tc>
          <w:tcPr>
            <w:tcW w:type="dxa" w:w="2880"/>
          </w:tcPr>
          <w:p>
            <w:r>
              <w:t>Hogares compradores</w:t>
            </w:r>
          </w:p>
        </w:tc>
        <w:tc>
          <w:tcPr>
            <w:tcW w:type="dxa" w:w="2880"/>
          </w:tcPr>
          <w:p>
            <w:r>
              <w:t>78,5%</w:t>
            </w:r>
          </w:p>
        </w:tc>
        <w:tc>
          <w:tcPr>
            <w:tcW w:type="dxa" w:w="2880"/>
          </w:tcPr>
          <w:p>
            <w:r>
              <w:t>Kantar Worldpanel</w:t>
            </w:r>
          </w:p>
        </w:tc>
      </w:tr>
      <w:tr>
        <w:tc>
          <w:tcPr>
            <w:tcW w:type="dxa" w:w="2880"/>
          </w:tcPr>
          <w:p>
            <w:r>
              <w:t>Cuota cerveza artesana</w:t>
            </w:r>
          </w:p>
        </w:tc>
        <w:tc>
          <w:tcPr>
            <w:tcW w:type="dxa" w:w="2880"/>
          </w:tcPr>
          <w:p>
            <w:r>
              <w:t>4,5% (en crecimiento)</w:t>
            </w:r>
          </w:p>
        </w:tc>
        <w:tc>
          <w:tcPr>
            <w:tcW w:type="dxa" w:w="2880"/>
          </w:tcPr>
          <w:p>
            <w:r>
              <w:t>Mintel</w:t>
            </w:r>
          </w:p>
        </w:tc>
      </w:tr>
      <w:tr>
        <w:tc>
          <w:tcPr>
            <w:tcW w:type="dxa" w:w="2880"/>
          </w:tcPr>
          <w:p>
            <w:r>
              <w:t>Cuota cerveza sin alcohol</w:t>
            </w:r>
          </w:p>
        </w:tc>
        <w:tc>
          <w:tcPr>
            <w:tcW w:type="dxa" w:w="2880"/>
          </w:tcPr>
          <w:p>
            <w:r>
              <w:t>15% del total</w:t>
            </w:r>
          </w:p>
        </w:tc>
        <w:tc>
          <w:tcPr>
            <w:tcW w:type="dxa" w:w="2880"/>
          </w:tcPr>
          <w:p>
            <w:r>
              <w:t>NielsenIQ</w:t>
            </w:r>
          </w:p>
        </w:tc>
      </w:tr>
    </w:tbl>
    <w:p/>
    <w:p>
      <w:r>
        <w:t xml:space="preserve">La cerveza es la bebida alcohólica más consumida en España. Según </w:t>
      </w:r>
      <w:r>
        <w:rPr>
          <w:b/>
        </w:rPr>
        <w:t>Kantar Worldpanel</w:t>
      </w:r>
      <w:r>
        <w:t>, el 78,5% de los hogares españoles compra cerveza al menos una vez al año. La cerveza sin alcohol y la cerveza artesana son los segmentos con mayor dinamismo.</w:t>
      </w:r>
    </w:p>
    <w:p>
      <w:pPr>
        <w:pStyle w:val="Heading3"/>
      </w:pPr>
      <w:r>
        <w:t>Vino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Indicador</w:t>
            </w:r>
          </w:p>
        </w:tc>
        <w:tc>
          <w:tcPr>
            <w:tcW w:type="dxa" w:w="2880"/>
          </w:tcPr>
          <w:p>
            <w:r>
              <w:rPr>
                <w:b/>
              </w:rPr>
              <w:t>Valor</w:t>
            </w:r>
          </w:p>
        </w:tc>
        <w:tc>
          <w:tcPr>
            <w:tcW w:type="dxa" w:w="2880"/>
          </w:tcPr>
          <w:p>
            <w:r>
              <w:rPr>
                <w:b/>
              </w:rPr>
              <w:t>Fuente</w:t>
            </w:r>
          </w:p>
        </w:tc>
      </w:tr>
      <w:tr>
        <w:tc>
          <w:tcPr>
            <w:tcW w:type="dxa" w:w="2880"/>
          </w:tcPr>
          <w:p>
            <w:r>
              <w:t>Consumo per cápita</w:t>
            </w:r>
          </w:p>
        </w:tc>
        <w:tc>
          <w:tcPr>
            <w:tcW w:type="dxa" w:w="2880"/>
          </w:tcPr>
          <w:p>
            <w:r>
              <w:t>20 L/año</w:t>
            </w:r>
          </w:p>
        </w:tc>
        <w:tc>
          <w:tcPr>
            <w:tcW w:type="dxa" w:w="2880"/>
          </w:tcPr>
          <w:p>
            <w:r>
              <w:t>Kantar</w:t>
            </w:r>
          </w:p>
        </w:tc>
      </w:tr>
      <w:tr>
        <w:tc>
          <w:tcPr>
            <w:tcW w:type="dxa" w:w="2880"/>
          </w:tcPr>
          <w:p>
            <w:r>
              <w:t>Valor del mercado</w:t>
            </w:r>
          </w:p>
        </w:tc>
        <w:tc>
          <w:tcPr>
            <w:tcW w:type="dxa" w:w="2880"/>
          </w:tcPr>
          <w:p>
            <w:r>
              <w:t>3.200 M€</w:t>
            </w:r>
          </w:p>
        </w:tc>
        <w:tc>
          <w:tcPr>
            <w:tcW w:type="dxa" w:w="2880"/>
          </w:tcPr>
          <w:p>
            <w:r>
              <w:t>NielsenIQ</w:t>
            </w:r>
          </w:p>
        </w:tc>
      </w:tr>
      <w:tr>
        <w:tc>
          <w:tcPr>
            <w:tcW w:type="dxa" w:w="2880"/>
          </w:tcPr>
          <w:p>
            <w:r>
              <w:t>Descenso anual en volumen</w:t>
            </w:r>
          </w:p>
        </w:tc>
        <w:tc>
          <w:tcPr>
            <w:tcW w:type="dxa" w:w="2880"/>
          </w:tcPr>
          <w:p>
            <w:r>
              <w:t>-2,5%</w:t>
            </w:r>
          </w:p>
        </w:tc>
        <w:tc>
          <w:tcPr>
            <w:tcW w:type="dxa" w:w="2880"/>
          </w:tcPr>
          <w:p>
            <w:r>
              <w:t>NielsenIQ</w:t>
            </w:r>
          </w:p>
        </w:tc>
      </w:tr>
      <w:tr>
        <w:tc>
          <w:tcPr>
            <w:tcW w:type="dxa" w:w="2880"/>
          </w:tcPr>
          <w:p>
            <w:r>
              <w:t>Hogares compradores</w:t>
            </w:r>
          </w:p>
        </w:tc>
        <w:tc>
          <w:tcPr>
            <w:tcW w:type="dxa" w:w="2880"/>
          </w:tcPr>
          <w:p>
            <w:r>
              <w:t>52,3%</w:t>
            </w:r>
          </w:p>
        </w:tc>
        <w:tc>
          <w:tcPr>
            <w:tcW w:type="dxa" w:w="2880"/>
          </w:tcPr>
          <w:p>
            <w:r>
              <w:t>Kantar Worldpanel</w:t>
            </w:r>
          </w:p>
        </w:tc>
      </w:tr>
      <w:tr>
        <w:tc>
          <w:tcPr>
            <w:tcW w:type="dxa" w:w="2880"/>
          </w:tcPr>
          <w:p>
            <w:r>
              <w:t>Crecimiento vinos espumosos</w:t>
            </w:r>
          </w:p>
        </w:tc>
        <w:tc>
          <w:tcPr>
            <w:tcW w:type="dxa" w:w="2880"/>
          </w:tcPr>
          <w:p>
            <w:r>
              <w:t>+6,2%</w:t>
            </w:r>
          </w:p>
        </w:tc>
        <w:tc>
          <w:tcPr>
            <w:tcW w:type="dxa" w:w="2880"/>
          </w:tcPr>
          <w:p>
            <w:r>
              <w:t>Mintel</w:t>
            </w:r>
          </w:p>
        </w:tc>
      </w:tr>
    </w:tbl>
    <w:p/>
    <w:p>
      <w:r>
        <w:t xml:space="preserve">El vino experimenta un descenso sostenido en España, paradójicamente siendo uno de los principales productores mundiales. Sin embargo, los segmentos de </w:t>
      </w:r>
      <w:r>
        <w:rPr>
          <w:b/>
        </w:rPr>
        <w:t>vinos espumosos</w:t>
      </w:r>
      <w:r>
        <w:t xml:space="preserve"> y </w:t>
      </w:r>
      <w:r>
        <w:rPr>
          <w:b/>
        </w:rPr>
        <w:t>vinos de alta gama</w:t>
      </w:r>
      <w:r>
        <w:t xml:space="preserve"> crecen, lo que indica una tendencia hacia la premiumización.</w:t>
      </w:r>
    </w:p>
    <w:p>
      <w:pPr>
        <w:pStyle w:val="Heading3"/>
      </w:pPr>
      <w:r>
        <w:t>Ginebra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Indicador</w:t>
            </w:r>
          </w:p>
        </w:tc>
        <w:tc>
          <w:tcPr>
            <w:tcW w:type="dxa" w:w="2880"/>
          </w:tcPr>
          <w:p>
            <w:r>
              <w:rPr>
                <w:b/>
              </w:rPr>
              <w:t>Valor</w:t>
            </w:r>
          </w:p>
        </w:tc>
        <w:tc>
          <w:tcPr>
            <w:tcW w:type="dxa" w:w="2880"/>
          </w:tcPr>
          <w:p>
            <w:r>
              <w:rPr>
                <w:b/>
              </w:rPr>
              <w:t>Fuente</w:t>
            </w:r>
          </w:p>
        </w:tc>
      </w:tr>
      <w:tr>
        <w:tc>
          <w:tcPr>
            <w:tcW w:type="dxa" w:w="2880"/>
          </w:tcPr>
          <w:p>
            <w:r>
              <w:t>Cuota en espirituosos (volumen)</w:t>
            </w:r>
          </w:p>
        </w:tc>
        <w:tc>
          <w:tcPr>
            <w:tcW w:type="dxa" w:w="2880"/>
          </w:tcPr>
          <w:p>
            <w:r>
              <w:t>22%</w:t>
            </w:r>
          </w:p>
        </w:tc>
        <w:tc>
          <w:tcPr>
            <w:tcW w:type="dxa" w:w="2880"/>
          </w:tcPr>
          <w:p>
            <w:r>
              <w:t>NielsenIQ</w:t>
            </w:r>
          </w:p>
        </w:tc>
      </w:tr>
      <w:tr>
        <w:tc>
          <w:tcPr>
            <w:tcW w:type="dxa" w:w="2880"/>
          </w:tcPr>
          <w:p>
            <w:r>
              <w:t>Valor de mercado</w:t>
            </w:r>
          </w:p>
        </w:tc>
        <w:tc>
          <w:tcPr>
            <w:tcW w:type="dxa" w:w="2880"/>
          </w:tcPr>
          <w:p>
            <w:r>
              <w:t>780 M€</w:t>
            </w:r>
          </w:p>
        </w:tc>
        <w:tc>
          <w:tcPr>
            <w:tcW w:type="dxa" w:w="2880"/>
          </w:tcPr>
          <w:p>
            <w:r>
              <w:t>NielsenIQ</w:t>
            </w:r>
          </w:p>
        </w:tc>
      </w:tr>
      <w:tr>
        <w:tc>
          <w:tcPr>
            <w:tcW w:type="dxa" w:w="2880"/>
          </w:tcPr>
          <w:p>
            <w:r>
              <w:t>Tendencia interanual</w:t>
            </w:r>
          </w:p>
        </w:tc>
        <w:tc>
          <w:tcPr>
            <w:tcW w:type="dxa" w:w="2880"/>
          </w:tcPr>
          <w:p>
            <w:r>
              <w:t>-1,5% (estabilización tras boom)</w:t>
            </w:r>
          </w:p>
        </w:tc>
        <w:tc>
          <w:tcPr>
            <w:tcW w:type="dxa" w:w="2880"/>
          </w:tcPr>
          <w:p>
            <w:r>
              <w:t>NielsenIQ</w:t>
            </w:r>
          </w:p>
        </w:tc>
      </w:tr>
      <w:tr>
        <w:tc>
          <w:tcPr>
            <w:tcW w:type="dxa" w:w="2880"/>
          </w:tcPr>
          <w:p>
            <w:r>
              <w:t>Hogares compradores</w:t>
            </w:r>
          </w:p>
        </w:tc>
        <w:tc>
          <w:tcPr>
            <w:tcW w:type="dxa" w:w="2880"/>
          </w:tcPr>
          <w:p>
            <w:r>
              <w:t>15,8%</w:t>
            </w:r>
          </w:p>
        </w:tc>
        <w:tc>
          <w:tcPr>
            <w:tcW w:type="dxa" w:w="2880"/>
          </w:tcPr>
          <w:p>
            <w:r>
              <w:t>Kantar Worldpanel</w:t>
            </w:r>
          </w:p>
        </w:tc>
      </w:tr>
    </w:tbl>
    <w:p/>
    <w:p>
      <w:r>
        <w:t>España vivió un auténtico "boom" de la ginebra entre 2012 y 2019. Actualmente el mercado se ha estabilizado y muestra signos de ligera contracción, cediendo espacio a categorías como el ron y el tequila.</w:t>
      </w:r>
    </w:p>
    <w:p>
      <w:pPr>
        <w:pStyle w:val="Heading3"/>
      </w:pPr>
      <w:r>
        <w:t>Whisky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Indicador</w:t>
            </w:r>
          </w:p>
        </w:tc>
        <w:tc>
          <w:tcPr>
            <w:tcW w:type="dxa" w:w="2880"/>
          </w:tcPr>
          <w:p>
            <w:r>
              <w:rPr>
                <w:b/>
              </w:rPr>
              <w:t>Valor</w:t>
            </w:r>
          </w:p>
        </w:tc>
        <w:tc>
          <w:tcPr>
            <w:tcW w:type="dxa" w:w="2880"/>
          </w:tcPr>
          <w:p>
            <w:r>
              <w:rPr>
                <w:b/>
              </w:rPr>
              <w:t>Fuente</w:t>
            </w:r>
          </w:p>
        </w:tc>
      </w:tr>
      <w:tr>
        <w:tc>
          <w:tcPr>
            <w:tcW w:type="dxa" w:w="2880"/>
          </w:tcPr>
          <w:p>
            <w:r>
              <w:t>Cuota en espirituosos (volumen)</w:t>
            </w:r>
          </w:p>
        </w:tc>
        <w:tc>
          <w:tcPr>
            <w:tcW w:type="dxa" w:w="2880"/>
          </w:tcPr>
          <w:p>
            <w:r>
              <w:t>25%</w:t>
            </w:r>
          </w:p>
        </w:tc>
        <w:tc>
          <w:tcPr>
            <w:tcW w:type="dxa" w:w="2880"/>
          </w:tcPr>
          <w:p>
            <w:r>
              <w:t>NielsenIQ</w:t>
            </w:r>
          </w:p>
        </w:tc>
      </w:tr>
      <w:tr>
        <w:tc>
          <w:tcPr>
            <w:tcW w:type="dxa" w:w="2880"/>
          </w:tcPr>
          <w:p>
            <w:r>
              <w:t>Valor de mercado</w:t>
            </w:r>
          </w:p>
        </w:tc>
        <w:tc>
          <w:tcPr>
            <w:tcW w:type="dxa" w:w="2880"/>
          </w:tcPr>
          <w:p>
            <w:r>
              <w:t>850 M€</w:t>
            </w:r>
          </w:p>
        </w:tc>
        <w:tc>
          <w:tcPr>
            <w:tcW w:type="dxa" w:w="2880"/>
          </w:tcPr>
          <w:p>
            <w:r>
              <w:t>NielsenIQ</w:t>
            </w:r>
          </w:p>
        </w:tc>
      </w:tr>
      <w:tr>
        <w:tc>
          <w:tcPr>
            <w:tcW w:type="dxa" w:w="2880"/>
          </w:tcPr>
          <w:p>
            <w:r>
              <w:t>Tendencia interanual</w:t>
            </w:r>
          </w:p>
        </w:tc>
        <w:tc>
          <w:tcPr>
            <w:tcW w:type="dxa" w:w="2880"/>
          </w:tcPr>
          <w:p>
            <w:r>
              <w:t>+1,2%</w:t>
            </w:r>
          </w:p>
        </w:tc>
        <w:tc>
          <w:tcPr>
            <w:tcW w:type="dxa" w:w="2880"/>
          </w:tcPr>
          <w:p>
            <w:r>
              <w:t>NielsenIQ</w:t>
            </w:r>
          </w:p>
        </w:tc>
      </w:tr>
      <w:tr>
        <w:tc>
          <w:tcPr>
            <w:tcW w:type="dxa" w:w="2880"/>
          </w:tcPr>
          <w:p>
            <w:r>
              <w:t>Hogares compradores</w:t>
            </w:r>
          </w:p>
        </w:tc>
        <w:tc>
          <w:tcPr>
            <w:tcW w:type="dxa" w:w="2880"/>
          </w:tcPr>
          <w:p>
            <w:r>
              <w:t>14,1%</w:t>
            </w:r>
          </w:p>
        </w:tc>
        <w:tc>
          <w:tcPr>
            <w:tcW w:type="dxa" w:w="2880"/>
          </w:tcPr>
          <w:p>
            <w:r>
              <w:t>Kantar Worldpanel</w:t>
            </w:r>
          </w:p>
        </w:tc>
      </w:tr>
    </w:tbl>
    <w:p/>
    <w:p>
      <w:r>
        <w:t>El whisky mantiene la primera posición en el mercado de espirituosos español por volumen. El whisky escocés domina, pero el bourbon y el whisky japonés muestran crecimiento significativo.</w:t>
      </w:r>
    </w:p>
    <w:p>
      <w:pPr>
        <w:pStyle w:val="Heading3"/>
      </w:pPr>
      <w:r>
        <w:t>Vodka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Indicador</w:t>
            </w:r>
          </w:p>
        </w:tc>
        <w:tc>
          <w:tcPr>
            <w:tcW w:type="dxa" w:w="2880"/>
          </w:tcPr>
          <w:p>
            <w:r>
              <w:rPr>
                <w:b/>
              </w:rPr>
              <w:t>Valor</w:t>
            </w:r>
          </w:p>
        </w:tc>
        <w:tc>
          <w:tcPr>
            <w:tcW w:type="dxa" w:w="2880"/>
          </w:tcPr>
          <w:p>
            <w:r>
              <w:rPr>
                <w:b/>
              </w:rPr>
              <w:t>Fuente</w:t>
            </w:r>
          </w:p>
        </w:tc>
      </w:tr>
      <w:tr>
        <w:tc>
          <w:tcPr>
            <w:tcW w:type="dxa" w:w="2880"/>
          </w:tcPr>
          <w:p>
            <w:r>
              <w:t>Cuota en espirituosos (volumen)</w:t>
            </w:r>
          </w:p>
        </w:tc>
        <w:tc>
          <w:tcPr>
            <w:tcW w:type="dxa" w:w="2880"/>
          </w:tcPr>
          <w:p>
            <w:r>
              <w:t>12%</w:t>
            </w:r>
          </w:p>
        </w:tc>
        <w:tc>
          <w:tcPr>
            <w:tcW w:type="dxa" w:w="2880"/>
          </w:tcPr>
          <w:p>
            <w:r>
              <w:t>NielsenIQ</w:t>
            </w:r>
          </w:p>
        </w:tc>
      </w:tr>
      <w:tr>
        <w:tc>
          <w:tcPr>
            <w:tcW w:type="dxa" w:w="2880"/>
          </w:tcPr>
          <w:p>
            <w:r>
              <w:t>Valor de mercado</w:t>
            </w:r>
          </w:p>
        </w:tc>
        <w:tc>
          <w:tcPr>
            <w:tcW w:type="dxa" w:w="2880"/>
          </w:tcPr>
          <w:p>
            <w:r>
              <w:t>390 M€</w:t>
            </w:r>
          </w:p>
        </w:tc>
        <w:tc>
          <w:tcPr>
            <w:tcW w:type="dxa" w:w="2880"/>
          </w:tcPr>
          <w:p>
            <w:r>
              <w:t>NielsenIQ</w:t>
            </w:r>
          </w:p>
        </w:tc>
      </w:tr>
      <w:tr>
        <w:tc>
          <w:tcPr>
            <w:tcW w:type="dxa" w:w="2880"/>
          </w:tcPr>
          <w:p>
            <w:r>
              <w:t>Tendencia interanual</w:t>
            </w:r>
          </w:p>
        </w:tc>
        <w:tc>
          <w:tcPr>
            <w:tcW w:type="dxa" w:w="2880"/>
          </w:tcPr>
          <w:p>
            <w:r>
              <w:t>+0,5%</w:t>
            </w:r>
          </w:p>
        </w:tc>
        <w:tc>
          <w:tcPr>
            <w:tcW w:type="dxa" w:w="2880"/>
          </w:tcPr>
          <w:p>
            <w:r>
              <w:t>NielsenIQ</w:t>
            </w:r>
          </w:p>
        </w:tc>
      </w:tr>
    </w:tbl>
    <w:p/>
    <w:p>
      <w:pPr>
        <w:pStyle w:val="Heading3"/>
      </w:pPr>
      <w:r>
        <w:t>Tequila / Mezcal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Indicador</w:t>
            </w:r>
          </w:p>
        </w:tc>
        <w:tc>
          <w:tcPr>
            <w:tcW w:type="dxa" w:w="2880"/>
          </w:tcPr>
          <w:p>
            <w:r>
              <w:rPr>
                <w:b/>
              </w:rPr>
              <w:t>Valor</w:t>
            </w:r>
          </w:p>
        </w:tc>
        <w:tc>
          <w:tcPr>
            <w:tcW w:type="dxa" w:w="2880"/>
          </w:tcPr>
          <w:p>
            <w:r>
              <w:rPr>
                <w:b/>
              </w:rPr>
              <w:t>Fuente</w:t>
            </w:r>
          </w:p>
        </w:tc>
      </w:tr>
      <w:tr>
        <w:tc>
          <w:tcPr>
            <w:tcW w:type="dxa" w:w="2880"/>
          </w:tcPr>
          <w:p>
            <w:r>
              <w:t>Cuota en espirituosos (volumen)</w:t>
            </w:r>
          </w:p>
        </w:tc>
        <w:tc>
          <w:tcPr>
            <w:tcW w:type="dxa" w:w="2880"/>
          </w:tcPr>
          <w:p>
            <w:r>
              <w:t>4%</w:t>
            </w:r>
          </w:p>
        </w:tc>
        <w:tc>
          <w:tcPr>
            <w:tcW w:type="dxa" w:w="2880"/>
          </w:tcPr>
          <w:p>
            <w:r>
              <w:t>NielsenIQ</w:t>
            </w:r>
          </w:p>
        </w:tc>
      </w:tr>
      <w:tr>
        <w:tc>
          <w:tcPr>
            <w:tcW w:type="dxa" w:w="2880"/>
          </w:tcPr>
          <w:p>
            <w:r>
              <w:t>Crecimiento interanual</w:t>
            </w:r>
          </w:p>
        </w:tc>
        <w:tc>
          <w:tcPr>
            <w:tcW w:type="dxa" w:w="2880"/>
          </w:tcPr>
          <w:p>
            <w:r>
              <w:t>+18%</w:t>
            </w:r>
          </w:p>
        </w:tc>
        <w:tc>
          <w:tcPr>
            <w:tcW w:type="dxa" w:w="2880"/>
          </w:tcPr>
          <w:p>
            <w:r>
              <w:t>NielsenIQ / Mintel</w:t>
            </w:r>
          </w:p>
        </w:tc>
      </w:tr>
    </w:tbl>
    <w:p/>
    <w:p>
      <w:r>
        <w:t>El tequila y el mezcal son las categorías de mayor crecimiento en espirituosos en España, aunque parten de una base pequeña.</w:t>
      </w:r>
    </w:p>
    <w:p>
      <w:pPr>
        <w:pStyle w:val="Heading2"/>
      </w:pPr>
      <w:r>
        <w:t>Datos por Fuente</w:t>
      </w:r>
    </w:p>
    <w:p>
      <w:pPr>
        <w:pStyle w:val="Heading3"/>
      </w:pPr>
      <w:r>
        <w:t>1. Kantar Worldpanel</w:t>
      </w:r>
    </w:p>
    <w:p>
      <w:r>
        <w:rPr>
          <w:b/>
        </w:rPr>
        <w:t>Kantar Worldpanel</w:t>
      </w:r>
      <w:r>
        <w:t xml:space="preserve"> es la fuente de referencia para datos de consumo en hogares en España. A través de su panel de consumidores, rastrea las compras reales de los hogares españoles.</w:t>
      </w:r>
    </w:p>
    <w:p>
      <w:pPr>
        <w:pStyle w:val="Heading4"/>
      </w:pPr>
      <w:r>
        <w:t>Datos clave de Kantar:</w:t>
      </w:r>
    </w:p>
    <w:p>
      <w:pPr>
        <w:pStyle w:val="ListBullet"/>
      </w:pPr>
      <w:r>
        <w:rPr>
          <w:b/>
        </w:rPr>
        <w:t>Penetración de bebidas alcohólicas en hogares</w:t>
      </w:r>
      <w:r>
        <w:t>: El 68,2% de los hogares españoles compra alguna bebida alcohólica al menos una vez al año.</w:t>
      </w:r>
    </w:p>
    <w:p>
      <w:pPr>
        <w:pStyle w:val="ListBullet"/>
      </w:pPr>
      <w:r>
        <w:rPr>
          <w:b/>
        </w:rPr>
        <w:t>Gasto medio anual por hogar</w:t>
      </w:r>
      <w:r>
        <w:t>: 195 € en bebidas alcohólicas (off-trade).</w:t>
      </w:r>
    </w:p>
    <w:p>
      <w:pPr>
        <w:pStyle w:val="ListBullet"/>
      </w:pPr>
      <w:r>
        <w:rPr>
          <w:b/>
        </w:rPr>
        <w:t>Frecuencia de compra media</w:t>
      </w:r>
      <w:r>
        <w:t>: 8,2 actos de compra al año para la categoría de alcohol.</w:t>
      </w:r>
    </w:p>
    <w:p>
      <w:pPr>
        <w:pStyle w:val="ListBullet"/>
      </w:pPr>
      <w:r>
        <w:rPr>
          <w:b/>
        </w:rPr>
        <w:t>Evolución del gasto</w:t>
      </w:r>
      <w:r>
        <w:t>: El gasto en bebidas alcohólicas en hogares creció un +4,3% en valor durante el último año, pero el volumen creció solo un +1,1%, lo que refleja la tendencia a la premiumización.</w:t>
      </w:r>
    </w:p>
    <w:p>
      <w:r>
        <w:rPr>
          <w:b/>
        </w:rPr>
        <w:t>Datos específicos del ron (Kantar Worldpanel)</w:t>
      </w:r>
      <w:r>
        <w:t>:</w:t>
      </w:r>
    </w:p>
    <w:p>
      <w:pPr>
        <w:pStyle w:val="ListBullet"/>
      </w:pPr>
      <w:r>
        <w:t>La penetración del ron en hogares es del 12,4%, un aumento de +0,8 puntos porcentuales respecto al año anterior.</w:t>
      </w:r>
    </w:p>
    <w:p>
      <w:pPr>
        <w:pStyle w:val="ListBullet"/>
      </w:pPr>
      <w:r>
        <w:t>El gasto medio por compra de ron es de 14,50 €, superior a la media de espirituosos (12,80 €).</w:t>
      </w:r>
    </w:p>
    <w:p>
      <w:pPr>
        <w:pStyle w:val="ListBullet"/>
      </w:pPr>
      <w:r>
        <w:t>El perfil del comprador de ron en hogar se concentra en hogares de clase media-alta, con responsable de compra de 35-54 años.</w:t>
      </w:r>
    </w:p>
    <w:p>
      <w:pPr>
        <w:pStyle w:val="ListBullet"/>
      </w:pPr>
      <w:r>
        <w:t>El canal supermercado concentra el 48% de las ventas de ron en off-trade.</w:t>
      </w:r>
    </w:p>
    <w:p>
      <w:r>
        <w:rPr>
          <w:b/>
        </w:rPr>
        <w:t>Tendencias de consumo detectadas por Kantar</w:t>
      </w:r>
      <w:r>
        <w:t>:</w:t>
      </w:r>
    </w:p>
    <w:p>
      <w:pPr>
        <w:pStyle w:val="ListBullet"/>
      </w:pPr>
      <w:r>
        <w:t>"Menos pero mejor": los consumidores españoles compran menos volumen de alcohol, pero optan por marcas premium.</w:t>
      </w:r>
    </w:p>
    <w:p>
      <w:pPr>
        <w:pStyle w:val="ListBullet"/>
      </w:pPr>
      <w:r>
        <w:t>Crecimiento del consumo en el hogar post-pandemia: aún se mantiene un +8% por encima de los niveles pre-COVID en volumen para espirituosos en hogar.</w:t>
      </w:r>
    </w:p>
    <w:p>
      <w:pPr>
        <w:pStyle w:val="ListBullet"/>
      </w:pPr>
      <w:r>
        <w:t>Auge de los formatos "para mezclar": crecen los combinados listos para beber (RTD) un +22%.</w:t>
      </w:r>
    </w:p>
    <w:p>
      <w:pPr>
        <w:pStyle w:val="Heading3"/>
      </w:pPr>
      <w:r>
        <w:t>2. NielsenIQ</w:t>
      </w:r>
    </w:p>
    <w:p>
      <w:r>
        <w:rPr>
          <w:b/>
        </w:rPr>
        <w:t>NielsenIQ</w:t>
      </w:r>
      <w:r>
        <w:t xml:space="preserve"> proporciona datos de ventas en el punto de venta (retail) en España, cubriendo supermercados, hipermercados y otros canales de distribución.</w:t>
      </w:r>
    </w:p>
    <w:p>
      <w:pPr>
        <w:pStyle w:val="Heading4"/>
      </w:pPr>
      <w:r>
        <w:t>Datos clave de NielsenIQ:</w:t>
      </w:r>
    </w:p>
    <w:p>
      <w:pPr>
        <w:pStyle w:val="ListBullet"/>
      </w:pPr>
      <w:r>
        <w:rPr>
          <w:b/>
        </w:rPr>
        <w:t>Mercado total de bebidas alcohólicas (off-trade)</w:t>
      </w:r>
      <w:r>
        <w:t>: valorado en aproximadamente 5.600 M€ en ventas en retail.</w:t>
      </w:r>
    </w:p>
    <w:p>
      <w:pPr>
        <w:pStyle w:val="ListBullet"/>
      </w:pPr>
      <w:r>
        <w:rPr>
          <w:b/>
        </w:rPr>
        <w:t>Crecimiento total del mercado</w:t>
      </w:r>
      <w:r>
        <w:t>: +3,8% en valor, +0,7% en volumen (últimos 12 meses).</w:t>
      </w:r>
    </w:p>
    <w:p>
      <w:pPr>
        <w:pStyle w:val="ListBullet"/>
      </w:pPr>
      <w:r>
        <w:rPr>
          <w:b/>
        </w:rPr>
        <w:t>Mercado de espirituosos (off-trade)</w:t>
      </w:r>
      <w:r>
        <w:t>: ~1.650 M€ en retail.</w:t>
      </w:r>
    </w:p>
    <w:p>
      <w:r>
        <w:rPr>
          <w:b/>
        </w:rPr>
        <w:t>Datos específicos del ron (NielsenIQ)</w:t>
      </w:r>
      <w:r>
        <w:t>:</w:t>
      </w:r>
    </w:p>
    <w:p>
      <w:pPr>
        <w:pStyle w:val="ListBullet"/>
      </w:pPr>
      <w:r>
        <w:t>Ventas de ron en off-trade: ~285 M€ (aproximadamente el 17% del total de espirituosos en retail).</w:t>
      </w:r>
    </w:p>
    <w:p>
      <w:pPr>
        <w:pStyle w:val="ListBullet"/>
      </w:pPr>
      <w:r>
        <w:t>Crecimiento del ron en valor: +5,8% interanual.</w:t>
      </w:r>
    </w:p>
    <w:p>
      <w:pPr>
        <w:pStyle w:val="ListBullet"/>
      </w:pPr>
      <w:r>
        <w:t>Crecimiento del ron en volumen: +3,2% interanual.</w:t>
      </w:r>
    </w:p>
    <w:p>
      <w:pPr>
        <w:pStyle w:val="ListBullet"/>
      </w:pPr>
      <w:r>
        <w:t>Precio medio por litro: 15,80 €/L, frente a los 13,20 €/L de media de espirituosos.</w:t>
      </w:r>
    </w:p>
    <w:p>
      <w:pPr>
        <w:pStyle w:val="ListBullet"/>
      </w:pPr>
      <w:r>
        <w:t xml:space="preserve">El segmento de </w:t>
      </w:r>
      <w:r>
        <w:rPr>
          <w:b/>
        </w:rPr>
        <w:t>ron premium</w:t>
      </w:r>
      <w:r>
        <w:t xml:space="preserve"> (&gt;20 €/botella de 70cl) ha crecido un +12% en valor.</w:t>
      </w:r>
    </w:p>
    <w:p>
      <w:pPr>
        <w:pStyle w:val="ListBullet"/>
      </w:pPr>
      <w:r>
        <w:t xml:space="preserve">El segmento de </w:t>
      </w:r>
      <w:r>
        <w:rPr>
          <w:b/>
        </w:rPr>
        <w:t>ron especiado</w:t>
      </w:r>
      <w:r>
        <w:t xml:space="preserve"> ha crecido un +15% en valor, siendo Captain Morgan y Kraken las marcas líderes.</w:t>
      </w:r>
    </w:p>
    <w:p>
      <w:r>
        <w:rPr>
          <w:b/>
        </w:rPr>
        <w:t>Ranking de espirituosos por ventas en retail (NielsenIQ)</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Posición</w:t>
            </w:r>
          </w:p>
        </w:tc>
        <w:tc>
          <w:tcPr>
            <w:tcW w:type="dxa" w:w="2160"/>
          </w:tcPr>
          <w:p>
            <w:r>
              <w:rPr>
                <w:b/>
              </w:rPr>
              <w:t>Categoría</w:t>
            </w:r>
          </w:p>
        </w:tc>
        <w:tc>
          <w:tcPr>
            <w:tcW w:type="dxa" w:w="2160"/>
          </w:tcPr>
          <w:p>
            <w:r>
              <w:rPr>
                <w:b/>
              </w:rPr>
              <w:t>Ventas (M€)</w:t>
            </w:r>
          </w:p>
        </w:tc>
        <w:tc>
          <w:tcPr>
            <w:tcW w:type="dxa" w:w="2160"/>
          </w:tcPr>
          <w:p>
            <w:r>
              <w:rPr>
                <w:b/>
              </w:rPr>
              <w:t>Variación vs año anterior</w:t>
            </w:r>
          </w:p>
        </w:tc>
      </w:tr>
      <w:tr>
        <w:tc>
          <w:tcPr>
            <w:tcW w:type="dxa" w:w="2160"/>
          </w:tcPr>
          <w:p>
            <w:r>
              <w:t>1</w:t>
            </w:r>
          </w:p>
        </w:tc>
        <w:tc>
          <w:tcPr>
            <w:tcW w:type="dxa" w:w="2160"/>
          </w:tcPr>
          <w:p>
            <w:r>
              <w:t>Whisky</w:t>
            </w:r>
          </w:p>
        </w:tc>
        <w:tc>
          <w:tcPr>
            <w:tcW w:type="dxa" w:w="2160"/>
          </w:tcPr>
          <w:p>
            <w:r>
              <w:t>410 M€</w:t>
            </w:r>
          </w:p>
        </w:tc>
        <w:tc>
          <w:tcPr>
            <w:tcW w:type="dxa" w:w="2160"/>
          </w:tcPr>
          <w:p>
            <w:r>
              <w:t>+1,8%</w:t>
            </w:r>
          </w:p>
        </w:tc>
      </w:tr>
      <w:tr>
        <w:tc>
          <w:tcPr>
            <w:tcW w:type="dxa" w:w="2160"/>
          </w:tcPr>
          <w:p>
            <w:r>
              <w:t>2</w:t>
            </w:r>
          </w:p>
        </w:tc>
        <w:tc>
          <w:tcPr>
            <w:tcW w:type="dxa" w:w="2160"/>
          </w:tcPr>
          <w:p>
            <w:r>
              <w:t>Ginebra</w:t>
            </w:r>
          </w:p>
        </w:tc>
        <w:tc>
          <w:tcPr>
            <w:tcW w:type="dxa" w:w="2160"/>
          </w:tcPr>
          <w:p>
            <w:r>
              <w:t>385 M€</w:t>
            </w:r>
          </w:p>
        </w:tc>
        <w:tc>
          <w:tcPr>
            <w:tcW w:type="dxa" w:w="2160"/>
          </w:tcPr>
          <w:p>
            <w:r>
              <w:t>-1,2%</w:t>
            </w:r>
          </w:p>
        </w:tc>
      </w:tr>
      <w:tr>
        <w:tc>
          <w:tcPr>
            <w:tcW w:type="dxa" w:w="2160"/>
          </w:tcPr>
          <w:p>
            <w:r>
              <w:t>3</w:t>
            </w:r>
          </w:p>
        </w:tc>
        <w:tc>
          <w:tcPr>
            <w:tcW w:type="dxa" w:w="2160"/>
          </w:tcPr>
          <w:p>
            <w:r>
              <w:t>Ron</w:t>
            </w:r>
          </w:p>
        </w:tc>
        <w:tc>
          <w:tcPr>
            <w:tcW w:type="dxa" w:w="2160"/>
          </w:tcPr>
          <w:p>
            <w:r>
              <w:t>285 M€</w:t>
            </w:r>
          </w:p>
        </w:tc>
        <w:tc>
          <w:tcPr>
            <w:tcW w:type="dxa" w:w="2160"/>
          </w:tcPr>
          <w:p>
            <w:r>
              <w:t>+5,8%</w:t>
            </w:r>
          </w:p>
        </w:tc>
      </w:tr>
      <w:tr>
        <w:tc>
          <w:tcPr>
            <w:tcW w:type="dxa" w:w="2160"/>
          </w:tcPr>
          <w:p>
            <w:r>
              <w:t>4</w:t>
            </w:r>
          </w:p>
        </w:tc>
        <w:tc>
          <w:tcPr>
            <w:tcW w:type="dxa" w:w="2160"/>
          </w:tcPr>
          <w:p>
            <w:r>
              <w:t>Vodka</w:t>
            </w:r>
          </w:p>
        </w:tc>
        <w:tc>
          <w:tcPr>
            <w:tcW w:type="dxa" w:w="2160"/>
          </w:tcPr>
          <w:p>
            <w:r>
              <w:t>195 M€</w:t>
            </w:r>
          </w:p>
        </w:tc>
        <w:tc>
          <w:tcPr>
            <w:tcW w:type="dxa" w:w="2160"/>
          </w:tcPr>
          <w:p>
            <w:r>
              <w:t>+0,8%</w:t>
            </w:r>
          </w:p>
        </w:tc>
      </w:tr>
      <w:tr>
        <w:tc>
          <w:tcPr>
            <w:tcW w:type="dxa" w:w="2160"/>
          </w:tcPr>
          <w:p>
            <w:r>
              <w:t>5</w:t>
            </w:r>
          </w:p>
        </w:tc>
        <w:tc>
          <w:tcPr>
            <w:tcW w:type="dxa" w:w="2160"/>
          </w:tcPr>
          <w:p>
            <w:r>
              <w:t>Licores</w:t>
            </w:r>
          </w:p>
        </w:tc>
        <w:tc>
          <w:tcPr>
            <w:tcW w:type="dxa" w:w="2160"/>
          </w:tcPr>
          <w:p>
            <w:r>
              <w:t>165 M€</w:t>
            </w:r>
          </w:p>
        </w:tc>
        <w:tc>
          <w:tcPr>
            <w:tcW w:type="dxa" w:w="2160"/>
          </w:tcPr>
          <w:p>
            <w:r>
              <w:t>+2,1%</w:t>
            </w:r>
          </w:p>
        </w:tc>
      </w:tr>
      <w:tr>
        <w:tc>
          <w:tcPr>
            <w:tcW w:type="dxa" w:w="2160"/>
          </w:tcPr>
          <w:p>
            <w:r>
              <w:t>6</w:t>
            </w:r>
          </w:p>
        </w:tc>
        <w:tc>
          <w:tcPr>
            <w:tcW w:type="dxa" w:w="2160"/>
          </w:tcPr>
          <w:p>
            <w:r>
              <w:t>Brandy/Coñac</w:t>
            </w:r>
          </w:p>
        </w:tc>
        <w:tc>
          <w:tcPr>
            <w:tcW w:type="dxa" w:w="2160"/>
          </w:tcPr>
          <w:p>
            <w:r>
              <w:t>105 M€</w:t>
            </w:r>
          </w:p>
        </w:tc>
        <w:tc>
          <w:tcPr>
            <w:tcW w:type="dxa" w:w="2160"/>
          </w:tcPr>
          <w:p>
            <w:r>
              <w:t>-3,5%</w:t>
            </w:r>
          </w:p>
        </w:tc>
      </w:tr>
      <w:tr>
        <w:tc>
          <w:tcPr>
            <w:tcW w:type="dxa" w:w="2160"/>
          </w:tcPr>
          <w:p>
            <w:r>
              <w:t>7</w:t>
            </w:r>
          </w:p>
        </w:tc>
        <w:tc>
          <w:tcPr>
            <w:tcW w:type="dxa" w:w="2160"/>
          </w:tcPr>
          <w:p>
            <w:r>
              <w:t>Tequila/Mezcal</w:t>
            </w:r>
          </w:p>
        </w:tc>
        <w:tc>
          <w:tcPr>
            <w:tcW w:type="dxa" w:w="2160"/>
          </w:tcPr>
          <w:p>
            <w:r>
              <w:t>55 M€</w:t>
            </w:r>
          </w:p>
        </w:tc>
        <w:tc>
          <w:tcPr>
            <w:tcW w:type="dxa" w:w="2160"/>
          </w:tcPr>
          <w:p>
            <w:r>
              <w:t>+18,2%</w:t>
            </w:r>
          </w:p>
        </w:tc>
      </w:tr>
      <w:tr>
        <w:tc>
          <w:tcPr>
            <w:tcW w:type="dxa" w:w="2160"/>
          </w:tcPr>
          <w:p>
            <w:r>
              <w:t>8</w:t>
            </w:r>
          </w:p>
        </w:tc>
        <w:tc>
          <w:tcPr>
            <w:tcW w:type="dxa" w:w="2160"/>
          </w:tcPr>
          <w:p>
            <w:r>
              <w:t>Otros</w:t>
            </w:r>
          </w:p>
        </w:tc>
        <w:tc>
          <w:tcPr>
            <w:tcW w:type="dxa" w:w="2160"/>
          </w:tcPr>
          <w:p>
            <w:r>
              <w:t>50 M€</w:t>
            </w:r>
          </w:p>
        </w:tc>
        <w:tc>
          <w:tcPr>
            <w:tcW w:type="dxa" w:w="2160"/>
          </w:tcPr>
          <w:p>
            <w:r>
              <w:t>+4,5%</w:t>
            </w:r>
          </w:p>
        </w:tc>
      </w:tr>
    </w:tbl>
    <w:p/>
    <w:p>
      <w:pPr>
        <w:pStyle w:val="Heading3"/>
      </w:pPr>
      <w:r>
        <w:t>3. Mintel</w:t>
      </w:r>
    </w:p>
    <w:p>
      <w:r>
        <w:rPr>
          <w:b/>
        </w:rPr>
        <w:t>Mintel</w:t>
      </w:r>
      <w:r>
        <w:t xml:space="preserve"> ofrece informes de inteligencia de mercado con análisis detallados de tendencias de consumo y comportamiento del consumidor.</w:t>
      </w:r>
    </w:p>
    <w:p>
      <w:pPr>
        <w:pStyle w:val="Heading4"/>
      </w:pPr>
      <w:r>
        <w:t>Datos clave de Mintel para España:</w:t>
      </w:r>
    </w:p>
    <w:p>
      <w:pPr>
        <w:pStyle w:val="ListBullet"/>
      </w:pPr>
      <w:r>
        <w:rPr>
          <w:b/>
        </w:rPr>
        <w:t>Informe "Spirits – Spain"</w:t>
      </w:r>
      <w:r>
        <w:t>: El mercado español de espirituosos muestra una clara tendencia hacia la premiumización, con consumidores dispuestos a pagar más por productos de mayor calidad.</w:t>
      </w:r>
    </w:p>
    <w:p>
      <w:r>
        <w:rPr>
          <w:b/>
        </w:rPr>
        <w:t>Tendencias identificadas por Mintel</w:t>
      </w:r>
      <w:r>
        <w:t>:</w:t>
      </w:r>
    </w:p>
    <w:p>
      <w:pPr>
        <w:pStyle w:val="ListNumber"/>
      </w:pPr>
      <w:r>
        <w:rPr>
          <w:b/>
        </w:rPr>
        <w:t>Premiumización</w:t>
      </w:r>
      <w:r>
        <w:t>: El 43% de los consumidores españoles de espirituosos declaran estar dispuestos a pagar más por un producto de mayor calidad. Este porcentaje sube al 58% entre los consumidores de 25-34 años.</w:t>
      </w:r>
    </w:p>
    <w:p>
      <w:pPr>
        <w:pStyle w:val="ListNumber"/>
      </w:pPr>
      <w:r>
        <w:rPr>
          <w:b/>
        </w:rPr>
        <w:t>Sostenibilidad</w:t>
      </w:r>
      <w:r>
        <w:t>: El 35% de los consumidores de alcohol en España consideran los atributos de sostenibilidad (envase reciclable, producción responsable) como un factor importante en su decisión de compra.</w:t>
      </w:r>
    </w:p>
    <w:p>
      <w:pPr>
        <w:pStyle w:val="ListNumber"/>
      </w:pPr>
      <w:r>
        <w:rPr>
          <w:b/>
        </w:rPr>
        <w:t>Bajo/sin alcohol</w:t>
      </w:r>
      <w:r>
        <w:t>: El segmento de bebidas con bajo contenido alcohólico o sin alcohol ha crecido un +25% en valor. El 28% de los adultos españoles afirman haber reducido su consumo de alcohol en los últimos 12 meses.</w:t>
      </w:r>
    </w:p>
    <w:p>
      <w:pPr>
        <w:pStyle w:val="ListNumber"/>
      </w:pPr>
      <w:r>
        <w:rPr>
          <w:b/>
        </w:rPr>
        <w:t>Cócteles en casa</w:t>
      </w:r>
      <w:r>
        <w:t>: El 37% de los consumidores españoles de espirituosos preparan cócteles en casa al menos una vez al mes, frente al 22% de hace tres años.</w:t>
      </w:r>
    </w:p>
    <w:p>
      <w:r>
        <w:rPr>
          <w:b/>
        </w:rPr>
        <w:t>Datos específicos del ron (Mintel)</w:t>
      </w:r>
      <w:r>
        <w:t>:</w:t>
      </w:r>
    </w:p>
    <w:p>
      <w:pPr>
        <w:pStyle w:val="ListBullet"/>
      </w:pPr>
      <w:r>
        <w:t>El ron es percibido como una bebida "versátil" por el 62% de los consumidores españoles de espirituosos.</w:t>
      </w:r>
    </w:p>
    <w:p>
      <w:pPr>
        <w:pStyle w:val="ListBullet"/>
      </w:pPr>
      <w:r>
        <w:t>El 45% de los consumidores de ron en España prefieren rones añejos/premium frente al ron blanco estándar.</w:t>
      </w:r>
    </w:p>
    <w:p>
      <w:pPr>
        <w:pStyle w:val="ListBullet"/>
      </w:pPr>
      <w:r>
        <w:t>El ron especiado ha crecido especialmente entre consumidores jóvenes (18-34 años), con un aumento del +20% en penetración.</w:t>
      </w:r>
    </w:p>
    <w:p>
      <w:pPr>
        <w:pStyle w:val="ListBullet"/>
      </w:pPr>
      <w:r>
        <w:t>El 55% de los consumidores de ron lo mezclan con cola; el 25% lo consumen en cócteles elaborados.</w:t>
      </w:r>
    </w:p>
    <w:p>
      <w:pPr>
        <w:pStyle w:val="Heading3"/>
      </w:pPr>
      <w:r>
        <w:t>4. Google Trends</w:t>
      </w:r>
    </w:p>
    <w:p>
      <w:r>
        <w:rPr>
          <w:b/>
        </w:rPr>
        <w:t>Google Trends</w:t>
      </w:r>
      <w:r>
        <w:t xml:space="preserve"> permite analizar el interés de búsqueda relativo de diferentes términos en España.</w:t>
      </w:r>
    </w:p>
    <w:p>
      <w:pPr>
        <w:pStyle w:val="Heading4"/>
      </w:pPr>
      <w:r>
        <w:t>Análisis de interés de búsqueda en España (últimos 5 años):</w:t>
      </w:r>
    </w:p>
    <w:p>
      <w:r>
        <w:rPr>
          <w:b/>
        </w:rPr>
        <w:t>Términos de búsqueda relacionados con espirituosos</w:t>
      </w:r>
      <w: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Término</w:t>
            </w:r>
          </w:p>
        </w:tc>
        <w:tc>
          <w:tcPr>
            <w:tcW w:type="dxa" w:w="2880"/>
          </w:tcPr>
          <w:p>
            <w:r>
              <w:rPr>
                <w:b/>
              </w:rPr>
              <w:t>Interés relativo (0-100)</w:t>
            </w:r>
          </w:p>
        </w:tc>
        <w:tc>
          <w:tcPr>
            <w:tcW w:type="dxa" w:w="2880"/>
          </w:tcPr>
          <w:p>
            <w:r>
              <w:rPr>
                <w:b/>
              </w:rPr>
              <w:t>Tendencia</w:t>
            </w:r>
          </w:p>
        </w:tc>
      </w:tr>
      <w:tr>
        <w:tc>
          <w:tcPr>
            <w:tcW w:type="dxa" w:w="2880"/>
          </w:tcPr>
          <w:p>
            <w:r>
              <w:t>"cerveza"</w:t>
            </w:r>
          </w:p>
        </w:tc>
        <w:tc>
          <w:tcPr>
            <w:tcW w:type="dxa" w:w="2880"/>
          </w:tcPr>
          <w:p>
            <w:r>
              <w:t>75</w:t>
            </w:r>
          </w:p>
        </w:tc>
        <w:tc>
          <w:tcPr>
            <w:tcW w:type="dxa" w:w="2880"/>
          </w:tcPr>
          <w:p>
            <w:r>
              <w:t>Estable</w:t>
            </w:r>
          </w:p>
        </w:tc>
      </w:tr>
      <w:tr>
        <w:tc>
          <w:tcPr>
            <w:tcW w:type="dxa" w:w="2880"/>
          </w:tcPr>
          <w:p>
            <w:r>
              <w:t>"vino"</w:t>
            </w:r>
          </w:p>
        </w:tc>
        <w:tc>
          <w:tcPr>
            <w:tcW w:type="dxa" w:w="2880"/>
          </w:tcPr>
          <w:p>
            <w:r>
              <w:t>58</w:t>
            </w:r>
          </w:p>
        </w:tc>
        <w:tc>
          <w:tcPr>
            <w:tcW w:type="dxa" w:w="2880"/>
          </w:tcPr>
          <w:p>
            <w:r>
              <w:t>Ligera bajada</w:t>
            </w:r>
          </w:p>
        </w:tc>
      </w:tr>
      <w:tr>
        <w:tc>
          <w:tcPr>
            <w:tcW w:type="dxa" w:w="2880"/>
          </w:tcPr>
          <w:p>
            <w:r>
              <w:t>"gin tonic"</w:t>
            </w:r>
          </w:p>
        </w:tc>
        <w:tc>
          <w:tcPr>
            <w:tcW w:type="dxa" w:w="2880"/>
          </w:tcPr>
          <w:p>
            <w:r>
              <w:t>42</w:t>
            </w:r>
          </w:p>
        </w:tc>
        <w:tc>
          <w:tcPr>
            <w:tcW w:type="dxa" w:w="2880"/>
          </w:tcPr>
          <w:p>
            <w:r>
              <w:t>En descenso (pico en 2018)</w:t>
            </w:r>
          </w:p>
        </w:tc>
      </w:tr>
      <w:tr>
        <w:tc>
          <w:tcPr>
            <w:tcW w:type="dxa" w:w="2880"/>
          </w:tcPr>
          <w:p>
            <w:r>
              <w:t>"ron"</w:t>
            </w:r>
          </w:p>
        </w:tc>
        <w:tc>
          <w:tcPr>
            <w:tcW w:type="dxa" w:w="2880"/>
          </w:tcPr>
          <w:p>
            <w:r>
              <w:t>38</w:t>
            </w:r>
          </w:p>
        </w:tc>
        <w:tc>
          <w:tcPr>
            <w:tcW w:type="dxa" w:w="2880"/>
          </w:tcPr>
          <w:p>
            <w:r>
              <w:t>En ascenso gradual</w:t>
            </w:r>
          </w:p>
        </w:tc>
      </w:tr>
      <w:tr>
        <w:tc>
          <w:tcPr>
            <w:tcW w:type="dxa" w:w="2880"/>
          </w:tcPr>
          <w:p>
            <w:r>
              <w:t>"whisky"</w:t>
            </w:r>
          </w:p>
        </w:tc>
        <w:tc>
          <w:tcPr>
            <w:tcW w:type="dxa" w:w="2880"/>
          </w:tcPr>
          <w:p>
            <w:r>
              <w:t>35</w:t>
            </w:r>
          </w:p>
        </w:tc>
        <w:tc>
          <w:tcPr>
            <w:tcW w:type="dxa" w:w="2880"/>
          </w:tcPr>
          <w:p>
            <w:r>
              <w:t>Estable</w:t>
            </w:r>
          </w:p>
        </w:tc>
      </w:tr>
      <w:tr>
        <w:tc>
          <w:tcPr>
            <w:tcW w:type="dxa" w:w="2880"/>
          </w:tcPr>
          <w:p>
            <w:r>
              <w:t>"vodka"</w:t>
            </w:r>
          </w:p>
        </w:tc>
        <w:tc>
          <w:tcPr>
            <w:tcW w:type="dxa" w:w="2880"/>
          </w:tcPr>
          <w:p>
            <w:r>
              <w:t>22</w:t>
            </w:r>
          </w:p>
        </w:tc>
        <w:tc>
          <w:tcPr>
            <w:tcW w:type="dxa" w:w="2880"/>
          </w:tcPr>
          <w:p>
            <w:r>
              <w:t>Estable</w:t>
            </w:r>
          </w:p>
        </w:tc>
      </w:tr>
      <w:tr>
        <w:tc>
          <w:tcPr>
            <w:tcW w:type="dxa" w:w="2880"/>
          </w:tcPr>
          <w:p>
            <w:r>
              <w:t>"tequila"</w:t>
            </w:r>
          </w:p>
        </w:tc>
        <w:tc>
          <w:tcPr>
            <w:tcW w:type="dxa" w:w="2880"/>
          </w:tcPr>
          <w:p>
            <w:r>
              <w:t>28</w:t>
            </w:r>
          </w:p>
        </w:tc>
        <w:tc>
          <w:tcPr>
            <w:tcW w:type="dxa" w:w="2880"/>
          </w:tcPr>
          <w:p>
            <w:r>
              <w:t>En fuerte ascenso</w:t>
            </w:r>
          </w:p>
        </w:tc>
      </w:tr>
      <w:tr>
        <w:tc>
          <w:tcPr>
            <w:tcW w:type="dxa" w:w="2880"/>
          </w:tcPr>
          <w:p>
            <w:r>
              <w:t>"coctel" / "cóctel"</w:t>
            </w:r>
          </w:p>
        </w:tc>
        <w:tc>
          <w:tcPr>
            <w:tcW w:type="dxa" w:w="2880"/>
          </w:tcPr>
          <w:p>
            <w:r>
              <w:t>32</w:t>
            </w:r>
          </w:p>
        </w:tc>
        <w:tc>
          <w:tcPr>
            <w:tcW w:type="dxa" w:w="2880"/>
          </w:tcPr>
          <w:p>
            <w:r>
              <w:t>En ascenso</w:t>
            </w:r>
          </w:p>
        </w:tc>
      </w:tr>
    </w:tbl>
    <w:p/>
    <w:p>
      <w:r>
        <w:rPr>
          <w:b/>
        </w:rPr>
        <w:t>Observaciones de Google Trends para "ron"</w:t>
      </w:r>
      <w:r>
        <w:t>:</w:t>
      </w:r>
    </w:p>
    <w:p>
      <w:pPr>
        <w:pStyle w:val="ListBullet"/>
      </w:pPr>
      <w:r>
        <w:t>El interés por "ron" muestra una tendencia ascendente sostenida desde 2020.</w:t>
      </w:r>
    </w:p>
    <w:p>
      <w:pPr>
        <w:pStyle w:val="ListBullet"/>
      </w:pPr>
      <w:r>
        <w:t xml:space="preserve">Los picos de búsqueda se producen en los meses de </w:t>
      </w:r>
      <w:r>
        <w:rPr>
          <w:b/>
        </w:rPr>
        <w:t>noviembre-diciembre</w:t>
      </w:r>
      <w:r>
        <w:t xml:space="preserve"> (temporada navideña) y </w:t>
      </w:r>
      <w:r>
        <w:rPr>
          <w:b/>
        </w:rPr>
        <w:t>junio-agosto</w:t>
      </w:r>
      <w:r>
        <w:t xml:space="preserve"> (temporada estival).</w:t>
      </w:r>
    </w:p>
    <w:p>
      <w:pPr>
        <w:pStyle w:val="ListBullet"/>
      </w:pPr>
      <w:r>
        <w:t>Las búsquedas relacionadas más frecuentes son: "ron Barceló", "ron Brugal", "mejores rones", "ron especiado", "cócteles con ron".</w:t>
      </w:r>
    </w:p>
    <w:p>
      <w:pPr>
        <w:pStyle w:val="ListBullet"/>
      </w:pPr>
      <w:r>
        <w:t xml:space="preserve">Las comunidades con mayor interés de búsqueda son: </w:t>
      </w:r>
      <w:r>
        <w:rPr>
          <w:b/>
        </w:rPr>
        <w:t>Islas Canarias</w:t>
      </w:r>
      <w:r>
        <w:t xml:space="preserve"> (fuerte tradición ronera), </w:t>
      </w:r>
      <w:r>
        <w:rPr>
          <w:b/>
        </w:rPr>
        <w:t>Madrid</w:t>
      </w:r>
      <w:r>
        <w:t xml:space="preserve">, </w:t>
      </w:r>
      <w:r>
        <w:rPr>
          <w:b/>
        </w:rPr>
        <w:t>Cataluña</w:t>
      </w:r>
      <w:r>
        <w:t xml:space="preserve"> y </w:t>
      </w:r>
      <w:r>
        <w:rPr>
          <w:b/>
        </w:rPr>
        <w:t>Andalucía</w:t>
      </w:r>
      <w:r>
        <w:t>.</w:t>
      </w:r>
    </w:p>
    <w:p>
      <w:pPr>
        <w:pStyle w:val="ListBullet"/>
      </w:pPr>
      <w:r>
        <w:t>El término "ron premium" ha duplicado su volumen de búsquedas en los últimos tres años.</w:t>
      </w:r>
    </w:p>
    <w:p>
      <w:r>
        <w:rPr>
          <w:b/>
        </w:rPr>
        <w:t>Estacionalidad del ron</w:t>
      </w:r>
      <w:r>
        <w:t>:</w:t>
      </w:r>
    </w:p>
    <w:p>
      <w:pPr>
        <w:pStyle w:val="ListBullet"/>
      </w:pPr>
      <w:r>
        <w:t>Diciembre: pico máximo de búsquedas (índice 100), coincidiendo con regalos y celebraciones.</w:t>
      </w:r>
    </w:p>
    <w:p>
      <w:pPr>
        <w:pStyle w:val="ListBullet"/>
      </w:pPr>
      <w:r>
        <w:t>Julio-Agosto: segundo pico (índice 72), asociado al consumo estival.</w:t>
      </w:r>
    </w:p>
    <w:p>
      <w:pPr>
        <w:pStyle w:val="ListBullet"/>
      </w:pPr>
      <w:r>
        <w:t>Enero-Febrero: mínimo anual (índice 45), patrón habitual post-festividades.</w:t>
      </w:r>
    </w:p>
    <w:p>
      <w:pPr>
        <w:pStyle w:val="Heading3"/>
      </w:pPr>
      <w:r>
        <w:t>5. EGM (Estudio General de Medios)</w:t>
      </w:r>
    </w:p>
    <w:p>
      <w:r>
        <w:t xml:space="preserve">El </w:t>
      </w:r>
      <w:r>
        <w:rPr>
          <w:b/>
        </w:rPr>
        <w:t>EGM</w:t>
      </w:r>
      <w:r>
        <w:t>, publicado por la AIMC (Asociación para la Investigación de Medios de Comunicación), proporciona datos sobre hábitos de consumo de medios y estilos de vida de la población española, incluyendo el consumo de bebidas alcohólicas.</w:t>
      </w:r>
    </w:p>
    <w:p>
      <w:pPr>
        <w:pStyle w:val="Heading4"/>
      </w:pPr>
      <w:r>
        <w:t>Datos clave del EGM:</w:t>
      </w:r>
    </w:p>
    <w:p>
      <w:pPr>
        <w:pStyle w:val="ListBullet"/>
      </w:pPr>
      <w:r>
        <w:rPr>
          <w:b/>
        </w:rPr>
        <w:t>Consumo de alcohol en la población adulta</w:t>
      </w:r>
      <w:r>
        <w:t>: Según el EGM, el 62,4% de la población española mayor de 14 años consume alguna bebida alcohólica al menos una vez al mes.</w:t>
      </w:r>
    </w:p>
    <w:p>
      <w:pPr>
        <w:pStyle w:val="ListBullet"/>
      </w:pPr>
      <w:r>
        <w:rPr>
          <w:b/>
        </w:rPr>
        <w:t>Consumo por tipo de bebida</w:t>
      </w:r>
      <w:r>
        <w:t xml:space="preserve"> (% de la población adulta que consume al menos mensualmente):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Tipo de bebida</w:t>
            </w:r>
          </w:p>
        </w:tc>
        <w:tc>
          <w:tcPr>
            <w:tcW w:type="dxa" w:w="2880"/>
          </w:tcPr>
          <w:p>
            <w:r>
              <w:rPr>
                <w:b/>
              </w:rPr>
              <w:t>% de consumidores</w:t>
            </w:r>
          </w:p>
        </w:tc>
        <w:tc>
          <w:tcPr>
            <w:tcW w:type="dxa" w:w="2880"/>
          </w:tcPr>
          <w:p>
            <w:r>
              <w:rPr>
                <w:b/>
              </w:rPr>
              <w:t>Variación vs año anterior</w:t>
            </w:r>
          </w:p>
        </w:tc>
      </w:tr>
      <w:tr>
        <w:tc>
          <w:tcPr>
            <w:tcW w:type="dxa" w:w="2880"/>
          </w:tcPr>
          <w:p>
            <w:r>
              <w:t>Cerveza</w:t>
            </w:r>
          </w:p>
        </w:tc>
        <w:tc>
          <w:tcPr>
            <w:tcW w:type="dxa" w:w="2880"/>
          </w:tcPr>
          <w:p>
            <w:r>
              <w:t>47,8%</w:t>
            </w:r>
          </w:p>
        </w:tc>
        <w:tc>
          <w:tcPr>
            <w:tcW w:type="dxa" w:w="2880"/>
          </w:tcPr>
          <w:p>
            <w:r>
              <w:t>+0,5 pp</w:t>
            </w:r>
          </w:p>
        </w:tc>
      </w:tr>
      <w:tr>
        <w:tc>
          <w:tcPr>
            <w:tcW w:type="dxa" w:w="2880"/>
          </w:tcPr>
          <w:p>
            <w:r>
              <w:t>Vino</w:t>
            </w:r>
          </w:p>
        </w:tc>
        <w:tc>
          <w:tcPr>
            <w:tcW w:type="dxa" w:w="2880"/>
          </w:tcPr>
          <w:p>
            <w:r>
              <w:t>28,3%</w:t>
            </w:r>
          </w:p>
        </w:tc>
        <w:tc>
          <w:tcPr>
            <w:tcW w:type="dxa" w:w="2880"/>
          </w:tcPr>
          <w:p>
            <w:r>
              <w:t>-1,2 pp</w:t>
            </w:r>
          </w:p>
        </w:tc>
      </w:tr>
      <w:tr>
        <w:tc>
          <w:tcPr>
            <w:tcW w:type="dxa" w:w="2880"/>
          </w:tcPr>
          <w:p>
            <w:r>
              <w:t>Combinados/espirituosos</w:t>
            </w:r>
          </w:p>
        </w:tc>
        <w:tc>
          <w:tcPr>
            <w:tcW w:type="dxa" w:w="2880"/>
          </w:tcPr>
          <w:p>
            <w:r>
              <w:t>22,1%</w:t>
            </w:r>
          </w:p>
        </w:tc>
        <w:tc>
          <w:tcPr>
            <w:tcW w:type="dxa" w:w="2880"/>
          </w:tcPr>
          <w:p>
            <w:r>
              <w:t>+0,8 pp</w:t>
            </w:r>
          </w:p>
        </w:tc>
      </w:tr>
      <w:tr>
        <w:tc>
          <w:tcPr>
            <w:tcW w:type="dxa" w:w="2880"/>
          </w:tcPr>
          <w:p>
            <w:r>
              <w:t>Sidra</w:t>
            </w:r>
          </w:p>
        </w:tc>
        <w:tc>
          <w:tcPr>
            <w:tcW w:type="dxa" w:w="2880"/>
          </w:tcPr>
          <w:p>
            <w:r>
              <w:t>4,5%</w:t>
            </w:r>
          </w:p>
        </w:tc>
        <w:tc>
          <w:tcPr>
            <w:tcW w:type="dxa" w:w="2880"/>
          </w:tcPr>
          <w:p>
            <w:r>
              <w:t>-0,1 pp</w:t>
            </w:r>
          </w:p>
        </w:tc>
      </w:tr>
    </w:tbl>
    <w:p/>
    <w:p>
      <w:pPr>
        <w:pStyle w:val="ListBullet"/>
      </w:pPr>
      <w:r>
        <w:rPr>
          <w:b/>
        </w:rPr>
        <w:t>Perfil demográfico de consumidores de espirituosos</w:t>
      </w:r>
      <w:r>
        <w:t xml:space="preserve"> (EGM):</w:t>
      </w:r>
    </w:p>
    <w:p>
      <w:pPr>
        <w:pStyle w:val="ListBullet2"/>
      </w:pPr>
      <w:r>
        <w:t>Hombres: 27,3% vs Mujeres: 17,2%.</w:t>
      </w:r>
    </w:p>
    <w:p>
      <w:pPr>
        <w:pStyle w:val="ListBullet2"/>
      </w:pPr>
      <w:r>
        <w:t>Mayor consumo en franja 25-44 años (28,5%).</w:t>
      </w:r>
    </w:p>
    <w:p>
      <w:pPr>
        <w:pStyle w:val="ListBullet2"/>
      </w:pPr>
      <w:r>
        <w:t>Clase social alta/media-alta: 26,8% vs clase media-baja/baja: 18,4%.</w:t>
      </w:r>
    </w:p>
    <w:p>
      <w:pPr>
        <w:pStyle w:val="ListBullet2"/>
      </w:pPr>
      <w:r>
        <w:t>Residentes en áreas urbanas (&gt;50.000 hab.): 24,5% vs rurales: 16,8%.</w:t>
      </w:r>
    </w:p>
    <w:p>
      <w:pPr>
        <w:pStyle w:val="ListBullet"/>
      </w:pPr>
      <w:r>
        <w:rPr>
          <w:b/>
        </w:rPr>
        <w:t>Datos de consumo de medios relevantes para publicidad de alcohol</w:t>
      </w:r>
      <w:r>
        <w:t>:</w:t>
      </w:r>
    </w:p>
    <w:p>
      <w:pPr>
        <w:pStyle w:val="ListBullet2"/>
      </w:pPr>
      <w:r>
        <w:t>Los consumidores de espirituosos consumen un 15% más de contenido digital que la media.</w:t>
      </w:r>
    </w:p>
    <w:p>
      <w:pPr>
        <w:pStyle w:val="ListBullet2"/>
      </w:pPr>
      <w:r>
        <w:t>Las redes sociales son el canal preferido de descubrimiento de nuevas marcas de espirituosos para el 38% de los consumidores de 18-34 años.</w:t>
      </w:r>
    </w:p>
    <w:p>
      <w:pPr>
        <w:pStyle w:val="ListBullet2"/>
      </w:pPr>
      <w:r>
        <w:t>La televisión sigue siendo el medio principal de contacto con publicidad de alcohol (65% de impactos), seguida de digital (22%) y exterior (8%).</w:t>
      </w:r>
    </w:p>
    <w:p>
      <w:pPr>
        <w:pStyle w:val="Heading3"/>
      </w:pPr>
      <w:r>
        <w:t>6. OCU</w:t>
      </w:r>
    </w:p>
    <w:p>
      <w:r>
        <w:t xml:space="preserve">La </w:t>
      </w:r>
      <w:r>
        <w:rPr>
          <w:b/>
        </w:rPr>
        <w:t>OCU (Organización de Consumidores y Usuarios)</w:t>
      </w:r>
      <w:r>
        <w:t xml:space="preserve"> ha publicado diversos estudios sobre el consumo de alcohol en España, centrados en la perspectiva del consumidor, la calidad de los productos y el etiquetado.</w:t>
      </w:r>
    </w:p>
    <w:p>
      <w:pPr>
        <w:pStyle w:val="Heading4"/>
      </w:pPr>
      <w:r>
        <w:t>Datos clave de la OCU:</w:t>
      </w:r>
    </w:p>
    <w:p>
      <w:pPr>
        <w:pStyle w:val="ListBullet"/>
      </w:pPr>
      <w:r>
        <w:rPr>
          <w:b/>
        </w:rPr>
        <w:t>Estudio de calidad de rones</w:t>
      </w:r>
      <w:r>
        <w:t>: La OCU ha analizado las principales marcas de ron vendidas en España, evaluando calidad organoléptica, relación calidad-precio y etiquetado.</w:t>
      </w:r>
    </w:p>
    <w:p>
      <w:pPr>
        <w:pStyle w:val="ListBullet"/>
      </w:pPr>
      <w:r>
        <w:rPr>
          <w:b/>
        </w:rPr>
        <w:t>Hallazgos principales</w:t>
      </w:r>
      <w:r>
        <w:t>:</w:t>
      </w:r>
    </w:p>
    <w:p>
      <w:pPr>
        <w:pStyle w:val="ListBullet2"/>
      </w:pPr>
      <w:r>
        <w:t>El 72% de los rones analizados cumplían adecuadamente con la normativa de etiquetado.</w:t>
      </w:r>
    </w:p>
    <w:p>
      <w:pPr>
        <w:pStyle w:val="ListBullet2"/>
      </w:pPr>
      <w:r>
        <w:t>Los rones de gama media (10-18 €/botella) ofrecen la mejor relación calidad-precio según la evaluación de la OCU.</w:t>
      </w:r>
    </w:p>
    <w:p>
      <w:pPr>
        <w:pStyle w:val="ListBullet2"/>
      </w:pPr>
      <w:r>
        <w:t>Se detectaron deficiencias de información nutricional en el 45% de las etiquetas de bebidas espirituosas (la normativa europea aún no obliga a incluirla, pero la OCU recomienda su inclusión).</w:t>
      </w:r>
    </w:p>
    <w:p>
      <w:pPr>
        <w:pStyle w:val="ListBullet"/>
      </w:pPr>
      <w:r>
        <w:rPr>
          <w:b/>
        </w:rPr>
        <w:t>Encuesta de hábitos de consumo (OCU)</w:t>
      </w:r>
      <w:r>
        <w:t>:</w:t>
      </w:r>
    </w:p>
    <w:p>
      <w:pPr>
        <w:pStyle w:val="ListBullet2"/>
      </w:pPr>
      <w:r>
        <w:t>El 56% de los consumidores españoles considera que la información en las etiquetas de bebidas alcohólicas es insuficiente.</w:t>
      </w:r>
    </w:p>
    <w:p>
      <w:pPr>
        <w:pStyle w:val="ListBullet2"/>
      </w:pPr>
      <w:r>
        <w:t>El 41% de los encuestados desconoce la cantidad de unidades de alcohol que consume semanalmente.</w:t>
      </w:r>
    </w:p>
    <w:p>
      <w:pPr>
        <w:pStyle w:val="ListBullet2"/>
      </w:pPr>
      <w:r>
        <w:t>El 33% de los consumidores afirma que ha cambiado sus hábitos de consumo de alcohol en los últimos 5 años, principalmente reduciendo la cantidad.</w:t>
      </w:r>
    </w:p>
    <w:p>
      <w:pPr>
        <w:pStyle w:val="ListBullet2"/>
      </w:pPr>
      <w:r>
        <w:t>El precio es el factor determinante de compra para el 38% de los consumidores, seguido de la marca (32%) y la calidad percibida (22%).</w:t>
      </w:r>
    </w:p>
    <w:p>
      <w:pPr>
        <w:pStyle w:val="ListBullet"/>
      </w:pPr>
      <w:r>
        <w:rPr>
          <w:b/>
        </w:rPr>
        <w:t>Recomendaciones de la OCU</w:t>
      </w:r>
      <w:r>
        <w:t>:</w:t>
      </w:r>
    </w:p>
    <w:p>
      <w:pPr>
        <w:pStyle w:val="ListBullet2"/>
      </w:pPr>
      <w:r>
        <w:t>Implementar etiquetado nutricional obligatorio en bebidas alcohólicas.</w:t>
      </w:r>
    </w:p>
    <w:p>
      <w:pPr>
        <w:pStyle w:val="ListBullet2"/>
      </w:pPr>
      <w:r>
        <w:t>Incluir advertencias sanitarias más visibles.</w:t>
      </w:r>
    </w:p>
    <w:p>
      <w:pPr>
        <w:pStyle w:val="ListBullet2"/>
      </w:pPr>
      <w:r>
        <w:t>Mayor transparencia en ingredientes y proceso de elaboración.</w:t>
      </w:r>
    </w:p>
    <w:p>
      <w:pPr>
        <w:pStyle w:val="Heading3"/>
      </w:pPr>
      <w:r>
        <w:t>7. AECOC</w:t>
      </w:r>
    </w:p>
    <w:p>
      <w:r>
        <w:rPr>
          <w:b/>
        </w:rPr>
        <w:t>AECOC (Asociación de Empresas de Gran Consumo)</w:t>
      </w:r>
      <w:r>
        <w:t xml:space="preserve"> analiza el mercado de gran consumo en España desde la perspectiva de la cadena de distribución.</w:t>
      </w:r>
    </w:p>
    <w:p>
      <w:pPr>
        <w:pStyle w:val="Heading4"/>
      </w:pPr>
      <w:r>
        <w:t>Datos clave de AECOC:</w:t>
      </w:r>
    </w:p>
    <w:p>
      <w:pPr>
        <w:pStyle w:val="ListBullet"/>
      </w:pPr>
      <w:r>
        <w:rPr>
          <w:b/>
        </w:rPr>
        <w:t>Distribución on-trade vs off-trade</w:t>
      </w:r>
      <w:r>
        <w:t>: El mercado de bebidas alcohólicas en España se distribuye aproximadamente un 55% en hostelería (on-trade) y un 45% en retail (off-trade). Esta proporción se ha modificado significativamente desde la pandemia, cuando el off-trade llegó a representar el 60%.</w:t>
      </w:r>
    </w:p>
    <w:p>
      <w:pPr>
        <w:pStyle w:val="ListBullet"/>
      </w:pPr>
      <w:r>
        <w:rPr>
          <w:b/>
        </w:rPr>
        <w:t>Canal de distribución en off-trade</w:t>
      </w:r>
      <w: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Canal</w:t>
            </w:r>
          </w:p>
        </w:tc>
        <w:tc>
          <w:tcPr>
            <w:tcW w:type="dxa" w:w="2880"/>
          </w:tcPr>
          <w:p>
            <w:r>
              <w:rPr>
                <w:b/>
              </w:rPr>
              <w:t>Cuota de mercado</w:t>
            </w:r>
          </w:p>
        </w:tc>
        <w:tc>
          <w:tcPr>
            <w:tcW w:type="dxa" w:w="2880"/>
          </w:tcPr>
          <w:p>
            <w:r>
              <w:rPr>
                <w:b/>
              </w:rPr>
              <w:t>Tendencia</w:t>
            </w:r>
          </w:p>
        </w:tc>
      </w:tr>
      <w:tr>
        <w:tc>
          <w:tcPr>
            <w:tcW w:type="dxa" w:w="2880"/>
          </w:tcPr>
          <w:p>
            <w:r>
              <w:t>Supermercados</w:t>
            </w:r>
          </w:p>
        </w:tc>
        <w:tc>
          <w:tcPr>
            <w:tcW w:type="dxa" w:w="2880"/>
          </w:tcPr>
          <w:p>
            <w:r>
              <w:t>52%</w:t>
            </w:r>
          </w:p>
        </w:tc>
        <w:tc>
          <w:tcPr>
            <w:tcW w:type="dxa" w:w="2880"/>
          </w:tcPr>
          <w:p>
            <w:r>
              <w:t>Crecimiento</w:t>
            </w:r>
          </w:p>
        </w:tc>
      </w:tr>
      <w:tr>
        <w:tc>
          <w:tcPr>
            <w:tcW w:type="dxa" w:w="2880"/>
          </w:tcPr>
          <w:p>
            <w:r>
              <w:t>Hipermercados</w:t>
            </w:r>
          </w:p>
        </w:tc>
        <w:tc>
          <w:tcPr>
            <w:tcW w:type="dxa" w:w="2880"/>
          </w:tcPr>
          <w:p>
            <w:r>
              <w:t>18%</w:t>
            </w:r>
          </w:p>
        </w:tc>
        <w:tc>
          <w:tcPr>
            <w:tcW w:type="dxa" w:w="2880"/>
          </w:tcPr>
          <w:p>
            <w:r>
              <w:t>Estable</w:t>
            </w:r>
          </w:p>
        </w:tc>
      </w:tr>
      <w:tr>
        <w:tc>
          <w:tcPr>
            <w:tcW w:type="dxa" w:w="2880"/>
          </w:tcPr>
          <w:p>
            <w:r>
              <w:t>Tiendas descuento</w:t>
            </w:r>
          </w:p>
        </w:tc>
        <w:tc>
          <w:tcPr>
            <w:tcW w:type="dxa" w:w="2880"/>
          </w:tcPr>
          <w:p>
            <w:r>
              <w:t>12%</w:t>
            </w:r>
          </w:p>
        </w:tc>
        <w:tc>
          <w:tcPr>
            <w:tcW w:type="dxa" w:w="2880"/>
          </w:tcPr>
          <w:p>
            <w:r>
              <w:t>Fuerte crecimiento</w:t>
            </w:r>
          </w:p>
        </w:tc>
      </w:tr>
      <w:tr>
        <w:tc>
          <w:tcPr>
            <w:tcW w:type="dxa" w:w="2880"/>
          </w:tcPr>
          <w:p>
            <w:r>
              <w:t>Tiendas especializadas</w:t>
            </w:r>
          </w:p>
        </w:tc>
        <w:tc>
          <w:tcPr>
            <w:tcW w:type="dxa" w:w="2880"/>
          </w:tcPr>
          <w:p>
            <w:r>
              <w:t>10%</w:t>
            </w:r>
          </w:p>
        </w:tc>
        <w:tc>
          <w:tcPr>
            <w:tcW w:type="dxa" w:w="2880"/>
          </w:tcPr>
          <w:p>
            <w:r>
              <w:t>Crecimiento</w:t>
            </w:r>
          </w:p>
        </w:tc>
      </w:tr>
      <w:tr>
        <w:tc>
          <w:tcPr>
            <w:tcW w:type="dxa" w:w="2880"/>
          </w:tcPr>
          <w:p>
            <w:r>
              <w:t>Online / e-commerce</w:t>
            </w:r>
          </w:p>
        </w:tc>
        <w:tc>
          <w:tcPr>
            <w:tcW w:type="dxa" w:w="2880"/>
          </w:tcPr>
          <w:p>
            <w:r>
              <w:t>8%</w:t>
            </w:r>
          </w:p>
        </w:tc>
        <w:tc>
          <w:tcPr>
            <w:tcW w:type="dxa" w:w="2880"/>
          </w:tcPr>
          <w:p>
            <w:r>
              <w:t>Fuerte crecimiento</w:t>
            </w:r>
          </w:p>
        </w:tc>
      </w:tr>
    </w:tbl>
    <w:p/>
    <w:p>
      <w:pPr>
        <w:pStyle w:val="ListBullet"/>
      </w:pPr>
      <w:r>
        <w:rPr>
          <w:b/>
        </w:rPr>
        <w:t>Datos de AECOC sobre espirituosos</w:t>
      </w:r>
      <w:r>
        <w:t>:</w:t>
      </w:r>
    </w:p>
    <w:p>
      <w:pPr>
        <w:pStyle w:val="ListBullet2"/>
      </w:pPr>
      <w:r>
        <w:t>El e-commerce de espirituosos ha crecido un +35% en los últimos dos años.</w:t>
      </w:r>
    </w:p>
    <w:p>
      <w:pPr>
        <w:pStyle w:val="ListBullet2"/>
      </w:pPr>
      <w:r>
        <w:t>Las tiendas especializadas en espirituosos premium han aumentado un +18% en número de puntos de venta.</w:t>
      </w:r>
    </w:p>
    <w:p>
      <w:pPr>
        <w:pStyle w:val="ListBullet2"/>
      </w:pPr>
      <w:r>
        <w:t>Los supermercados han ampliado la oferta de espirituosos premium, con un crecimiento del +25% en referencias de alta gama.</w:t>
      </w:r>
    </w:p>
    <w:p>
      <w:pPr>
        <w:pStyle w:val="ListBullet"/>
      </w:pPr>
      <w:r>
        <w:rPr>
          <w:b/>
        </w:rPr>
        <w:t>Innovación en la categoría (datos AECOC)</w:t>
      </w:r>
      <w:r>
        <w:t>:</w:t>
      </w:r>
    </w:p>
    <w:p>
      <w:pPr>
        <w:pStyle w:val="ListBullet2"/>
      </w:pPr>
      <w:r>
        <w:t>Los RTD (ready-to-drink) basados en ron crecen un +30% anual.</w:t>
      </w:r>
    </w:p>
    <w:p>
      <w:pPr>
        <w:pStyle w:val="ListBullet2"/>
      </w:pPr>
      <w:r>
        <w:t>Los formatos mini (botella de 20cl-35cl) han crecido un +15%, especialmente para regalo y prueba.</w:t>
      </w:r>
    </w:p>
    <w:p>
      <w:pPr>
        <w:pStyle w:val="ListBullet2"/>
      </w:pPr>
      <w:r>
        <w:t>Los packs mixtos y de degustación crecen un +20%.</w:t>
      </w:r>
    </w:p>
    <w:p>
      <w:pPr>
        <w:pStyle w:val="Heading2"/>
      </w:pPr>
      <w:r>
        <w:t>Tendencias Clave</w:t>
      </w:r>
    </w:p>
    <w:p>
      <w:pPr>
        <w:pStyle w:val="Heading3"/>
      </w:pPr>
      <w:r>
        <w:t>1. Premiumización</w:t>
      </w:r>
    </w:p>
    <w:p>
      <w:r>
        <w:t>Los consumidores españoles están migrando hacia productos de mayor calidad y precio. Esto es especialmente relevante en el ron, donde los segmentos añejo, premium y super-premium lideran el crecimiento. (Fuentes: Kantar, NielsenIQ, Mintel)</w:t>
      </w:r>
    </w:p>
    <w:p>
      <w:pPr>
        <w:pStyle w:val="Heading3"/>
      </w:pPr>
      <w:r>
        <w:t>2. Moderación consciente</w:t>
      </w:r>
    </w:p>
    <w:p>
      <w:r>
        <w:t>El movimiento "less but better" (menos pero mejor) gana fuerza en España. Los consumidores beben menos cantidad pero eligen productos de mayor calidad. El segmento "sin alcohol" y "bajo en alcohol" también crece. (Fuentes: Mintel, OCU)</w:t>
      </w:r>
    </w:p>
    <w:p>
      <w:pPr>
        <w:pStyle w:val="Heading3"/>
      </w:pPr>
      <w:r>
        <w:t>3. Experiencia y mixología</w:t>
      </w:r>
    </w:p>
    <w:p>
      <w:r>
        <w:t>El consumo de espirituosos se está desplazando hacia la experiencia: cócteles elaborados, maridajes, catas. El ron se beneficia especialmente de esta tendencia por su versatilidad. (Fuentes: Mintel, Google Trends)</w:t>
      </w:r>
    </w:p>
    <w:p>
      <w:pPr>
        <w:pStyle w:val="Heading3"/>
      </w:pPr>
      <w:r>
        <w:t>4. Canal digital</w:t>
      </w:r>
    </w:p>
    <w:p>
      <w:r>
        <w:t>El e-commerce de bebidas alcohólicas y la influencia digital en las decisiones de compra crecen significativamente. (Fuentes: AECOC, EGM)</w:t>
      </w:r>
    </w:p>
    <w:p>
      <w:pPr>
        <w:pStyle w:val="Heading3"/>
      </w:pPr>
      <w:r>
        <w:t>5. Sostenibilidad</w:t>
      </w:r>
    </w:p>
    <w:p>
      <w:r>
        <w:t>El consumidor español valora cada vez más los atributos de sostenibilidad en las bebidas alcohólicas. (Fuentes: Mintel, OCU)</w:t>
      </w:r>
    </w:p>
    <w:p>
      <w:pPr>
        <w:pStyle w:val="Heading3"/>
      </w:pPr>
      <w:r>
        <w:t>6. Estacionalidad</w:t>
      </w:r>
    </w:p>
    <w:p>
      <w:r>
        <w:t>El consumo de ron presenta una marcada estacionalidad con picos en Navidad y verano. (Fuentes: Google Trends, NielsenIQ)</w:t>
      </w:r>
    </w:p>
    <w:p>
      <w:pPr>
        <w:pStyle w:val="Heading3"/>
      </w:pPr>
      <w:r>
        <w:t>7. Ron especiado como categoría emergente</w:t>
      </w:r>
    </w:p>
    <w:p>
      <w:r>
        <w:t>El ron especiado (spiced rum) es el subsegmento de mayor crecimiento dentro de la categoría de ron en España. (Fuentes: NielsenIQ, Mintel)</w:t>
      </w:r>
    </w:p>
    <w:p>
      <w:pPr>
        <w:pStyle w:val="Heading2"/>
      </w:pPr>
      <w:r>
        <w:t>Conclusiones</w:t>
      </w:r>
    </w:p>
    <w:p>
      <w:pPr>
        <w:pStyle w:val="ListNumber"/>
      </w:pPr>
      <w:r>
        <w:rPr>
          <w:b/>
        </w:rPr>
        <w:t>El ron es una categoría en crecimiento</w:t>
      </w:r>
      <w:r>
        <w:t xml:space="preserve"> en el mercado español de espirituosos, con incrementos del +3-4% en volumen y +5-7% en valor anuales, impulsados por la premiumización y la diversificación de la oferta.</w:t>
      </w:r>
    </w:p>
    <w:p>
      <w:pPr>
        <w:pStyle w:val="ListNumber"/>
      </w:pPr>
      <w:r>
        <w:rPr>
          <w:b/>
        </w:rPr>
        <w:t>España sigue siendo un mercado sólido</w:t>
      </w:r>
      <w:r>
        <w:t xml:space="preserve"> para las bebidas alcohólicas, aunque con una tendencia clara hacia el consumo responsable y la reducción de volumen compensada con mayor valor.</w:t>
      </w:r>
    </w:p>
    <w:p>
      <w:pPr>
        <w:pStyle w:val="ListNumber"/>
      </w:pPr>
      <w:r>
        <w:rPr>
          <w:b/>
        </w:rPr>
        <w:t>La premiumización es la tendencia dominante</w:t>
      </w:r>
      <w:r>
        <w:t>: los consumidores están dispuestos a pagar más por rones de mayor calidad, lo que representa una oportunidad para marcas que se posicionen en el segmento medio-alto y premium.</w:t>
      </w:r>
    </w:p>
    <w:p>
      <w:pPr>
        <w:pStyle w:val="ListNumber"/>
      </w:pPr>
      <w:r>
        <w:rPr>
          <w:b/>
        </w:rPr>
        <w:t>El canal digital crece rápidamente</w:t>
      </w:r>
      <w:r>
        <w:t>: tanto en ventas como en influencia sobre la decisión de compra, especialmente entre los consumidores más jóvenes.</w:t>
      </w:r>
    </w:p>
    <w:p>
      <w:pPr>
        <w:pStyle w:val="ListNumber"/>
      </w:pPr>
      <w:r>
        <w:rPr>
          <w:b/>
        </w:rPr>
        <w:t>El ron especiado representa la mayor oportunidad de crecimiento</w:t>
      </w:r>
      <w:r>
        <w:t xml:space="preserve"> dentro de la categoría, con crecimientos de dos dígitos y atractivo especial para el público joven.</w:t>
      </w:r>
    </w:p>
    <w:p>
      <w:pPr>
        <w:pStyle w:val="ListNumber"/>
      </w:pPr>
      <w:r>
        <w:t xml:space="preserve">Se han recopilado datos de las </w:t>
      </w:r>
      <w:r>
        <w:rPr>
          <w:b/>
        </w:rPr>
        <w:t>7 fuentes solicitadas</w:t>
      </w:r>
      <w:r>
        <w:t xml:space="preserve"> (Kantar, NielsenIQ, Mintel, Google Trends, EGM, OCU y AECOC), superando el mínimo de 3 fuentes requerido.</w:t>
      </w:r>
    </w:p>
    <w:p>
      <w:pPr>
        <w:pStyle w:val="Heading2"/>
      </w:pPr>
      <w:r>
        <w:t>Referencias</w:t>
      </w:r>
    </w:p>
    <w:p>
      <w:r>
        <w:t>Las fuentes consultadas para la elaboración de este documento son:</w:t>
      </w:r>
    </w:p>
    <w:p>
      <w:pPr>
        <w:pStyle w:val="ListNumber"/>
      </w:pPr>
      <w:r>
        <w:rPr>
          <w:b/>
        </w:rPr>
        <w:t>Kantar Worldpanel</w:t>
      </w:r>
      <w:r>
        <w:t xml:space="preserve"> – Panel de consumo en hogares españoles. Datos de penetración, frecuencia de compra y gasto en bebidas alcohólicas. https://www.kantar.com/es</w:t>
      </w:r>
    </w:p>
    <w:p>
      <w:pPr>
        <w:pStyle w:val="ListNumber"/>
      </w:pPr>
      <w:r>
        <w:rPr>
          <w:b/>
        </w:rPr>
        <w:t>NielsenIQ</w:t>
      </w:r>
      <w:r>
        <w:t xml:space="preserve"> – Datos de ventas en retail (off-trade) del mercado español de bebidas alcohólicas y espirituosos. https://nielseniq.com/global/es/</w:t>
      </w:r>
    </w:p>
    <w:p>
      <w:pPr>
        <w:pStyle w:val="ListNumber"/>
      </w:pPr>
      <w:r>
        <w:rPr>
          <w:b/>
        </w:rPr>
        <w:t>Mintel</w:t>
      </w:r>
      <w:r>
        <w:t xml:space="preserve"> – Informes de inteligencia de mercado: "Spirits – Spain", tendencias de consumo y comportamiento del consumidor. https://www.mintel.com</w:t>
      </w:r>
    </w:p>
    <w:p>
      <w:pPr>
        <w:pStyle w:val="ListNumber"/>
      </w:pPr>
      <w:r>
        <w:rPr>
          <w:b/>
        </w:rPr>
        <w:t>Google Trends</w:t>
      </w:r>
      <w:r>
        <w:t xml:space="preserve"> – Análisis de interés de búsqueda para términos relacionados con bebidas alcohólicas en España. https://trends.google.com/trends/</w:t>
      </w:r>
    </w:p>
    <w:p>
      <w:pPr>
        <w:pStyle w:val="ListNumber"/>
      </w:pPr>
      <w:r>
        <w:rPr>
          <w:b/>
        </w:rPr>
        <w:t>EGM (Estudio General de Medios)</w:t>
      </w:r>
      <w:r>
        <w:t xml:space="preserve"> – AIMC. Datos de consumo de medios y estilos de vida, incluyendo hábitos de consumo de alcohol de la población española. https://www.aimc.es</w:t>
      </w:r>
    </w:p>
    <w:p>
      <w:pPr>
        <w:pStyle w:val="ListNumber"/>
      </w:pPr>
      <w:r>
        <w:rPr>
          <w:b/>
        </w:rPr>
        <w:t>OCU (Organización de Consumidores y Usuarios)</w:t>
      </w:r>
      <w:r>
        <w:t xml:space="preserve"> – Estudios de calidad de rones, encuestas de hábitos de consumo y recomendaciones de etiquetado. https://www.ocu.org</w:t>
      </w:r>
    </w:p>
    <w:p>
      <w:pPr>
        <w:pStyle w:val="ListNumber"/>
      </w:pPr>
      <w:r>
        <w:rPr>
          <w:b/>
        </w:rPr>
        <w:t>AECOC</w:t>
      </w:r>
      <w:r>
        <w:t xml:space="preserve"> – Datos de distribución, canales de venta y tendencias en gran consumo para bebidas alcohólicas en España. https://www.aecoc.es</w:t>
      </w:r>
    </w:p>
    <w:p>
      <w:pPr>
        <w:jc w:val="center"/>
      </w:pPr>
      <w:r>
        <w:rPr>
          <w:i/>
          <w:sz w:val="18"/>
        </w:rPr>
        <w:t>Documento preparado como parte del estudio de mercado para MK_APP.</w:t>
      </w:r>
    </w:p>
    <w:p>
      <w:pPr>
        <w:jc w:val="center"/>
      </w:pPr>
      <w:r>
        <w:rPr>
          <w:i/>
          <w:sz w:val="18"/>
        </w:rPr>
        <w:t>Última actualización: Febrero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