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bookmarkStart w:id="0" w:name="_GoBack"/>
      <w:bookmarkEnd w:id="0"/>
      <w:r w:rsidR="00373511">
        <w:rPr>
          <w:rFonts w:ascii="Verdana" w:eastAsia="MS Mincho" w:hAnsi="Verdana" w:cs="Arial"/>
          <w:sz w:val="32"/>
          <w:szCs w:val="72"/>
          <w:lang w:val="es-PE"/>
        </w:rPr>
        <w:t>1</w:t>
      </w:r>
      <w:r w:rsidR="0056567A">
        <w:rPr>
          <w:rFonts w:ascii="Verdana" w:eastAsia="MS Mincho" w:hAnsi="Verdana" w:cs="Arial"/>
          <w:sz w:val="32"/>
          <w:szCs w:val="72"/>
          <w:lang w:val="es-PE"/>
        </w:rPr>
        <w:t>.</w:t>
      </w:r>
      <w:r w:rsidR="00E72F90">
        <w:rPr>
          <w:rFonts w:ascii="Verdana" w:eastAsia="MS Mincho" w:hAnsi="Verdana" w:cs="Arial"/>
          <w:sz w:val="32"/>
          <w:szCs w:val="72"/>
          <w:lang w:val="es-PE"/>
        </w:rPr>
        <w:t>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675C82">
        <w:trPr>
          <w:trHeight w:val="514"/>
          <w:jc w:val="center"/>
        </w:trPr>
        <w:tc>
          <w:tcPr>
            <w:tcW w:w="114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28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8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675C82">
        <w:trPr>
          <w:trHeight w:val="516"/>
          <w:jc w:val="center"/>
        </w:trPr>
        <w:tc>
          <w:tcPr>
            <w:tcW w:w="1146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28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8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2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68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FB219D" w:rsidTr="00675C82">
        <w:trPr>
          <w:trHeight w:val="516"/>
          <w:jc w:val="center"/>
        </w:trPr>
        <w:tc>
          <w:tcPr>
            <w:tcW w:w="1146" w:type="dxa"/>
            <w:vAlign w:val="center"/>
          </w:tcPr>
          <w:p w:rsidR="00FB219D" w:rsidRPr="00226DCE" w:rsidRDefault="00FB219D" w:rsidP="00037BF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282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8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FB219D" w:rsidRPr="00226DCE" w:rsidRDefault="00FB219D" w:rsidP="0056567A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2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FB219D" w:rsidTr="00675C82">
        <w:trPr>
          <w:trHeight w:val="516"/>
          <w:jc w:val="center"/>
        </w:trPr>
        <w:tc>
          <w:tcPr>
            <w:tcW w:w="1146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282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8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2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68" w:type="dxa"/>
            <w:vAlign w:val="center"/>
          </w:tcPr>
          <w:p w:rsidR="00FB219D" w:rsidRPr="00226DCE" w:rsidRDefault="00FB219D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Default="00946987" w:rsidP="00946987">
      <w:bookmarkStart w:id="1" w:name="_Toc441222474"/>
    </w:p>
    <w:p w:rsidR="0014206A" w:rsidRDefault="0014206A" w:rsidP="00946987">
      <w:pPr>
        <w:jc w:val="center"/>
        <w:rPr>
          <w:rFonts w:ascii="Verdana" w:hAnsi="Verdana"/>
          <w:b/>
          <w:sz w:val="28"/>
          <w:szCs w:val="28"/>
        </w:rPr>
      </w:pPr>
    </w:p>
    <w:p w:rsidR="00E72F90" w:rsidRDefault="00E72F90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br w:type="page"/>
      </w:r>
    </w:p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r w:rsidRPr="0014206A">
        <w:rPr>
          <w:rFonts w:ascii="Verdana" w:hAnsi="Verdana"/>
          <w:b/>
          <w:sz w:val="36"/>
          <w:szCs w:val="36"/>
        </w:rPr>
        <w:lastRenderedPageBreak/>
        <w:t>Contenido</w:t>
      </w:r>
    </w:p>
    <w:p w:rsidR="000E3BB1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0E3BB1" w:rsidRPr="004C1877">
        <w:rPr>
          <w:rFonts w:ascii="Verdana" w:hAnsi="Verdana"/>
          <w:noProof/>
          <w:lang w:val="es-PE"/>
        </w:rPr>
        <w:t>1.</w:t>
      </w:r>
      <w:r w:rsidR="000E3BB1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0E3BB1" w:rsidRPr="004C1877">
        <w:rPr>
          <w:rFonts w:ascii="Verdana" w:hAnsi="Verdana"/>
          <w:noProof/>
          <w:lang w:val="es-PE"/>
        </w:rPr>
        <w:t>Modelo de Casos de Uso</w:t>
      </w:r>
      <w:r w:rsidR="000E3BB1">
        <w:rPr>
          <w:noProof/>
        </w:rPr>
        <w:tab/>
      </w:r>
      <w:r w:rsidR="000E3BB1">
        <w:rPr>
          <w:noProof/>
        </w:rPr>
        <w:fldChar w:fldCharType="begin"/>
      </w:r>
      <w:r w:rsidR="000E3BB1">
        <w:rPr>
          <w:noProof/>
        </w:rPr>
        <w:instrText xml:space="preserve"> PAGEREF _Toc496236314 \h </w:instrText>
      </w:r>
      <w:r w:rsidR="000E3BB1">
        <w:rPr>
          <w:noProof/>
        </w:rPr>
      </w:r>
      <w:r w:rsidR="000E3BB1">
        <w:rPr>
          <w:noProof/>
        </w:rPr>
        <w:fldChar w:fldCharType="separate"/>
      </w:r>
      <w:r w:rsidR="000E3BB1">
        <w:rPr>
          <w:noProof/>
        </w:rPr>
        <w:t>5</w:t>
      </w:r>
      <w:r w:rsidR="000E3BB1"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3BB1" w:rsidRDefault="000E3BB1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4C1877">
        <w:rPr>
          <w:rFonts w:ascii="Verdana" w:hAnsi="Verdana"/>
          <w:iCs/>
          <w:noProof/>
          <w:lang w:val="es-PE"/>
        </w:rPr>
        <w:t>1.8.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4C1877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_Toc496236322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047573" w:rsidRPr="00C1122A" w:rsidRDefault="00047573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496236314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2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6236315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3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</w:rPr>
              <w:drawing>
                <wp:anchor distT="0" distB="0" distL="114300" distR="114300" simplePos="0" relativeHeight="251674112" behindDoc="1" locked="0" layoutInCell="1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6236316"/>
      <w:r w:rsidRPr="00064120">
        <w:rPr>
          <w:rFonts w:ascii="Verdana" w:hAnsi="Verdana"/>
          <w:iCs/>
          <w:sz w:val="20"/>
          <w:lang w:val="es-PE"/>
        </w:rPr>
        <w:lastRenderedPageBreak/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4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/>
        </w:rPr>
        <w:drawing>
          <wp:inline distT="0" distB="0" distL="0" distR="0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5" w:name="_Toc496236317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5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/>
        </w:rPr>
        <w:drawing>
          <wp:inline distT="0" distB="0" distL="0" distR="0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6" w:name="_Toc496236318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6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07BAB">
        <w:tc>
          <w:tcPr>
            <w:tcW w:w="2880" w:type="dxa"/>
            <w:shd w:val="clear" w:color="auto" w:fill="C0C0C0"/>
          </w:tcPr>
          <w:p w:rsidR="00CE58C2" w:rsidRPr="00A70D2E" w:rsidRDefault="00CE58C2" w:rsidP="00907BAB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07BAB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07BAB">
        <w:trPr>
          <w:trHeight w:val="210"/>
        </w:trPr>
        <w:tc>
          <w:tcPr>
            <w:tcW w:w="2880" w:type="dxa"/>
          </w:tcPr>
          <w:p w:rsidR="00CE58C2" w:rsidRPr="006C4AE1" w:rsidRDefault="00504B5B" w:rsidP="00907BAB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07BAB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07BAB">
        <w:trPr>
          <w:trHeight w:val="210"/>
        </w:trPr>
        <w:tc>
          <w:tcPr>
            <w:tcW w:w="2880" w:type="dxa"/>
          </w:tcPr>
          <w:p w:rsidR="00CE58C2" w:rsidRPr="006C4AE1" w:rsidRDefault="00CE58C2" w:rsidP="00907BAB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07BAB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6236319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7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/>
        </w:rPr>
        <w:drawing>
          <wp:inline distT="0" distB="0" distL="0" distR="0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</w:rPr>
        <w:drawing>
          <wp:inline distT="0" distB="0" distL="0" distR="0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/>
        </w:rPr>
        <w:drawing>
          <wp:inline distT="0" distB="0" distL="0" distR="0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</w:rPr>
        <w:drawing>
          <wp:inline distT="0" distB="0" distL="0" distR="0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/>
        </w:rPr>
        <w:drawing>
          <wp:inline distT="0" distB="0" distL="0" distR="0" wp14:anchorId="46F73AA9" wp14:editId="1592489A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6236320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8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/>
        </w:rPr>
        <w:drawing>
          <wp:inline distT="0" distB="0" distL="0" distR="0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6236321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9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6236322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0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07BAB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07BAB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07BA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07BAB">
        <w:trPr>
          <w:cantSplit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07BAB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07BAB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07BAB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07BAB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07BAB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07BAB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07BAB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07BA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07BAB">
        <w:trPr>
          <w:cantSplit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07BAB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07BAB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07BAB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07BAB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07BAB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07BAB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P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1"/>
    </w:p>
    <w:sectPr w:rsidR="00D22FC6" w:rsidRPr="00D22FC6" w:rsidSect="000645E5">
      <w:headerReference w:type="default" r:id="rId20"/>
      <w:footerReference w:type="default" r:id="rId21"/>
      <w:footerReference w:type="first" r:id="rId22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1FC" w:rsidRDefault="008861FC">
      <w:r>
        <w:separator/>
      </w:r>
    </w:p>
  </w:endnote>
  <w:endnote w:type="continuationSeparator" w:id="0">
    <w:p w:rsidR="008861FC" w:rsidRDefault="008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64" w:rsidRDefault="00800564" w:rsidP="00C1122A">
    <w:pPr>
      <w:pStyle w:val="Piedepgina"/>
    </w:pPr>
    <w:r>
      <w:t>____________________________________________________________________________________</w:t>
    </w:r>
  </w:p>
  <w:p w:rsidR="00800564" w:rsidRPr="00C1122A" w:rsidRDefault="007462C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="00800564" w:rsidRPr="00C1122A">
      <w:rPr>
        <w:rFonts w:ascii="Verdana" w:hAnsi="Verdana"/>
        <w:sz w:val="16"/>
        <w:szCs w:val="16"/>
      </w:rPr>
      <w:tab/>
    </w:r>
    <w:r w:rsidR="00800564" w:rsidRPr="00C1122A">
      <w:rPr>
        <w:rFonts w:ascii="Verdana" w:hAnsi="Verdana"/>
        <w:sz w:val="16"/>
        <w:szCs w:val="16"/>
      </w:rPr>
      <w:tab/>
      <w:t xml:space="preserve">Página 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begin"/>
    </w:r>
    <w:r w:rsidR="00800564"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="00800564"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800564">
      <w:rPr>
        <w:rStyle w:val="Nmerodepgina"/>
        <w:rFonts w:ascii="Verdana" w:hAnsi="Verdana"/>
        <w:noProof/>
        <w:sz w:val="16"/>
        <w:szCs w:val="16"/>
      </w:rPr>
      <w:t>3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end"/>
    </w:r>
    <w:r w:rsidR="00800564" w:rsidRPr="00C1122A">
      <w:rPr>
        <w:rStyle w:val="Nmerodepgina"/>
        <w:rFonts w:ascii="Verdana" w:hAnsi="Verdana"/>
        <w:sz w:val="16"/>
        <w:szCs w:val="16"/>
      </w:rPr>
      <w:t xml:space="preserve"> de 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begin"/>
    </w:r>
    <w:r w:rsidR="00800564"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="00800564"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800564">
      <w:rPr>
        <w:rStyle w:val="Nmerodepgina"/>
        <w:rFonts w:ascii="Verdana" w:hAnsi="Verdana"/>
        <w:noProof/>
        <w:sz w:val="16"/>
        <w:szCs w:val="16"/>
      </w:rPr>
      <w:t>30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800564" w:rsidRDefault="00800564" w:rsidP="00C1122A">
    <w:pPr>
      <w:pStyle w:val="Piedepgina"/>
    </w:pPr>
  </w:p>
  <w:p w:rsidR="00800564" w:rsidRDefault="00800564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64" w:rsidRDefault="00800564" w:rsidP="00C1122A">
    <w:pPr>
      <w:pStyle w:val="Piedepgina"/>
    </w:pPr>
  </w:p>
  <w:p w:rsidR="00800564" w:rsidRDefault="00800564" w:rsidP="00C1122A">
    <w:pPr>
      <w:pStyle w:val="Piedepgina"/>
    </w:pPr>
    <w:r>
      <w:t>____________________________________________________________________________________</w:t>
    </w:r>
  </w:p>
  <w:p w:rsidR="00800564" w:rsidRPr="00C1122A" w:rsidRDefault="007462C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="00800564">
      <w:rPr>
        <w:rFonts w:ascii="Verdana" w:hAnsi="Verdana"/>
        <w:sz w:val="16"/>
        <w:szCs w:val="16"/>
      </w:rPr>
      <w:t xml:space="preserve"> </w:t>
    </w:r>
    <w:r w:rsidR="00800564" w:rsidRPr="00C1122A">
      <w:rPr>
        <w:rFonts w:ascii="Verdana" w:hAnsi="Verdana"/>
        <w:sz w:val="16"/>
        <w:szCs w:val="16"/>
      </w:rPr>
      <w:tab/>
    </w:r>
    <w:r w:rsidR="00800564" w:rsidRPr="00C1122A">
      <w:rPr>
        <w:rFonts w:ascii="Verdana" w:hAnsi="Verdana"/>
        <w:sz w:val="16"/>
        <w:szCs w:val="16"/>
      </w:rPr>
      <w:tab/>
      <w:t xml:space="preserve">Página 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begin"/>
    </w:r>
    <w:r w:rsidR="00800564"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="00800564"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800564">
      <w:rPr>
        <w:rStyle w:val="Nmerodepgina"/>
        <w:rFonts w:ascii="Verdana" w:hAnsi="Verdana"/>
        <w:noProof/>
        <w:sz w:val="16"/>
        <w:szCs w:val="16"/>
      </w:rPr>
      <w:t>1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end"/>
    </w:r>
    <w:r w:rsidR="00800564" w:rsidRPr="00C1122A">
      <w:rPr>
        <w:rStyle w:val="Nmerodepgina"/>
        <w:rFonts w:ascii="Verdana" w:hAnsi="Verdana"/>
        <w:sz w:val="16"/>
        <w:szCs w:val="16"/>
      </w:rPr>
      <w:t xml:space="preserve"> de 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begin"/>
    </w:r>
    <w:r w:rsidR="00800564"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="00800564"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800564">
      <w:rPr>
        <w:rStyle w:val="Nmerodepgina"/>
        <w:rFonts w:ascii="Verdana" w:hAnsi="Verdana"/>
        <w:noProof/>
        <w:sz w:val="16"/>
        <w:szCs w:val="16"/>
      </w:rPr>
      <w:t>30</w:t>
    </w:r>
    <w:r w:rsidR="00800564"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800564" w:rsidRDefault="008005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1FC" w:rsidRDefault="008861FC">
      <w:r>
        <w:separator/>
      </w:r>
    </w:p>
  </w:footnote>
  <w:footnote w:type="continuationSeparator" w:id="0">
    <w:p w:rsidR="008861FC" w:rsidRDefault="00886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64" w:rsidRDefault="00800564">
    <w:pPr>
      <w:pStyle w:val="Encabezado"/>
      <w:rPr>
        <w:rFonts w:ascii="Arial" w:hAnsi="Arial"/>
        <w:sz w:val="16"/>
        <w:lang w:val="es-PE"/>
      </w:rPr>
    </w:pPr>
  </w:p>
  <w:p w:rsidR="00800564" w:rsidRDefault="00800564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2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3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5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6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7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8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9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0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1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4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6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8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39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0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4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6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42"/>
  </w:num>
  <w:num w:numId="5">
    <w:abstractNumId w:val="12"/>
  </w:num>
  <w:num w:numId="6">
    <w:abstractNumId w:val="29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8"/>
  </w:num>
  <w:num w:numId="13">
    <w:abstractNumId w:val="30"/>
  </w:num>
  <w:num w:numId="14">
    <w:abstractNumId w:val="37"/>
  </w:num>
  <w:num w:numId="15">
    <w:abstractNumId w:val="46"/>
  </w:num>
  <w:num w:numId="16">
    <w:abstractNumId w:val="8"/>
  </w:num>
  <w:num w:numId="17">
    <w:abstractNumId w:val="39"/>
  </w:num>
  <w:num w:numId="18">
    <w:abstractNumId w:val="2"/>
  </w:num>
  <w:num w:numId="19">
    <w:abstractNumId w:val="21"/>
  </w:num>
  <w:num w:numId="20">
    <w:abstractNumId w:val="40"/>
  </w:num>
  <w:num w:numId="21">
    <w:abstractNumId w:val="27"/>
  </w:num>
  <w:num w:numId="22">
    <w:abstractNumId w:val="9"/>
  </w:num>
  <w:num w:numId="23">
    <w:abstractNumId w:val="31"/>
  </w:num>
  <w:num w:numId="24">
    <w:abstractNumId w:val="35"/>
  </w:num>
  <w:num w:numId="25">
    <w:abstractNumId w:val="26"/>
  </w:num>
  <w:num w:numId="26">
    <w:abstractNumId w:val="38"/>
  </w:num>
  <w:num w:numId="27">
    <w:abstractNumId w:val="32"/>
  </w:num>
  <w:num w:numId="28">
    <w:abstractNumId w:val="11"/>
  </w:num>
  <w:num w:numId="29">
    <w:abstractNumId w:val="22"/>
  </w:num>
  <w:num w:numId="30">
    <w:abstractNumId w:val="41"/>
  </w:num>
  <w:num w:numId="31">
    <w:abstractNumId w:val="17"/>
  </w:num>
  <w:num w:numId="32">
    <w:abstractNumId w:val="16"/>
  </w:num>
  <w:num w:numId="33">
    <w:abstractNumId w:val="7"/>
  </w:num>
  <w:num w:numId="34">
    <w:abstractNumId w:val="44"/>
  </w:num>
  <w:num w:numId="35">
    <w:abstractNumId w:val="45"/>
  </w:num>
  <w:num w:numId="36">
    <w:abstractNumId w:val="10"/>
  </w:num>
  <w:num w:numId="37">
    <w:abstractNumId w:val="34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3"/>
  </w:num>
  <w:num w:numId="43">
    <w:abstractNumId w:val="24"/>
  </w:num>
  <w:num w:numId="44">
    <w:abstractNumId w:val="43"/>
  </w:num>
  <w:num w:numId="45">
    <w:abstractNumId w:val="25"/>
  </w:num>
  <w:num w:numId="46">
    <w:abstractNumId w:val="36"/>
  </w:num>
  <w:num w:numId="47">
    <w:abstractNumId w:val="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C7FDD"/>
    <w:rsid w:val="000D5895"/>
    <w:rsid w:val="000E3BB1"/>
    <w:rsid w:val="000E56CC"/>
    <w:rsid w:val="000F2466"/>
    <w:rsid w:val="000F5544"/>
    <w:rsid w:val="00114E63"/>
    <w:rsid w:val="00125B1A"/>
    <w:rsid w:val="00134A41"/>
    <w:rsid w:val="0014206A"/>
    <w:rsid w:val="00152C7D"/>
    <w:rsid w:val="00155B03"/>
    <w:rsid w:val="00171808"/>
    <w:rsid w:val="00193C02"/>
    <w:rsid w:val="0019643C"/>
    <w:rsid w:val="001C5571"/>
    <w:rsid w:val="001D41D1"/>
    <w:rsid w:val="001E0C5F"/>
    <w:rsid w:val="001E3998"/>
    <w:rsid w:val="001F3021"/>
    <w:rsid w:val="001F410B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500ED6"/>
    <w:rsid w:val="00504B5B"/>
    <w:rsid w:val="00527C90"/>
    <w:rsid w:val="00530E31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42751"/>
    <w:rsid w:val="006622B0"/>
    <w:rsid w:val="006632FD"/>
    <w:rsid w:val="00664801"/>
    <w:rsid w:val="00675C82"/>
    <w:rsid w:val="00680FF1"/>
    <w:rsid w:val="006946D9"/>
    <w:rsid w:val="006A248A"/>
    <w:rsid w:val="006C4AE1"/>
    <w:rsid w:val="006C4B7E"/>
    <w:rsid w:val="006C7C91"/>
    <w:rsid w:val="006D3B36"/>
    <w:rsid w:val="007203FE"/>
    <w:rsid w:val="00722210"/>
    <w:rsid w:val="00737982"/>
    <w:rsid w:val="007462CA"/>
    <w:rsid w:val="00765392"/>
    <w:rsid w:val="00765A3F"/>
    <w:rsid w:val="00777812"/>
    <w:rsid w:val="00795927"/>
    <w:rsid w:val="00797D18"/>
    <w:rsid w:val="007C59B8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904517"/>
    <w:rsid w:val="00914A0F"/>
    <w:rsid w:val="009315CE"/>
    <w:rsid w:val="00932084"/>
    <w:rsid w:val="009439A4"/>
    <w:rsid w:val="00946987"/>
    <w:rsid w:val="00955653"/>
    <w:rsid w:val="009808C6"/>
    <w:rsid w:val="009A1310"/>
    <w:rsid w:val="009A2804"/>
    <w:rsid w:val="009B3C58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9E0"/>
    <w:rsid w:val="00BB7359"/>
    <w:rsid w:val="00BE40D8"/>
    <w:rsid w:val="00C00A80"/>
    <w:rsid w:val="00C01B37"/>
    <w:rsid w:val="00C053A2"/>
    <w:rsid w:val="00C107FE"/>
    <w:rsid w:val="00C1122A"/>
    <w:rsid w:val="00C329A6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93BF090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A5AB-AF6F-4538-8548-4AD49640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Chris</cp:lastModifiedBy>
  <cp:revision>6</cp:revision>
  <cp:lastPrinted>2006-11-13T02:15:00Z</cp:lastPrinted>
  <dcterms:created xsi:type="dcterms:W3CDTF">2017-10-20T09:19:00Z</dcterms:created>
  <dcterms:modified xsi:type="dcterms:W3CDTF">2017-10-20T09:50:00Z</dcterms:modified>
</cp:coreProperties>
</file>