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ítulo1"/>
        <w:jc w:val="right"/>
        <w:rPr>
          <w:sz w:val="56"/>
          <w:szCs w:val="56"/>
        </w:rPr>
      </w:pPr>
      <w:r>
        <w:rPr>
          <w:sz w:val="56"/>
          <w:szCs w:val="56"/>
          <w:rtl w:val="0"/>
          <w:lang w:val="es-ES_tradnl"/>
        </w:rPr>
        <w:t>Plan de Gesti</w:t>
      </w:r>
      <w:r>
        <w:rPr>
          <w:sz w:val="56"/>
          <w:szCs w:val="56"/>
          <w:rtl w:val="0"/>
          <w:lang w:val="es-ES_tradnl"/>
        </w:rPr>
        <w:t>ó</w:t>
      </w:r>
      <w:r>
        <w:rPr>
          <w:sz w:val="56"/>
          <w:szCs w:val="56"/>
          <w:rtl w:val="0"/>
          <w:lang w:val="es-ES_tradnl"/>
        </w:rPr>
        <w:t>n de Cambios</w:t>
      </w:r>
    </w:p>
    <w:p>
      <w:pPr>
        <w:pStyle w:val="Body A"/>
      </w:pPr>
    </w:p>
    <w:p>
      <w:pPr>
        <w:pStyle w:val="Título1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Versi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 xml:space="preserve">n </w:t>
      </w:r>
      <w:r>
        <w:rPr>
          <w:sz w:val="28"/>
          <w:szCs w:val="28"/>
          <w:rtl w:val="0"/>
          <w:lang w:val="es-ES_tradnl"/>
        </w:rPr>
        <w:t>2.0</w:t>
      </w:r>
    </w:p>
    <w:p>
      <w:pPr>
        <w:pStyle w:val="Título1"/>
        <w:jc w:val="both"/>
        <w:rPr>
          <w:sz w:val="28"/>
          <w:szCs w:val="28"/>
        </w:rPr>
      </w:pPr>
    </w:p>
    <w:p>
      <w:pPr>
        <w:pStyle w:val="Body A"/>
        <w:widowControl w:val="1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Historial de Revisiones</w:t>
      </w:r>
    </w:p>
    <w:p>
      <w:pPr>
        <w:pStyle w:val="Body A"/>
        <w:rPr>
          <w:rFonts w:ascii="Calibri" w:cs="Calibri" w:hAnsi="Calibri" w:eastAsia="Calibri"/>
        </w:rPr>
      </w:pPr>
    </w:p>
    <w:tbl>
      <w:tblPr>
        <w:tblW w:w="934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5"/>
        <w:gridCol w:w="1132"/>
        <w:gridCol w:w="3682"/>
        <w:gridCol w:w="2266"/>
      </w:tblGrid>
      <w:tr>
        <w:tblPrEx>
          <w:shd w:val="clear" w:color="auto" w:fill="d0ddef"/>
        </w:tblPrEx>
        <w:trPr>
          <w:trHeight w:val="313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preliminar con formato de entrega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1 al 3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1.2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 al 4.4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1.3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prop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sito.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n Moya, Christopher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1.4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4.5 al 4.9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1.5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las prioridades, tipificaci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n, y gr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fico.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1.6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4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1.7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5 (Planificaci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Crongrama)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1.8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6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715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2.0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n de la fase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1,2 y 3. Y 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numeraci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doc.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" w:hanging="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Body A"/>
      </w:pPr>
      <w:r>
        <w:rPr/>
        <w:fldChar w:fldCharType="begin" w:fldLock="0"/>
      </w:r>
      <w:r>
        <w:instrText xml:space="preserve"> TOC \t "caption, 1,Encabezado 1, 2,Encabezado 2, 3"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 xml:space="preserve"> Propósito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Tipificación de los cambios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Estados de las solicitudes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Solicitud de cambio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Proceso de Gestión de Cambios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 xml:space="preserve"> Recibir y analizar la petición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6"/>
        </w:numPr>
      </w:pPr>
      <w:r>
        <w:rPr>
          <w:rFonts w:cs="Arial Unicode MS" w:eastAsia="Arial Unicode MS"/>
          <w:rtl w:val="0"/>
        </w:rPr>
        <w:t xml:space="preserve"> Clasificar el cambio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Evaluación del impacto y riesgos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Aprobación del cambio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Planificación y calendarización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 xml:space="preserve"> Implementación del cambio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 xml:space="preserve"> Cambios urgentes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 xml:space="preserve"> Verificación de la implementación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 xml:space="preserve"> Cierre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 A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Encabezado 1"/>
        <w:keepNext w:val="1"/>
        <w:widowControl w:val="1"/>
        <w:numPr>
          <w:ilvl w:val="0"/>
          <w:numId w:val="15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0"/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empresa Chantilly es una empresa que se ha mantenido como un referente a la hora de desarrollar soluciones tecnol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gicas para todo tipo de clientes. Actualmente brinda soluciones a trav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de aplicaciones desarrolladas con distintas versiones para cada cliente seg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sus necesidades. </w:t>
      </w: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altos est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ndares de calidad.</w:t>
      </w:r>
    </w:p>
    <w:p>
      <w:pPr>
        <w:pStyle w:val="Body A"/>
      </w:pPr>
    </w:p>
    <w:p>
      <w:pPr>
        <w:pStyle w:val="Encabezado 2"/>
        <w:numPr>
          <w:ilvl w:val="1"/>
          <w:numId w:val="1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" w:id="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Prop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sito</w:t>
      </w:r>
      <w:bookmarkEnd w:id="1"/>
    </w:p>
    <w:p>
      <w:pPr>
        <w:pStyle w:val="Body A"/>
        <w:ind w:left="709" w:firstLine="0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El Plan de Gesti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>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de Cambios define las actividades y funciones para gestionar y controlar el cambio durante la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y el control de las etapas del proyecto. </w:t>
      </w: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Este documento est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destinado al director del proyecto, el equipo del proyecto y cualquier 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der de alto nivel, cuyo apoyo es necesario para llevar a cabo el plan.</w:t>
      </w:r>
    </w:p>
    <w:p>
      <w:pPr>
        <w:pStyle w:val="Body A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rPr>
          <w:rFonts w:ascii="Calibri" w:cs="Calibri" w:hAnsi="Calibri" w:eastAsia="Calibri"/>
          <w:sz w:val="22"/>
          <w:szCs w:val="22"/>
        </w:rPr>
      </w:pPr>
    </w:p>
    <w:p>
      <w:pPr>
        <w:pStyle w:val="Encabezado 1"/>
        <w:keepNext w:val="1"/>
        <w:widowControl w:val="1"/>
        <w:numPr>
          <w:ilvl w:val="0"/>
          <w:numId w:val="15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Tipificaci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los cambios</w:t>
      </w:r>
      <w:bookmarkEnd w:id="2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1 se observa las prioridades que puede tener una solicitud de cambio bas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ndose en la urgencia vs impacto de la solicitud.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5"/>
        <w:gridCol w:w="1644"/>
        <w:gridCol w:w="1644"/>
        <w:gridCol w:w="1643"/>
        <w:gridCol w:w="16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IMPACTO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BAJO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MEDIO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restart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URGENCIA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7c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7c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50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8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</w:tr>
    </w:tbl>
    <w:p>
      <w:pPr>
        <w:pStyle w:val="Body A"/>
        <w:spacing w:line="240" w:lineRule="auto"/>
        <w:ind w:left="675" w:hanging="675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567" w:hanging="567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1 - An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lisis de la prioridad de una solicitud de cambio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prioridad de un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como bajo, medio, alto y urgente, dependiendo del impacto y la urgencia de este, se deben tener en cuenta los posibles impactos y las consecuencias potenciales de estos impactos. La tabla 2 nos dice como se clasificar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>el cambio seg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la prioridad obtenida del an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lisis realizado: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64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Urgente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2 - Descripci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las Prioridades</w:t>
      </w:r>
    </w:p>
    <w:p>
      <w:pPr>
        <w:pStyle w:val="List Paragraph"/>
        <w:ind w:left="567" w:firstLine="1"/>
        <w:jc w:val="center"/>
        <w:rPr>
          <w:i w:val="1"/>
          <w:iCs w:val="1"/>
        </w:rPr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3, se describe cada uno de los tipos de cambios que se consideran en el proceso de la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List Paragraph"/>
        <w:rPr>
          <w:b w:val="1"/>
          <w:bCs w:val="1"/>
          <w:i w:val="1"/>
          <w:iCs w:val="1"/>
        </w:rPr>
      </w:pPr>
    </w:p>
    <w:tbl>
      <w:tblPr>
        <w:tblW w:w="7618" w:type="dxa"/>
        <w:jc w:val="left"/>
        <w:tblInd w:w="13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85"/>
        <w:gridCol w:w="533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Urgente.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repara un error que tiene un impacto negativo alto en el negocio y se encuentra deteniendo la operaci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en las actividades de los usuarios. Este cambio urgente tiene un proceso establecido.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ndar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sigue el proceso completo para la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cambio, es decir cumple con cada una de las fases del proceso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Pre-aprobado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un cambio que ha sido aprobado por el gerente de la empresa, el cual requiere atenci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inmediata. Este tipo de cambio pasa por alto la prioridad que tenga alg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cambio que se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desarrollando.</w:t>
            </w:r>
          </w:p>
        </w:tc>
      </w:tr>
    </w:tbl>
    <w:p>
      <w:pPr>
        <w:pStyle w:val="List Paragraph"/>
        <w:ind w:left="1280" w:hanging="1280"/>
        <w:rPr>
          <w:b w:val="1"/>
          <w:bCs w:val="1"/>
          <w:i w:val="1"/>
          <w:iCs w:val="1"/>
        </w:rPr>
      </w:pPr>
    </w:p>
    <w:p>
      <w:pPr>
        <w:pStyle w:val="List Paragraph"/>
        <w:ind w:left="1943" w:hanging="1943"/>
        <w:rPr>
          <w:b w:val="1"/>
          <w:bCs w:val="1"/>
          <w:i w:val="1"/>
          <w:iCs w:val="1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3 - Tipificaci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los Cambios</w:t>
      </w:r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1"/>
        <w:keepNext w:val="1"/>
        <w:widowControl w:val="1"/>
        <w:numPr>
          <w:ilvl w:val="0"/>
          <w:numId w:val="16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3" w:id="3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Estados de las solicitudes</w:t>
      </w:r>
      <w:bookmarkEnd w:id="3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Las solicitudes de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an y se les asignar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uno de los tipos de estado que se observan en la tabla 4.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81"/>
        <w:gridCol w:w="6056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Estado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Recibido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ha sido recibida, pero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no ha sido aprobada o asignada.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clasificaci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se encuentra siendo clasificada, de acuerdo al tipo de cambio que el comit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de control de cambios considere que es. 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evaluaci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evaluada para ser aprobada o rechazada.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Aprobado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aprobada y asignada.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planificaci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 la solicitud se le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asignando fechas, planificando as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í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el cambio con las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reas afectadas.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implementaci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implementada y se realizar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adem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 pruebas de su desarrollo.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verificaci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revisada y su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validada con los usuarios.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Cerrado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completada, ha pasado las fases de prueba, validaci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las actualizaciones han sido publicadas.</w:t>
            </w:r>
          </w:p>
        </w:tc>
      </w:tr>
      <w:tr>
        <w:tblPrEx>
          <w:shd w:val="clear" w:color="auto" w:fill="d0ddef"/>
        </w:tblPrEx>
        <w:trPr>
          <w:trHeight w:val="588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Rechazado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La solicitud fue rechazada, y se devuelve al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rea solicitante.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Tabla 4 </w:t>
      </w:r>
      <w:r>
        <w:rPr>
          <w:sz w:val="22"/>
          <w:szCs w:val="22"/>
          <w:rtl w:val="0"/>
          <w:lang w:val="es-ES_tradnl"/>
        </w:rPr>
        <w:t xml:space="preserve">– </w:t>
      </w:r>
      <w:r>
        <w:rPr>
          <w:sz w:val="22"/>
          <w:szCs w:val="22"/>
          <w:rtl w:val="0"/>
          <w:lang w:val="es-ES_tradnl"/>
        </w:rPr>
        <w:t>Estados de solicitud de cambios</w:t>
      </w:r>
    </w:p>
    <w:p>
      <w:pPr>
        <w:pStyle w:val="caption"/>
        <w:jc w:val="center"/>
        <w:rPr>
          <w:sz w:val="32"/>
          <w:szCs w:val="32"/>
        </w:rPr>
      </w:pPr>
    </w:p>
    <w:p>
      <w:pPr>
        <w:pStyle w:val="Encabezado 1"/>
        <w:keepNext w:val="1"/>
        <w:widowControl w:val="1"/>
        <w:numPr>
          <w:ilvl w:val="0"/>
          <w:numId w:val="17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4" w:id="4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Solicitud de cambio</w:t>
      </w:r>
      <w:bookmarkEnd w:id="4"/>
    </w:p>
    <w:p>
      <w:pPr>
        <w:pStyle w:val="Body"/>
        <w:ind w:left="360" w:firstLine="360"/>
      </w:pPr>
      <w:r>
        <w:rPr>
          <w:rtl w:val="0"/>
          <w:lang w:val="es-ES_tradnl"/>
        </w:rPr>
        <w:t>El formato de la solicitud de cambio a utilizar sera el siguiente:</w:t>
      </w:r>
    </w:p>
    <w:p>
      <w:pPr>
        <w:pStyle w:val="List Paragraph"/>
        <w:ind w:left="720" w:firstLine="0"/>
      </w:pPr>
    </w:p>
    <w:tbl>
      <w:tblPr>
        <w:tblW w:w="924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850"/>
        <w:gridCol w:w="958"/>
        <w:gridCol w:w="2105"/>
        <w:gridCol w:w="765"/>
        <w:gridCol w:w="2018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PROYECTO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Identificador de la solicitud de cambio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Nombre del proyecto para el que se solicita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Fecha de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 cambio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1797"/>
              </w:tabs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AUTORES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Rol/Persona de quien ha identificado la necesidad de cambio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Persona que tiene a cargo el sistema, y debe formalizar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398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…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384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  <w:r>
              <w:rPr>
                <w:rFonts w:ascii="Calibri" w:cs="Calibri" w:hAnsi="Calibri" w:eastAsia="Calibri" w:hint="default"/>
                <w:i w:val="1"/>
                <w:iCs w:val="1"/>
                <w:rtl w:val="0"/>
                <w:lang w:val="es-ES_tradnl"/>
              </w:rPr>
              <w:t>…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 A"/>
              <w:ind w:left="414" w:firstLine="0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7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HISTORIAL DE FECHAS DE LA GESTI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ind w:left="108" w:hanging="108"/>
      </w:pPr>
    </w:p>
    <w:p>
      <w:pPr>
        <w:pStyle w:val="List Paragraph"/>
        <w:ind w:left="720" w:firstLine="0"/>
      </w:pPr>
    </w:p>
    <w:p>
      <w:pPr>
        <w:pStyle w:val="List Paragraph"/>
        <w:ind w:left="720" w:firstLine="0"/>
      </w:pPr>
    </w:p>
    <w:p>
      <w:pPr>
        <w:pStyle w:val="Encabezado 1"/>
        <w:keepNext w:val="1"/>
        <w:widowControl w:val="1"/>
        <w:numPr>
          <w:ilvl w:val="0"/>
          <w:numId w:val="18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5" w:id="5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Proceso de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Cambios</w:t>
      </w:r>
      <w:bookmarkEnd w:id="5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 se aplica cuando un elemento de la configuraci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va a sufrir una modificaci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por alguna raz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espec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fica. Se pueden apreciar en la ilustraci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1 las fases que contiene 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keepNext w:val="1"/>
        <w:ind w:left="720" w:firstLine="0"/>
      </w:pPr>
      <w:r>
        <w:rPr>
          <w:rFonts w:ascii="Calibri" w:cs="Calibri" w:hAnsi="Calibri" w:eastAsia="Calibri"/>
          <w:color w:val="ffffff"/>
          <w:sz w:val="16"/>
          <w:szCs w:val="16"/>
          <w:u w:color="ffffff"/>
          <w:rtl w:val="0"/>
          <w:lang w:val="es-ES_tradnl"/>
          <w14:shadow w14:sx="100000" w14:sy="100000" w14:kx="0" w14:ky="0" w14:algn="tl" w14:blurRad="76200" w14:dist="28575" w14:dir="2700000">
            <w14:srgbClr w14:val="000000">
              <w14:alpha w14:val="60000"/>
            </w14:srgbClr>
          </w14:shadow>
        </w:rPr>
        <w:t>&lt;</w:t>
      </w:r>
      <w:r>
        <w:rPr>
          <w:rtl w:val="0"/>
          <w:lang w:val="es-ES_tradnl"/>
        </w:rPr>
        <w:t xml:space="preserve"> </w:t>
      </w:r>
      <w:r>
        <w:drawing>
          <wp:inline distT="0" distB="0" distL="0" distR="0">
            <wp:extent cx="5114925" cy="40290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2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keepNext w:val="1"/>
        <w:ind w:left="720" w:firstLine="0"/>
      </w:pPr>
    </w:p>
    <w:p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Ilustraci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1 Proceso de la Gesti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de Cambios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  <w:lang w:val="pt-PT"/>
        </w:rPr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proceder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detallar cada uno de las actividades, los documentos que son necesarios para su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las pol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que afectan a cada una de estas etapas del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Body A"/>
        <w:widowControl w:val="1"/>
        <w:spacing w:line="240" w:lineRule="auto"/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Encabezado 2"/>
        <w:numPr>
          <w:ilvl w:val="1"/>
          <w:numId w:val="2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Recibir y analizar la petici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6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de cambios son recibidas y analizadas previamente antes de ser enviadas al Comit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Control de Cambios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5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todos los campos de la solicitud hayan sido completados correctamente.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la solicitud de cambio haya sido validada por el encargado del proceso.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Entregar el documento de la solicitud de cambio al CCC.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Formato de la Solicitud de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Solicitud debe completar todos los campos que se especifican como necesarios en el documento de la solicitud de cambio, caso contrario se rechazara y se termina 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encargado del proceso debe firmar la solicitud de cambio antes de entregarlo, en caso contrario se considerar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inv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lido, se rechazar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y se terminar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solicitud tiene un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de 2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as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biles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ingresada ser autorizada. 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5 - Recibir y Analizar la Petici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2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Clasificar el cambio</w:t>
      </w:r>
      <w:bookmarkEnd w:id="7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aceptadas pasan a ser clasificadas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su prioridad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6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Analizar el tipo de cambio y la prioridad.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Analizar la solicitud de cambio.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Formato de la Solicitud de Cambio.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0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Comit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de Control de Cambios tiene un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poder realizar la actividad de clasificar el cambio en caso ser aceptado.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Cualquier observaci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 anexarse a la solicitud de cambio.</w:t>
            </w:r>
          </w:p>
          <w:p>
            <w:pPr>
              <w:pStyle w:val="List Paragraph"/>
              <w:keepNext w:val="1"/>
              <w:numPr>
                <w:ilvl w:val="0"/>
                <w:numId w:val="28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clasificaci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debe anexarse a la solicitud de cambio.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6 - Clasificar el Cambio</w:t>
      </w:r>
    </w:p>
    <w:p>
      <w:pPr>
        <w:pStyle w:val="Body A"/>
        <w:widowControl w:val="1"/>
        <w:spacing w:line="240" w:lineRule="auto"/>
      </w:pPr>
    </w:p>
    <w:p>
      <w:pPr>
        <w:pStyle w:val="Encabezado 2"/>
        <w:numPr>
          <w:ilvl w:val="1"/>
          <w:numId w:val="2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Evaluaci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impacto y riesgos</w:t>
      </w:r>
      <w:bookmarkEnd w:id="8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Una vez clasificado el cambio se procede a evaluar el impacto y el riesgo que involucra acorde a las actividades y pol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de la tabla 7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del impacto del riesgo.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cada uno de los riesgos.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presupuesto.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el impacto sobre los cambios en curso.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Riesgos.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Trazabilidad.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94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tiene tres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 como 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ximo para poder realizar la actividad de clasificar el cambio.</w:t>
            </w:r>
          </w:p>
          <w:p>
            <w:pPr>
              <w:pStyle w:val="No Spacing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esta actividad se puede contar con participaci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diversos miembros del equipo de proyectos como los analistas, arquitectos de software, administrador de base de datos y programadores.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Los impactos que afecten alguna funcionalidad del software actualmente en producci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ser comunicados al responsable de la solicitud de cambio.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</w:pPr>
      <w:r>
        <w:rPr>
          <w:sz w:val="22"/>
          <w:szCs w:val="22"/>
          <w:rtl w:val="0"/>
          <w:lang w:val="es-ES_tradnl"/>
        </w:rPr>
        <w:t>Tabla 7 - Evaluaci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impacto y riesgos</w:t>
      </w:r>
    </w:p>
    <w:p>
      <w:pPr>
        <w:pStyle w:val="Body A"/>
      </w:pPr>
    </w:p>
    <w:p>
      <w:pPr>
        <w:pStyle w:val="Encabezado 2"/>
        <w:numPr>
          <w:ilvl w:val="1"/>
          <w:numId w:val="3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9" w:id="9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Aprobaci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del cambio </w:t>
      </w:r>
      <w:bookmarkEnd w:id="9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Luego de evaluar la solicitud pasan se pasa a la decisi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si ser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aprobada o no de acuerdo a la tabla 8.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Decidir aprobaci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Agrupar cambios en entregas.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evaluaci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impacto y riesgo.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actualiza la solicitud de cambio, se asignar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responsable y se adjuntaran los resultados de las fases anteriores.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al autor de la solicitud del cambio y a los miembros involucrados en los procesos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8 -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Cambio</w:t>
      </w:r>
    </w:p>
    <w:p>
      <w:pPr>
        <w:pStyle w:val="Body A"/>
      </w:pPr>
    </w:p>
    <w:p>
      <w:pPr>
        <w:pStyle w:val="Encabezado 2"/>
        <w:numPr>
          <w:ilvl w:val="1"/>
          <w:numId w:val="3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0" w:id="1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Planificaci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y calendarizaci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0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Despu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de ser aprobado el cambio se procede a planificar su 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establecer un calendario acorde a lo indicado en la tabla 5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Definir fechas</w:t>
            </w:r>
          </w:p>
          <w:p>
            <w:pPr>
              <w:pStyle w:val="No Spacing"/>
              <w:widowControl w:val="1"/>
              <w:numPr>
                <w:ilvl w:val="0"/>
                <w:numId w:val="3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Publicar el cronograma</w:t>
            </w:r>
          </w:p>
          <w:p>
            <w:pPr>
              <w:pStyle w:val="No Spacing"/>
              <w:widowControl w:val="1"/>
              <w:numPr>
                <w:ilvl w:val="0"/>
                <w:numId w:val="3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el cronograma</w:t>
            </w:r>
          </w:p>
          <w:p>
            <w:pPr>
              <w:pStyle w:val="No Spacing"/>
              <w:widowControl w:val="1"/>
              <w:numPr>
                <w:ilvl w:val="0"/>
                <w:numId w:val="3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Actualizar el cronograma</w:t>
            </w:r>
          </w:p>
          <w:p>
            <w:pPr>
              <w:pStyle w:val="No Spacing"/>
              <w:widowControl w:val="1"/>
              <w:numPr>
                <w:ilvl w:val="0"/>
                <w:numId w:val="3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Informar al equipo de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acerca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equipo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obtener libre acceso 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hist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rica sobre el proceso de negocio que afecta el cambio.</w:t>
            </w:r>
          </w:p>
          <w:p>
            <w:pPr>
              <w:pStyle w:val="List Paragraph"/>
              <w:keepNext w:val="1"/>
              <w:numPr>
                <w:ilvl w:val="0"/>
                <w:numId w:val="4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Se oficializara las fechas estimadas para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solicitado, actualizando tambi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las fechas de los otros cambios si es que caso se vean afectados.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9 - Planificaci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Calendarizaci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4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cambio</w:t>
      </w:r>
      <w:bookmarkEnd w:id="11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implementados acorde a todo lo establecido en la tabla 6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Asignaci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tareas a los miembros del equipo a cargo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Verificar la correcta preparaci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cambio.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Verificar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pruebas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Calendario de Cambios.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Herramientas de Organizaci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Tareas.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0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gestionara las tareas que se asignen a cada miembro del equipo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En caso de que no se cumpla con la fecha de 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mite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comunicar al CCC.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solicitar los recursos necesarios para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 las pruebas.</w:t>
            </w:r>
          </w:p>
          <w:p>
            <w:pPr>
              <w:pStyle w:val="List Paragraph"/>
              <w:keepNext w:val="1"/>
              <w:numPr>
                <w:ilvl w:val="0"/>
                <w:numId w:val="45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El equipo de despliegue tiene un d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 h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bil (24 horas) para poder realizar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9 -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Cambio</w:t>
      </w:r>
    </w:p>
    <w:p>
      <w:pPr>
        <w:pStyle w:val="Body A"/>
      </w:pPr>
    </w:p>
    <w:p>
      <w:pPr>
        <w:pStyle w:val="Encabezado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2" w:id="12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Cambios urgentes</w:t>
      </w:r>
      <w:bookmarkEnd w:id="12"/>
    </w:p>
    <w:p>
      <w:pPr>
        <w:pStyle w:val="Body A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Para los cambios urgentes el procedimiento a seguir se muestra en la tabla 10</w:t>
      </w: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Convocar al CCC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la solicitud de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Aprobar 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Replanificar los cambios afectados.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Preparaci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Cambios</w:t>
            </w:r>
          </w:p>
          <w:p>
            <w:pPr>
              <w:pStyle w:val="No Spacing"/>
              <w:widowControl w:val="1"/>
              <w:numPr>
                <w:ilvl w:val="0"/>
                <w:numId w:val="4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debe efectuar el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la solicitud de cambio en menos de 2 horas.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4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analiza el cambio y se de justificar si es un cambio urgente o no. En caso de que no lo sea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reclasificarse el cambio.</w:t>
            </w:r>
          </w:p>
        </w:tc>
      </w:tr>
    </w:tbl>
    <w:p>
      <w:pPr>
        <w:pStyle w:val="Body A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10- Cambios Urgentes</w:t>
      </w:r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Verificaci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verificados de acuerdo a lo establecido en la tabla 11</w:t>
      </w:r>
    </w:p>
    <w:p>
      <w:pPr>
        <w:pStyle w:val="Body A"/>
        <w:ind w:left="720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efectos.</w:t>
            </w:r>
          </w:p>
          <w:p>
            <w:pPr>
              <w:pStyle w:val="No Spacing"/>
              <w:widowControl w:val="1"/>
              <w:numPr>
                <w:ilvl w:val="0"/>
                <w:numId w:val="5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usuarios.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1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Cambios.</w:t>
            </w:r>
          </w:p>
          <w:p>
            <w:pPr>
              <w:pStyle w:val="No Spacing"/>
              <w:widowControl w:val="1"/>
              <w:numPr>
                <w:ilvl w:val="0"/>
                <w:numId w:val="5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Reporte de Release Implementados.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evaluar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los usuarios haciendo un monitoreo por siete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biles.</w:t>
            </w:r>
          </w:p>
          <w:p>
            <w:pPr>
              <w:pStyle w:val="No Spacing"/>
              <w:widowControl w:val="1"/>
              <w:numPr>
                <w:ilvl w:val="0"/>
                <w:numId w:val="53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caso de alguna eventualidad, el analista debe comunicar al CCC.</w:t>
            </w:r>
          </w:p>
        </w:tc>
      </w:tr>
    </w:tbl>
    <w:p>
      <w:pPr>
        <w:pStyle w:val="Body A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Tabla 11 - Verificaci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</w:p>
    <w:p>
      <w:pPr>
        <w:pStyle w:val="Body A"/>
      </w:pPr>
    </w:p>
    <w:p>
      <w:pPr>
        <w:pStyle w:val="Encabezado 2"/>
        <w:numPr>
          <w:ilvl w:val="1"/>
          <w:numId w:val="5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4" w:id="1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Cierre</w:t>
      </w:r>
      <w:bookmarkEnd w:id="14"/>
    </w:p>
    <w:p>
      <w:pPr>
        <w:pStyle w:val="Body A"/>
        <w:ind w:left="709" w:firstLine="0"/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Se dar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cierre a la solicitud de cambio cuya etapa de verificaci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n post-implementaci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haya culminado.</w:t>
      </w:r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</w:tabs>
    </w:pPr>
    <w:r>
      <w:tab/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320"/>
        <w:tab w:val="clear" w:pos="8640"/>
      </w:tabs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Chantilly SAC</w:t>
    </w:r>
  </w:p>
  <w:p>
    <w:pPr>
      <w:pStyle w:val="Body A"/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Plan de Gesti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ó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n de Cambios</w:t>
    </w:r>
  </w:p>
  <w:p>
    <w:pPr>
      <w:pStyle w:val="header"/>
    </w:pPr>
    <w:r>
      <w:rPr>
        <w:rtl w:val="0"/>
        <w:lang w:val="fr-FR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7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3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60"/>
        </w:tabs>
        <w:ind w:left="817" w:hanging="4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9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07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43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7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1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5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80"/>
        </w:tabs>
        <w:ind w:left="976" w:hanging="6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0"/>
    <w:lvlOverride w:ilvl="0">
      <w:startOverride w:val="5"/>
    </w:lvlOverride>
  </w:num>
  <w:num w:numId="5">
    <w:abstractNumId w:val="1"/>
  </w:num>
  <w:num w:numId="6">
    <w:abstractNumId w:val="1"/>
    <w:lvlOverride w:ilvl="1">
      <w:startOverride w:val="2"/>
    </w:lvlOverride>
  </w:num>
  <w:num w:numId="7">
    <w:abstractNumId w:val="1"/>
    <w:lvlOverride w:ilvl="1">
      <w:startOverride w:val="3"/>
    </w:lvlOverride>
  </w:num>
  <w:num w:numId="8">
    <w:abstractNumId w:val="1"/>
    <w:lvlOverride w:ilvl="1">
      <w:startOverride w:val="4"/>
    </w:lvlOverride>
  </w:num>
  <w:num w:numId="9">
    <w:abstractNumId w:val="1"/>
    <w:lvlOverride w:ilvl="1">
      <w:startOverride w:val="5"/>
    </w:lvlOverride>
  </w:num>
  <w:num w:numId="10">
    <w:abstractNumId w:val="1"/>
    <w:lvlOverride w:ilvl="1">
      <w:startOverride w:val="6"/>
    </w:lvlOverride>
  </w:num>
  <w:num w:numId="11">
    <w:abstractNumId w:val="1"/>
    <w:lvlOverride w:ilvl="1">
      <w:startOverride w:val="7"/>
    </w:lvlOverride>
  </w:num>
  <w:num w:numId="12">
    <w:abstractNumId w:val="1"/>
    <w:lvlOverride w:ilvl="1">
      <w:startOverride w:val="8"/>
    </w:lvlOverride>
  </w:num>
  <w:num w:numId="13">
    <w:abstractNumId w:val="1"/>
    <w:lvlOverride w:ilvl="1">
      <w:startOverride w:val="9"/>
    </w:lvlOverride>
  </w:num>
  <w:num w:numId="14">
    <w:abstractNumId w:val="3"/>
  </w:num>
  <w:num w:numId="15">
    <w:abstractNumId w:val="2"/>
  </w:num>
  <w:num w:numId="16">
    <w:abstractNumId w:val="2"/>
    <w:lvlOverride w:ilvl="0">
      <w:startOverride w:val="3"/>
    </w:lvlOverride>
  </w:num>
  <w:num w:numId="17">
    <w:abstractNumId w:val="2"/>
    <w:lvlOverride w:ilvl="0">
      <w:startOverride w:val="4"/>
    </w:lvlOverride>
  </w:num>
  <w:num w:numId="18">
    <w:abstractNumId w:val="2"/>
    <w:lvlOverride w:ilvl="0">
      <w:startOverride w:val="5"/>
    </w:lvlOverride>
  </w:num>
  <w:num w:numId="19">
    <w:abstractNumId w:val="5"/>
  </w:num>
  <w:num w:numId="20">
    <w:abstractNumId w:val="4"/>
  </w:num>
  <w:num w:numId="21">
    <w:abstractNumId w:val="6"/>
  </w:num>
  <w:num w:numId="22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7"/>
  </w:num>
  <w:num w:numId="24">
    <w:abstractNumId w:val="8"/>
  </w:num>
  <w:num w:numId="25">
    <w:abstractNumId w:val="4"/>
    <w:lvlOverride w:ilvl="1">
      <w:startOverride w:val="2"/>
    </w:lvlOverride>
  </w:num>
  <w:num w:numId="26">
    <w:abstractNumId w:val="9"/>
  </w:num>
  <w:num w:numId="27">
    <w:abstractNumId w:val="10"/>
  </w:num>
  <w:num w:numId="28">
    <w:abstractNumId w:val="11"/>
  </w:num>
  <w:num w:numId="29">
    <w:abstractNumId w:val="4"/>
    <w:lvlOverride w:ilvl="1">
      <w:startOverride w:val="3"/>
    </w:lvlOverride>
  </w:num>
  <w:num w:numId="30">
    <w:abstractNumId w:val="12"/>
  </w:num>
  <w:num w:numId="31">
    <w:abstractNumId w:val="13"/>
  </w:num>
  <w:num w:numId="32">
    <w:abstractNumId w:val="14"/>
  </w:num>
  <w:num w:numId="3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80"/>
          </w:tabs>
          <w:ind w:left="976" w:hanging="6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2."/>
        <w:lvlJc w:val="left"/>
        <w:pPr>
          <w:tabs>
            <w:tab w:val="left" w:pos="1134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134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134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134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134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134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134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134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6"/>
  </w:num>
  <w:num w:numId="36">
    <w:abstractNumId w:val="17"/>
  </w:num>
  <w:num w:numId="37">
    <w:abstractNumId w:val="4"/>
    <w:lvlOverride w:ilvl="1">
      <w:startOverride w:val="5"/>
    </w:lvlOverride>
  </w:num>
  <w:num w:numId="38">
    <w:abstractNumId w:val="18"/>
  </w:num>
  <w:num w:numId="39">
    <w:abstractNumId w:val="18"/>
    <w:lvlOverride w:ilvl="0">
      <w:lvl w:ilvl="0">
        <w:start w:val="1"/>
        <w:numFmt w:val="bullet"/>
        <w:suff w:val="tab"/>
        <w:lvlText w:val="·"/>
        <w:lvlJc w:val="left"/>
        <w:pPr>
          <w:ind w:left="68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0">
    <w:abstractNumId w:val="19"/>
  </w:num>
  <w:num w:numId="41">
    <w:abstractNumId w:val="20"/>
  </w:num>
  <w:num w:numId="42">
    <w:abstractNumId w:val="4"/>
    <w:lvlOverride w:ilvl="1">
      <w:startOverride w:val="6"/>
    </w:lvlOverride>
  </w:num>
  <w:num w:numId="43">
    <w:abstractNumId w:val="21"/>
  </w:num>
  <w:num w:numId="44">
    <w:abstractNumId w:val="22"/>
  </w:num>
  <w:num w:numId="45">
    <w:abstractNumId w:val="23"/>
  </w:num>
  <w:num w:numId="46">
    <w:abstractNumId w:val="4"/>
    <w:lvlOverride w:ilvl="1">
      <w:startOverride w:val="7"/>
    </w:lvlOverride>
  </w:num>
  <w:num w:numId="47">
    <w:abstractNumId w:val="24"/>
  </w:num>
  <w:num w:numId="48">
    <w:abstractNumId w:val="25"/>
  </w:num>
  <w:num w:numId="49">
    <w:abstractNumId w:val="26"/>
  </w:num>
  <w:num w:numId="50">
    <w:abstractNumId w:val="4"/>
    <w:lvlOverride w:ilvl="1">
      <w:startOverride w:val="8"/>
    </w:lvlOverride>
  </w:num>
  <w:num w:numId="51">
    <w:abstractNumId w:val="27"/>
  </w:num>
  <w:num w:numId="52">
    <w:abstractNumId w:val="28"/>
  </w:num>
  <w:num w:numId="53">
    <w:abstractNumId w:val="29"/>
  </w:num>
  <w:num w:numId="54">
    <w:abstractNumId w:val="4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1">
    <w:name w:val="Encabezado 1"/>
    <w:next w:val="Encabezado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1" w:after="0" w:line="240" w:lineRule="auto"/>
      <w:ind w:left="0" w:right="0" w:firstLine="0"/>
      <w:jc w:val="left"/>
      <w:outlineLvl w:val="1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0"/>
      <w:szCs w:val="40"/>
      <w:u w:val="none" w:color="00000a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157" w:right="0" w:hanging="157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2">
    <w:name w:val="Encabezado 2"/>
    <w:next w:val="Body A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1" w:after="60" w:line="240" w:lineRule="auto"/>
      <w:ind w:left="720" w:right="0" w:hanging="360"/>
      <w:jc w:val="left"/>
      <w:outlineLvl w:val="2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s-ES_tradnl"/>
    </w:rPr>
  </w:style>
  <w:style w:type="numbering" w:styleId="Imported Style 2">
    <w:name w:val="Imported Style 2"/>
    <w:pPr>
      <w:numPr>
        <w:numId w:val="14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3">
    <w:name w:val="Imported Style 3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