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Pr>
          <w:sz w:val="28"/>
          <w:szCs w:val="28"/>
        </w:rPr>
        <w:t>.</w:t>
      </w:r>
      <w:r w:rsidR="00C9099E">
        <w:rPr>
          <w:sz w:val="28"/>
          <w:szCs w:val="28"/>
        </w:rPr>
        <w:t>5</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de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0" w:name="_Toc"/>
      <w:r>
        <w:rPr>
          <w:rFonts w:ascii="Calibri" w:eastAsia="Calibri" w:hAnsi="Calibri" w:cs="Calibri"/>
          <w:sz w:val="32"/>
          <w:szCs w:val="32"/>
        </w:rPr>
        <w:t>Introducción</w:t>
      </w:r>
      <w:bookmarkEnd w:id="0"/>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1" w:name="_Toc1"/>
      <w:r>
        <w:rPr>
          <w:rFonts w:ascii="Calibri" w:eastAsia="Calibri" w:hAnsi="Calibri" w:cs="Calibri"/>
          <w:sz w:val="28"/>
          <w:szCs w:val="28"/>
        </w:rPr>
        <w:t xml:space="preserve"> Propósito</w:t>
      </w:r>
      <w:bookmarkEnd w:id="1"/>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2"/>
      <w:r>
        <w:rPr>
          <w:rFonts w:ascii="Calibri" w:eastAsia="Calibri" w:hAnsi="Calibri" w:cs="Calibri"/>
          <w:sz w:val="32"/>
          <w:szCs w:val="32"/>
        </w:rPr>
        <w:t>Tipificación de los cambios</w:t>
      </w:r>
      <w:bookmarkEnd w:id="2"/>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3"/>
      <w:r>
        <w:rPr>
          <w:rFonts w:ascii="Calibri" w:eastAsia="Calibri" w:hAnsi="Calibri" w:cs="Calibri"/>
          <w:sz w:val="32"/>
          <w:szCs w:val="32"/>
        </w:rPr>
        <w:t>Estados de las solicitudes</w:t>
      </w:r>
      <w:bookmarkEnd w:id="3"/>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4"/>
      <w:r>
        <w:rPr>
          <w:rFonts w:ascii="Calibri" w:eastAsia="Calibri" w:hAnsi="Calibri" w:cs="Calibri"/>
          <w:sz w:val="32"/>
          <w:szCs w:val="32"/>
        </w:rPr>
        <w:t>Solicitud de cambio</w:t>
      </w:r>
      <w:bookmarkEnd w:id="4"/>
    </w:p>
    <w:p w:rsidR="00B241E9" w:rsidRDefault="00C35F20" w:rsidP="00C35F20">
      <w:pPr>
        <w:ind w:left="360" w:firstLine="360"/>
      </w:pPr>
      <w:r>
        <w:t xml:space="preserve">El formato de la solicitud de </w:t>
      </w:r>
      <w:proofErr w:type="spellStart"/>
      <w:r>
        <w:t>cambio</w:t>
      </w:r>
      <w:proofErr w:type="spellEnd"/>
      <w:r>
        <w:t xml:space="preserve"> </w:t>
      </w:r>
      <w:proofErr w:type="gramStart"/>
      <w:r>
        <w:t>a</w:t>
      </w:r>
      <w:proofErr w:type="gramEnd"/>
      <w:r>
        <w:t xml:space="preserve">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5"/>
      <w:r>
        <w:rPr>
          <w:rFonts w:ascii="Calibri" w:eastAsia="Calibri" w:hAnsi="Calibri" w:cs="Calibri"/>
          <w:sz w:val="32"/>
          <w:szCs w:val="32"/>
        </w:rPr>
        <w:t>Proceso de Gestión de Cambios</w:t>
      </w:r>
      <w:bookmarkEnd w:id="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6"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6"/>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7" w:name="_Toc7"/>
      <w:r>
        <w:rPr>
          <w:rFonts w:ascii="Calibri" w:eastAsia="Calibri" w:hAnsi="Calibri" w:cs="Calibri"/>
          <w:sz w:val="28"/>
          <w:szCs w:val="28"/>
        </w:rPr>
        <w:t xml:space="preserve"> Clasificar el cambio</w:t>
      </w:r>
      <w:bookmarkEnd w:id="7"/>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8" w:name="_Toc8"/>
      <w:r>
        <w:rPr>
          <w:rFonts w:ascii="Calibri" w:eastAsia="Calibri" w:hAnsi="Calibri" w:cs="Calibri"/>
          <w:sz w:val="28"/>
          <w:szCs w:val="28"/>
        </w:rPr>
        <w:t xml:space="preserve"> Evaluación del impacto y riesgos</w:t>
      </w:r>
      <w:bookmarkEnd w:id="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9" w:name="_Toc9"/>
      <w:r>
        <w:rPr>
          <w:rFonts w:ascii="Calibri" w:eastAsia="Calibri" w:hAnsi="Calibri" w:cs="Calibri"/>
          <w:sz w:val="28"/>
          <w:szCs w:val="28"/>
        </w:rPr>
        <w:t xml:space="preserve"> Aprobación del cambio </w:t>
      </w:r>
      <w:bookmarkEnd w:id="9"/>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w:t>
      </w:r>
      <w:r>
        <w:rPr>
          <w:rFonts w:ascii="Calibri" w:eastAsia="Calibri" w:hAnsi="Calibri" w:cs="Calibri"/>
          <w:sz w:val="22"/>
          <w:szCs w:val="22"/>
        </w:rPr>
        <w:t xml:space="preserve">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bookmarkStart w:id="10" w:name="_GoBack"/>
            <w:bookmarkEnd w:id="10"/>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1" w:name="_Toc10"/>
      <w:r>
        <w:rPr>
          <w:rFonts w:ascii="Calibri" w:eastAsia="Calibri" w:hAnsi="Calibri" w:cs="Calibri"/>
          <w:sz w:val="28"/>
          <w:szCs w:val="28"/>
        </w:rPr>
        <w:t xml:space="preserve"> Planificación y calendarización</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indicado en la tabla 5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2" w:name="_Toc11"/>
      <w:r>
        <w:rPr>
          <w:rFonts w:ascii="Calibri" w:eastAsia="Calibri" w:hAnsi="Calibri" w:cs="Calibri"/>
          <w:sz w:val="28"/>
          <w:szCs w:val="28"/>
        </w:rPr>
        <w:t xml:space="preserve"> Implementación del cambio</w:t>
      </w:r>
      <w:bookmarkEnd w:id="1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Los cambios ya planificados pasan a ser implementados acorde a todo lo establecido en la tabla 6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1B77E5">
        <w:rPr>
          <w:sz w:val="22"/>
          <w:szCs w:val="22"/>
        </w:rPr>
        <w:t>9</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10</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10</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11</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11</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w:t>
      </w:r>
      <w:proofErr w:type="spellStart"/>
      <w:r>
        <w:rPr>
          <w:rFonts w:ascii="Calibri" w:eastAsia="Calibri" w:hAnsi="Calibri" w:cs="Calibri"/>
          <w:sz w:val="22"/>
          <w:szCs w:val="22"/>
          <w:lang w:val="fr-FR"/>
        </w:rPr>
        <w:t>implementaci</w:t>
      </w:r>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w:t>
      </w:r>
      <w:r>
        <w:rPr>
          <w:rFonts w:ascii="Calibri" w:eastAsia="Calibri" w:hAnsi="Calibri" w:cs="Calibri"/>
          <w:sz w:val="22"/>
          <w:szCs w:val="22"/>
        </w:rPr>
        <w:lastRenderedPageBreak/>
        <w:t>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167" w:rsidRDefault="00154167">
      <w:r>
        <w:separator/>
      </w:r>
    </w:p>
  </w:endnote>
  <w:endnote w:type="continuationSeparator" w:id="0">
    <w:p w:rsidR="00154167" w:rsidRDefault="0015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390" w:rsidRDefault="00F93390">
    <w:pPr>
      <w:pStyle w:val="Piedepgina"/>
      <w:tabs>
        <w:tab w:val="right" w:pos="9340"/>
      </w:tabs>
    </w:pPr>
    <w:r>
      <w:tab/>
    </w:r>
    <w:r>
      <w:tab/>
    </w:r>
    <w:r>
      <w:tab/>
    </w:r>
    <w:r>
      <w:fldChar w:fldCharType="begin"/>
    </w:r>
    <w:r>
      <w:instrText xml:space="preserve"> PAGE </w:instrText>
    </w:r>
    <w:r>
      <w:fldChar w:fldCharType="separate"/>
    </w:r>
    <w:r w:rsidR="00BC1819">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167" w:rsidRDefault="00154167">
      <w:r>
        <w:separator/>
      </w:r>
    </w:p>
  </w:footnote>
  <w:footnote w:type="continuationSeparator" w:id="0">
    <w:p w:rsidR="00154167" w:rsidRDefault="00154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08346EF"/>
    <w:multiLevelType w:val="multilevel"/>
    <w:tmpl w:val="650E35DA"/>
    <w:numStyleLink w:val="ImportedStyle2"/>
  </w:abstractNum>
  <w:abstractNum w:abstractNumId="21">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nsid w:val="70F3797A"/>
    <w:multiLevelType w:val="multilevel"/>
    <w:tmpl w:val="79ECB3F0"/>
    <w:numStyleLink w:val="ImportedStyle3"/>
  </w:abstractNum>
  <w:abstractNum w:abstractNumId="25">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54167"/>
    <w:rsid w:val="00157C4C"/>
    <w:rsid w:val="00173FDC"/>
    <w:rsid w:val="00195F56"/>
    <w:rsid w:val="001A3398"/>
    <w:rsid w:val="001B77E5"/>
    <w:rsid w:val="001F03B1"/>
    <w:rsid w:val="00222E50"/>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827A3"/>
    <w:rsid w:val="007E3566"/>
    <w:rsid w:val="007E47ED"/>
    <w:rsid w:val="00826C08"/>
    <w:rsid w:val="00845481"/>
    <w:rsid w:val="008B5EDD"/>
    <w:rsid w:val="008C3CC0"/>
    <w:rsid w:val="00902D2E"/>
    <w:rsid w:val="00962BD9"/>
    <w:rsid w:val="00994B5C"/>
    <w:rsid w:val="009E6BD2"/>
    <w:rsid w:val="009F2FC6"/>
    <w:rsid w:val="00AC06C2"/>
    <w:rsid w:val="00B241E9"/>
    <w:rsid w:val="00B33A16"/>
    <w:rsid w:val="00BC1819"/>
    <w:rsid w:val="00BC2B7B"/>
    <w:rsid w:val="00C35F20"/>
    <w:rsid w:val="00C9099E"/>
    <w:rsid w:val="00C92F7F"/>
    <w:rsid w:val="00CC0142"/>
    <w:rsid w:val="00D5488B"/>
    <w:rsid w:val="00D94AFB"/>
    <w:rsid w:val="00DE4090"/>
    <w:rsid w:val="00E43B1B"/>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de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khuaman</cp:lastModifiedBy>
  <cp:revision>59</cp:revision>
  <dcterms:created xsi:type="dcterms:W3CDTF">2017-11-10T18:20:00Z</dcterms:created>
  <dcterms:modified xsi:type="dcterms:W3CDTF">2017-11-17T18:03:00Z</dcterms:modified>
</cp:coreProperties>
</file>