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2E75B6"/>
          <w:spacing w:val="300"/>
          <w:sz w:val="28"/>
          <w:szCs w:val="28"/>
        </w:rPr>
        <w:t xml:space="preserve">PROYECTO OPEN SOURCE</w:t>
      </w:r>
    </w:p>
    <w:p>
      <w:pPr>
        <w:spacing w:after="120"/>
        <w:jc w:val="center"/>
      </w:pPr>
      <w:r>
        <w:rPr>
          <w:rFonts w:ascii="Calibri" w:cs="Calibri" w:eastAsia="Calibri" w:hAnsi="Calibri"/>
          <w:b/>
          <w:bCs/>
          <w:color w:val="1B4F72"/>
          <w:sz w:val="52"/>
          <w:szCs w:val="52"/>
        </w:rPr>
        <w:t xml:space="preserve">Software de Gestión de Clínicas Dentales</w:t>
      </w:r>
    </w:p>
    <w:p>
      <w:pPr>
        <w:spacing w:after="600"/>
        <w:jc w:val="center"/>
      </w:pPr>
      <w:r>
        <w:rPr>
          <w:rFonts w:ascii="Calibri" w:cs="Calibri" w:eastAsia="Calibri" w:hAnsi="Calibri"/>
          <w:i/>
          <w:iCs/>
          <w:color w:val="666666"/>
          <w:sz w:val="24"/>
          <w:szCs w:val="24"/>
        </w:rPr>
        <w:t xml:space="preserve">Especificación completa para desarrollo en una semana con vibe coding</w:t>
      </w:r>
    </w:p>
    <w:p>
      <w:pPr>
        <w:pBdr>
          <w:top w:val="single" w:color="2E75B6" w:sz="2" w:space="8"/>
        </w:pBdr>
        <w:spacing w:after="160" w:before="400"/>
        <w:jc w:val="center"/>
      </w:pPr>
      <w:r>
        <w:rPr>
          <w:rFonts w:ascii="Calibri" w:cs="Calibri" w:eastAsia="Calibri" w:hAnsi="Calibri"/>
          <w:color w:val="888888"/>
          <w:sz w:val="22"/>
          <w:szCs w:val="22"/>
        </w:rPr>
        <w:t xml:space="preserve">Documento estratégico y técnico</w:t>
      </w:r>
    </w:p>
    <w:p>
      <w:pPr>
        <w:spacing w:after="80"/>
        <w:jc w:val="center"/>
      </w:pPr>
      <w:r>
        <w:rPr>
          <w:rFonts w:ascii="Calibri" w:cs="Calibri" w:eastAsia="Calibri" w:hAnsi="Calibri"/>
          <w:color w:val="888888"/>
          <w:sz w:val="22"/>
          <w:szCs w:val="22"/>
        </w:rPr>
        <w:t xml:space="preserve">Preparado para: Ramón — CEO, Dentaltix</w:t>
      </w:r>
    </w:p>
    <w:p>
      <w:pPr>
        <w:spacing w:after="80"/>
        <w:jc w:val="center"/>
      </w:pPr>
      <w:r>
        <w:rPr>
          <w:rFonts w:ascii="Calibri" w:cs="Calibri" w:eastAsia="Calibri" w:hAnsi="Calibri"/>
          <w:color w:val="888888"/>
          <w:sz w:val="22"/>
          <w:szCs w:val="22"/>
        </w:rPr>
        <w:t xml:space="preserve">Marzo 2026</w:t>
      </w:r>
    </w:p>
    <w:p>
      <w:pPr>
        <w:spacing w:after="80"/>
        <w:jc w:val="center"/>
      </w:pPr>
      <w:r>
        <w:rPr>
          <w:rFonts w:ascii="Calibri" w:cs="Calibri" w:eastAsia="Calibri" w:hAnsi="Calibri"/>
          <w:b/>
          <w:bCs/>
          <w:color w:val="CC0000"/>
          <w:spacing w:val="200"/>
          <w:sz w:val="20"/>
          <w:szCs w:val="20"/>
        </w:rPr>
        <w:t xml:space="preserve">CONFIDENCIAL</w:t>
      </w:r>
    </w:p>
    <w:p>
      <w:pPr>
        <w:sectPr>
          <w:pgSz w:w="11906" w:h="16838" w:orient="portrait"/>
          <w:pgMar w:top="1440" w:right="1440" w:bottom="1440" w:left="1440" w:header="708" w:footer="708" w:gutter="0"/>
          <w:pgNumType/>
          <w:docGrid w:linePitch="360"/>
        </w:sectPr>
      </w:pPr>
    </w:p>
    <w:p>
      <w:pPr>
        <w:pStyle w:val="Heading1"/>
      </w:pPr>
      <w:r>
        <w:t xml:space="preserve">1. Visión Estratégica</w:t>
      </w:r>
    </w:p>
    <w:p>
      <w:pPr>
        <w:pStyle w:val="Heading2"/>
      </w:pPr>
      <w:r>
        <w:t xml:space="preserve">1.1 El Problema de Mercado</w:t>
      </w:r>
    </w:p>
    <w:p>
      <w:pPr>
        <w:spacing w:after="160"/>
      </w:pPr>
      <w:r>
        <w:t xml:space="preserve">Los software de gestión de clínicas dentales en Europa (Gesden, Dentalink, Cliniview, CS R4, Dolphin) comparten características que generan frustración universal en el sector: son propietarios y caros (100-300€/mes por licencia), cerrados (sin APIs abiertas, sin integraciones estándar), con interfaces anticuadas diseñadas hace 10-15 años, y con datos de pacientes cautivos que hacen la migración prohibitiva.</w:t>
      </w:r>
    </w:p>
    <w:p>
      <w:pPr>
        <w:spacing w:after="160"/>
      </w:pPr>
      <w:r>
        <w:t xml:space="preserve">Ningún actor del mercado tiene incentivos para cambiar esta situación. Los software existentes viven de las licencias mensuales y del lock-in de datos. Los fabricantes de equipos dentales crean integraciones privadas uno a uno. Las clínicas no tienen alternativa.</w:t>
      </w:r>
    </w:p>
    <w:p>
      <w:pPr>
        <w:pStyle w:val="Heading2"/>
      </w:pPr>
      <w:r>
        <w:t xml:space="preserve">1.2 La Oportunidad para Dentaltix</w:t>
      </w:r>
    </w:p>
    <w:p>
      <w:pPr>
        <w:spacing w:after="160"/>
      </w:pPr>
      <w:r>
        <w:t xml:space="preserve">Dentaltix no vende software — vende suministros dentales. Pero si Dentaltix controla el software que la clínica usa 8 horas al día, tiene el canal de distribución más potente posible para vender suministros. Es el modelo Android/Google: regalar el sistema operativo para controlar el ecosistema que alimenta el negocio real.</w:t>
      </w:r>
    </w:p>
    <w:p>
      <w:pPr>
        <w:spacing w:after="160"/>
      </w:pPr>
      <w:r>
        <w:rPr>
          <w:b/>
          <w:bCs/>
        </w:rPr>
        <w:t xml:space="preserve">El proyecto: </w:t>
      </w:r>
      <w:r>
        <w:t xml:space="preserve">crear un software de gestión clínica dental open source, modular, moderno y gratuito en su core, con un sistema de módulos que permita a toda la industria (fabricantes de equipos, laboratorios, aseguradoras, desarrolladores) crear conectores y extensiones.</w:t>
      </w:r>
    </w:p>
    <w:p>
      <w:pPr>
        <w:pStyle w:val="Heading2"/>
      </w:pPr>
      <w:r>
        <w:t xml:space="preserve">1.3 Modelo CUDA Aplicado</w:t>
      </w:r>
    </w:p>
    <w:p>
      <w:pPr>
        <w:spacing w:after="160"/>
      </w:pPr>
      <w:r>
        <w:t xml:space="preserve">Siguiendo el modelo NVIDIA/CUDA: lo que se regala es la capa de software que genera el ecosistema (el software de gestión). Lo que se monetiza es la capa donde Dentaltix es insustituible (la venta de suministros con integración nativa).</w:t>
      </w:r>
    </w:p>
    <w:p>
      <w:pPr>
        <w:pStyle w:val="ListParagraph"/>
        <w:numPr>
          <w:ilvl w:val="0"/>
          <w:numId w:val="2"/>
        </w:numPr>
        <w:spacing w:after="80"/>
      </w:pPr>
      <w:r>
        <w:rPr>
          <w:b/>
          <w:bCs/>
        </w:rPr>
        <w:t xml:space="preserve">Capa abierta (el CUDA): </w:t>
      </w:r>
      <w:r>
        <w:t xml:space="preserve">software de gestión clínica con core gratuito, API de extensión documentada, sistema de módulos.</w:t>
      </w:r>
    </w:p>
    <w:p>
      <w:pPr>
        <w:pStyle w:val="ListParagraph"/>
        <w:numPr>
          <w:ilvl w:val="0"/>
          <w:numId w:val="2"/>
        </w:numPr>
        <w:spacing w:after="80"/>
      </w:pPr>
      <w:r>
        <w:rPr>
          <w:b/>
          <w:bCs/>
        </w:rPr>
        <w:t xml:space="preserve">Capas propietarias (la GPU): </w:t>
      </w:r>
      <w:r>
        <w:t xml:space="preserve">módulo de suministros con integración directa a Dentaltix, equivalencias enriquecidas con datos de consumo, reposición predictiva, recomendaciones de marca propia.</w:t>
      </w:r>
    </w:p>
    <w:p>
      <w:pPr>
        <w:pStyle w:val="ListParagraph"/>
        <w:numPr>
          <w:ilvl w:val="0"/>
          <w:numId w:val="2"/>
        </w:numPr>
        <w:spacing w:after="80"/>
      </w:pPr>
      <w:r>
        <w:rPr>
          <w:b/>
          <w:bCs/>
        </w:rPr>
        <w:t xml:space="preserve">Cadencia de innovación: </w:t>
      </w:r>
      <w:r>
        <w:t xml:space="preserve">Dentaltix como mantenedor principal siempre va una versión por delante en las capas propietarias.</w:t>
      </w:r>
    </w:p>
    <w:p>
      <w:pPr>
        <w:pStyle w:val="Heading2"/>
      </w:pPr>
      <w:r>
        <w:t xml:space="preserve">1.4 Timing Estratégico</w:t>
      </w:r>
    </w:p>
    <w:p>
      <w:pPr>
        <w:spacing w:after="160"/>
      </w:pPr>
      <w:r>
        <w:t xml:space="preserve">El proyecto no requiere inversión significativa ahora. La semana de vibe coding genera el prototipo fundacional que se publica en GitHub. La inversión real (equipo dedicado, marketing, ecosistema) llega cuando el crecimiento del core de Dentaltix se desacelere y el beneficio neto permita una apuesta de 200-300K€ sin comprometer el negocio principal. Horizonte estimado: 2028-2030.</w:t>
      </w:r>
    </w:p>
    <w:p>
      <w:pPr>
        <w:pStyle w:val="Heading1"/>
      </w:pPr>
      <w:r>
        <w:t xml:space="preserve">2. Licencia, Gobernanza y Propiedad Intelectual</w:t>
      </w:r>
    </w:p>
    <w:p>
      <w:pPr>
        <w:pStyle w:val="Heading2"/>
      </w:pPr>
      <w:r>
        <w:t xml:space="preserve">2.1 Estructura de Licencias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c>
          <w:tcPr>
            <w:tcW w:type="dxa" w:w="2707"/>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Componente</w:t>
            </w:r>
          </w:p>
        </w:tc>
        <w:tc>
          <w:tcPr>
            <w:tcW w:type="dxa" w:w="6319"/>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Licencia y Justificación</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Código del core y módulos</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BSL 1.1 (Business Source License). Uso limitado: ofrecer el software como SaaS comercial de gestión clínica dental. Change date: 4 años. Licencia de cambio: Apache 2.0. Permite uso gratuito por clínicas, contribuciones de developers, creación de módulos por terceros. Impide que un competidor lo hostee como SaaS.</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Datos del catálogo de productos (si se integra)</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ODbL 1.0 (Open Database License). Permite uso comercial con atribución y share-alike. Si un competidor enriquece los datos, debe publicar las mejoras.</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Módulos propietarios de Dentaltix</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Licencia comercial propietaria. Incluye: módulo de suministros con integración a Dentaltix, equivalencias enriquecidas, analytics de consumo, reposición predictiva.</w:t>
            </w:r>
          </w:p>
        </w:tc>
      </w:tr>
    </w:tbl>
    <w:p>
      <w:pPr>
        <w:spacing w:after="80"/>
      </w:pPr>
    </w:p>
    <w:p>
      <w:pPr>
        <w:pStyle w:val="Heading2"/>
      </w:pPr>
      <w:r>
        <w:t xml:space="preserve">2.2 Contributor License Agreement (CLA)</w:t>
      </w:r>
    </w:p>
    <w:p>
      <w:pPr>
        <w:spacing w:after="160"/>
      </w:pPr>
      <w:r>
        <w:t xml:space="preserve">Todo contribuidor externo debe firmar un CLA basado en el Apache ICLA antes de que su primer pull request sea aceptado. El CLA otorga a Dentaltix una licencia perpetua e irrevocable sobre las contribuciones, permitiendo relicenciar en el futuro si es necesario. Se implementa con CLA Assistant en GitHub (firma electrónica automática en el flujo de PR).</w:t>
      </w:r>
    </w:p>
    <w:p>
      <w:pPr>
        <w:pStyle w:val="Heading2"/>
      </w:pPr>
      <w:r>
        <w:t xml:space="preserve">2.3 Gobernanza</w:t>
      </w:r>
    </w:p>
    <w:p>
      <w:pPr>
        <w:spacing w:after="160"/>
      </w:pPr>
      <w:r>
        <w:t xml:space="preserve">Dentaltix es el lead maintainer del proyecto. Controla qué pull requests se aceptan, la hoja de ruta, los estándares de calidad, y la infraestructura de CI/CD. El modelo es el mismo que Google con Android o Evan You con Vue.js: open source con liderazgo claro de una empresa.</w:t>
      </w:r>
    </w:p>
    <w:p>
      <w:pPr>
        <w:pStyle w:val="Heading2"/>
      </w:pPr>
      <w:r>
        <w:t xml:space="preserve">2.4 Identidad del Proyecto</w:t>
      </w:r>
    </w:p>
    <w:p>
      <w:pPr>
        <w:spacing w:after="160"/>
      </w:pPr>
      <w:r>
        <w:t xml:space="preserve">El proyecto necesita un nombre independiente de Dentaltix que suene a estándar de industria. Propuestas: ClinicCore, DentHub, OpenClinic, Odontux. En toda la documentación: "Impulsado por Dentaltix, construido para la industria dental." El proyecto tiene identidad propia, repositorio propio, y web propia, separado de dentaltix.com.</w:t>
      </w:r>
    </w:p>
    <w:p>
      <w:pPr>
        <w:pStyle w:val="Heading1"/>
      </w:pPr>
      <w:r>
        <w:t xml:space="preserve">3. Arquitectura Técnica</w:t>
      </w:r>
    </w:p>
    <w:p>
      <w:pPr>
        <w:pStyle w:val="Heading2"/>
      </w:pPr>
      <w:r>
        <w:t xml:space="preserve">3.1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c>
          <w:tcPr>
            <w:tcW w:type="dxa" w:w="2707"/>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Capa</w:t>
            </w:r>
          </w:p>
        </w:tc>
        <w:tc>
          <w:tcPr>
            <w:tcW w:type="dxa" w:w="6319"/>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Tecnología</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Vue 3 con Nuxt 3, TypeScript, Tailwind CSS, Nuxt UI para componentes base</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Backend</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FastAPI (Python 3.11+) con SQLAlchemy 2.0, Pydantic v2 para validación</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Base de datos</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PostgreSQL 15+ con migraciones via Alembic</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Autenticación</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JWT con refresh tokens, RBAC (Role-Based Access Control)</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Contenedores</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Docker + Docker Compose para desarrollo y despliegue</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CI/CD</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GitHub Actions: linting (ruff + eslint), tests (pytest + vitest/nuxt test utils), build</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Documentación</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MkDocs con Material theme para docs técnicas</w:t>
            </w:r>
          </w:p>
        </w:tc>
      </w:tr>
    </w:tbl>
    <w:p>
      <w:pPr>
        <w:spacing w:after="80"/>
      </w:pPr>
    </w:p>
    <w:p>
      <w:pPr>
        <w:pStyle w:val="Heading2"/>
      </w:pPr>
      <w:r>
        <w:t xml:space="preserve">3.2 Sistema de Módulos (Plugin Architecture)</w:t>
      </w:r>
    </w:p>
    <w:p>
      <w:pPr>
        <w:spacing w:after="160"/>
      </w:pPr>
      <w:r>
        <w:t xml:space="preserve">Esta es la decisión arquitectónica más importante del proyecto. El core se diseña con un sistema de plugins desde el primer commit, aunque en la semana uno solo exista un módulo (el core clínico).</w:t>
      </w:r>
    </w:p>
    <w:p>
      <w:pPr>
        <w:pStyle w:val="Heading3"/>
      </w:pPr>
      <w:r>
        <w:t xml:space="preserve">3.2.1 Backend: Registro de Módulos</w:t>
      </w:r>
    </w:p>
    <w:p>
      <w:pPr>
        <w:spacing w:after="160"/>
      </w:pPr>
      <w:r>
        <w:t xml:space="preserve">Cada módulo del backend es un paquete Python que expone un manifiesto estándar:</w:t>
      </w:r>
    </w:p>
    <w:p>
      <w:pPr>
        <w:pStyle w:val="ListParagraph"/>
        <w:numPr>
          <w:ilvl w:val="0"/>
          <w:numId w:val="2"/>
        </w:numPr>
        <w:spacing w:after="80"/>
      </w:pPr>
      <w:r>
        <w:rPr>
          <w:b/>
          <w:bCs/>
        </w:rPr>
        <w:t xml:space="preserve">Identificador único: </w:t>
      </w:r>
      <w:r>
        <w:t xml:space="preserve">nombre del módulo (ej: 'core_clinical', 'supplies', 'radiology').</w:t>
      </w:r>
    </w:p>
    <w:p>
      <w:pPr>
        <w:pStyle w:val="ListParagraph"/>
        <w:numPr>
          <w:ilvl w:val="0"/>
          <w:numId w:val="2"/>
        </w:numPr>
        <w:spacing w:after="80"/>
      </w:pPr>
      <w:r>
        <w:rPr>
          <w:b/>
          <w:bCs/>
        </w:rPr>
        <w:t xml:space="preserve">Versión: </w:t>
      </w:r>
      <w:r>
        <w:t xml:space="preserve">semver del módulo.</w:t>
      </w:r>
    </w:p>
    <w:p>
      <w:pPr>
        <w:pStyle w:val="ListParagraph"/>
        <w:numPr>
          <w:ilvl w:val="0"/>
          <w:numId w:val="2"/>
        </w:numPr>
        <w:spacing w:after="80"/>
      </w:pPr>
      <w:r>
        <w:rPr>
          <w:b/>
          <w:bCs/>
        </w:rPr>
        <w:t xml:space="preserve">Dependencias: </w:t>
      </w:r>
      <w:r>
        <w:t xml:space="preserve">lista de módulos requeridos (ej: 'supplies' depende de 'core_clinical').</w:t>
      </w:r>
    </w:p>
    <w:p>
      <w:pPr>
        <w:pStyle w:val="ListParagraph"/>
        <w:numPr>
          <w:ilvl w:val="0"/>
          <w:numId w:val="2"/>
        </w:numPr>
        <w:spacing w:after="80"/>
      </w:pPr>
      <w:r>
        <w:rPr>
          <w:b/>
          <w:bCs/>
        </w:rPr>
        <w:t xml:space="preserve">Modelos: </w:t>
      </w:r>
      <w:r>
        <w:t xml:space="preserve">clases SQLAlchemy que el módulo registra. Alembic las detecta automáticamente.</w:t>
      </w:r>
    </w:p>
    <w:p>
      <w:pPr>
        <w:pStyle w:val="ListParagraph"/>
        <w:numPr>
          <w:ilvl w:val="0"/>
          <w:numId w:val="2"/>
        </w:numPr>
        <w:spacing w:after="80"/>
      </w:pPr>
      <w:r>
        <w:rPr>
          <w:b/>
          <w:bCs/>
        </w:rPr>
        <w:t xml:space="preserve">Rutas: </w:t>
      </w:r>
      <w:r>
        <w:t xml:space="preserve">un FastAPI Router con los endpoints del módulo, que se monta automáticamente bajo /api/v1/{modulo}/.</w:t>
      </w:r>
    </w:p>
    <w:p>
      <w:pPr>
        <w:pStyle w:val="ListParagraph"/>
        <w:numPr>
          <w:ilvl w:val="0"/>
          <w:numId w:val="2"/>
        </w:numPr>
        <w:spacing w:after="80"/>
      </w:pPr>
      <w:r>
        <w:rPr>
          <w:b/>
          <w:bCs/>
        </w:rPr>
        <w:t xml:space="preserve">Eventos: </w:t>
      </w:r>
      <w:r>
        <w:t xml:space="preserve">hooks a los que el módulo puede suscribirse (ej: 'patient.created', 'appointment.completed', 'treatment.finished').</w:t>
      </w:r>
    </w:p>
    <w:p>
      <w:pPr>
        <w:pStyle w:val="ListParagraph"/>
        <w:numPr>
          <w:ilvl w:val="0"/>
          <w:numId w:val="2"/>
        </w:numPr>
        <w:spacing w:after="80"/>
      </w:pPr>
      <w:r>
        <w:rPr>
          <w:b/>
          <w:bCs/>
        </w:rPr>
        <w:t xml:space="preserve">Permisos: </w:t>
      </w:r>
      <w:r>
        <w:t xml:space="preserve">definición de los permisos específicos del módulo que se añaden al sistema RBAC.</w:t>
      </w:r>
    </w:p>
    <w:p>
      <w:pPr>
        <w:spacing w:after="80"/>
      </w:pPr>
    </w:p>
    <w:p>
      <w:pPr>
        <w:spacing w:after="160"/>
      </w:pPr>
      <w:r>
        <w:t xml:space="preserve">Al arrancar, la aplicación escanea el directorio de módulos, resuelve dependencias, registra modelos, monta rutas, y conecta eventos. Esto permite que añadir un módulo nuevo sea tan simple como colocar un paquete Python en el directorio correcto y reiniciar.</w:t>
      </w:r>
    </w:p>
    <w:p>
      <w:pPr>
        <w:pStyle w:val="Heading3"/>
      </w:pPr>
      <w:r>
        <w:t xml:space="preserve">3.2.2 Frontend: Extensión por Módulos</w:t>
      </w:r>
    </w:p>
    <w:p>
      <w:pPr>
        <w:spacing w:after="160"/>
      </w:pPr>
      <w:r>
        <w:t xml:space="preserve">El frontend tiene un sistema de registro equivalente. Cada módulo frontend declara:</w:t>
      </w:r>
    </w:p>
    <w:p>
      <w:pPr>
        <w:pStyle w:val="ListParagraph"/>
        <w:numPr>
          <w:ilvl w:val="0"/>
          <w:numId w:val="2"/>
        </w:numPr>
        <w:spacing w:after="80"/>
      </w:pPr>
      <w:r>
        <w:rPr>
          <w:b/>
          <w:bCs/>
        </w:rPr>
        <w:t xml:space="preserve">Rutas: </w:t>
      </w:r>
      <w:r>
        <w:t xml:space="preserve">las páginas que añade a la navegación (ej: el módulo de suministros añade '/supplies' con su dashboard).</w:t>
      </w:r>
    </w:p>
    <w:p>
      <w:pPr>
        <w:pStyle w:val="ListParagraph"/>
        <w:numPr>
          <w:ilvl w:val="0"/>
          <w:numId w:val="2"/>
        </w:numPr>
        <w:spacing w:after="80"/>
      </w:pPr>
      <w:r>
        <w:rPr>
          <w:b/>
          <w:bCs/>
        </w:rPr>
        <w:t xml:space="preserve">Navegación: </w:t>
      </w:r>
      <w:r>
        <w:t xml:space="preserve">entradas en el menú lateral (icono, texto, posición).</w:t>
      </w:r>
    </w:p>
    <w:p>
      <w:pPr>
        <w:pStyle w:val="ListParagraph"/>
        <w:numPr>
          <w:ilvl w:val="0"/>
          <w:numId w:val="2"/>
        </w:numPr>
        <w:spacing w:after="80"/>
      </w:pPr>
      <w:r>
        <w:rPr>
          <w:b/>
          <w:bCs/>
        </w:rPr>
        <w:t xml:space="preserve">Widgets de dashboard: </w:t>
      </w:r>
      <w:r>
        <w:t xml:space="preserve">componentes que se renderizan en la página principal (ej: 'Stock bajo: 3 productos' como tarjeta en el dashboard).</w:t>
      </w:r>
    </w:p>
    <w:p>
      <w:pPr>
        <w:pStyle w:val="ListParagraph"/>
        <w:numPr>
          <w:ilvl w:val="0"/>
          <w:numId w:val="2"/>
        </w:numPr>
        <w:spacing w:after="80"/>
      </w:pPr>
      <w:r>
        <w:rPr>
          <w:b/>
          <w:bCs/>
        </w:rPr>
        <w:t xml:space="preserve">Extensiones de ficha: </w:t>
      </w:r>
      <w:r>
        <w:t xml:space="preserve">pestañas o secciones que se añaden a vistas existentes (ej: el módulo de radiología añade una pestaña 'Imágenes' a la ficha del paciente).</w:t>
      </w:r>
    </w:p>
    <w:p>
      <w:pPr>
        <w:spacing w:after="80"/>
      </w:pPr>
    </w:p>
    <w:p>
      <w:pPr>
        <w:spacing w:after="160"/>
      </w:pPr>
      <w:r>
        <w:t xml:space="preserve">El mecanismo técnico usa el sistema de plugins y módulos nativo de Nuxt 3. Cada módulo del proyecto se implementa como un Nuxt Module que auto-registra sus rutas (via directorio pages/), componentes, y composables. El layout principal y la navegación leen un registro central (moduleRegistry.ts en /utils/) para construir el menú dinámicamente. Este enfoque aprovecha las convenciones de Nuxt (auto-imports, file-based routing) para que añadir un módulo sea lo más simple posible.</w:t>
      </w:r>
    </w:p>
    <w:p>
      <w:pPr>
        <w:pStyle w:val="Heading3"/>
      </w:pPr>
      <w:r>
        <w:t xml:space="preserve">3.2.3 Sistema de Eventos</w:t>
      </w:r>
    </w:p>
    <w:p>
      <w:pPr>
        <w:spacing w:after="160"/>
      </w:pPr>
      <w:r>
        <w:t xml:space="preserve">El core emite eventos en momentos clave del flujo clínico. Los módulos se suscriben a estos eventos para ejecutar su lógica sin acoplar el core a ninguna extensión. Eventos del core:</w:t>
      </w:r>
    </w:p>
    <w:p>
      <w:pPr>
        <w:pStyle w:val="ListParagraph"/>
        <w:numPr>
          <w:ilvl w:val="0"/>
          <w:numId w:val="2"/>
        </w:numPr>
        <w:spacing w:after="80"/>
      </w:pPr>
      <w:r>
        <w:t xml:space="preserve">patient.created, patient.updated — Cuando se crea o modifica un paciente.</w:t>
      </w:r>
    </w:p>
    <w:p>
      <w:pPr>
        <w:pStyle w:val="ListParagraph"/>
        <w:numPr>
          <w:ilvl w:val="0"/>
          <w:numId w:val="2"/>
        </w:numPr>
        <w:spacing w:after="80"/>
      </w:pPr>
      <w:r>
        <w:t xml:space="preserve">appointment.scheduled, appointment.completed, appointment.cancelled — Ciclo de vida de citas.</w:t>
      </w:r>
    </w:p>
    <w:p>
      <w:pPr>
        <w:pStyle w:val="ListParagraph"/>
        <w:numPr>
          <w:ilvl w:val="0"/>
          <w:numId w:val="2"/>
        </w:numPr>
        <w:spacing w:after="80"/>
      </w:pPr>
      <w:r>
        <w:t xml:space="preserve">treatment.planned, treatment.started, treatment.completed — Ciclo de vida de tratamientos.</w:t>
      </w:r>
    </w:p>
    <w:p>
      <w:pPr>
        <w:pStyle w:val="ListParagraph"/>
        <w:numPr>
          <w:ilvl w:val="0"/>
          <w:numId w:val="2"/>
        </w:numPr>
        <w:spacing w:after="80"/>
      </w:pPr>
      <w:r>
        <w:t xml:space="preserve">budget.created, budget.accepted, budget.rejected — Ciclo de vida de presupuestos.</w:t>
      </w:r>
    </w:p>
    <w:p>
      <w:pPr>
        <w:pStyle w:val="ListParagraph"/>
        <w:numPr>
          <w:ilvl w:val="0"/>
          <w:numId w:val="2"/>
        </w:numPr>
        <w:spacing w:after="80"/>
      </w:pPr>
      <w:r>
        <w:t xml:space="preserve">invoice.created, invoice.paid — Ciclo de vida de facturación.</w:t>
      </w:r>
    </w:p>
    <w:p>
      <w:pPr>
        <w:spacing w:after="80"/>
      </w:pPr>
    </w:p>
    <w:p>
      <w:pPr>
        <w:spacing w:after="160"/>
      </w:pPr>
      <w:r>
        <w:t xml:space="preserve">Ejemplo: cuando el módulo de suministros de Dentaltix esté instalado y un tratamiento se completa (treatment.completed), el módulo descuenta automáticamente los materiales consumidos del inventario de la clínica.</w:t>
      </w:r>
    </w:p>
    <w:p>
      <w:pPr>
        <w:pStyle w:val="Heading1"/>
      </w:pPr>
      <w:r>
        <w:t xml:space="preserve">4. Modelo de Datos del Core</w:t>
      </w:r>
    </w:p>
    <w:p>
      <w:pPr>
        <w:pStyle w:val="Heading2"/>
      </w:pPr>
      <w:r>
        <w:t xml:space="preserve">4.1 Entidad: Clínica (Clinic)</w:t>
      </w:r>
    </w:p>
    <w:p>
      <w:pPr>
        <w:spacing w:after="160"/>
      </w:pPr>
      <w:r>
        <w:t xml:space="preserve">Entidad raíz del sistema. Todo el dato clínico pertenece a una clínica. Soporte multi-clínica desde el diseño, clave para grupos dentales.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name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VARCHAR(200)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Nombre de la clínica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tax_id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VARCHAR(20)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CIF/NIF</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address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Dirección estructurada (calle, ciudad, CP, país)</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phone, email</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Contacto principal</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settings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Configuración de la clínica (horario, duración slots, moneda)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cabinets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Lista de gabinetes con nombre y color</w:t>
            </w:r>
          </w:p>
        </w:tc>
      </w:tr>
    </w:tbl>
    <w:p>
      <w:pPr>
        <w:spacing w:after="80"/>
      </w:pPr>
    </w:p>
    <w:p>
      <w:pPr>
        <w:pStyle w:val="Heading2"/>
      </w:pPr>
      <w:r>
        <w:t xml:space="preserve">4.2 Entidad: Usuario (User)</w:t>
      </w:r>
    </w:p>
    <w:p>
      <w:pPr>
        <w:spacing w:after="160"/>
      </w:pPr>
      <w:r>
        <w:t xml:space="preserve">Usuarios del sistema con roles por clínica. Un usuario puede pertenecer a múltiples clínicas (clave para grupos dentales).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email</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VARCHAR(255), UNIQUE</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Email de login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password_hash</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Hash bcrypt de la contraseña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first_name, last_name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VARCHAR(100)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Nombre y apellidos</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role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admin, dentist, hygienist, assistant, receptionist</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clinic_memberships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M2M con permisos</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Relación usuario-clínica con rol específico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professional_id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VARCHAR(50)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Número de colegiado (dentistas)</w:t>
            </w:r>
          </w:p>
        </w:tc>
      </w:tr>
    </w:tbl>
    <w:p>
      <w:pPr>
        <w:spacing w:after="80"/>
      </w:pPr>
    </w:p>
    <w:p>
      <w:pPr>
        <w:pStyle w:val="Heading2"/>
      </w:pPr>
      <w:r>
        <w:t xml:space="preserve">4.3 Entidad: Paciente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clinic_id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Clínica a la que pertenece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first_name, last_name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VARCHAR(100)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Nombre y apellidos</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national_id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VARCHAR(20)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DNI/NIE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date_of_birth</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Fecha de nacimiento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gender</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male, female, other</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phone, email</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Contacto del paciente</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address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Dirección postal</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medical_history</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Alergias, medicación, enfermedades, notas médicas</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insurance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Aseguradora, número de póliza, cobertura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notes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Notas internas libres</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consent_signed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BOOLEAN</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Consentimiento RGPD firmado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status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active, inactive, archived</w:t>
            </w:r>
          </w:p>
        </w:tc>
      </w:tr>
    </w:tbl>
    <w:p>
      <w:pPr>
        <w:spacing w:after="80"/>
      </w:pPr>
    </w:p>
    <w:p>
      <w:pPr>
        <w:pStyle w:val="Heading2"/>
      </w:pPr>
      <w:r>
        <w:t xml:space="preserve">4.4 Entidad: Odontograma (Odontogram)</w:t>
      </w:r>
    </w:p>
    <w:p>
      <w:pPr>
        <w:spacing w:after="160"/>
      </w:pPr>
      <w:r>
        <w:t xml:space="preserve">Un registro por paciente. El campo teeth es un JSONB con la representación completa del estado dental.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patient_id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 UNIQUE</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Un odontograma por paciente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teeth</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Mapa de dientes. Clave: número FDI (11-48 adulto, 51-85 temporal). Valor: objeto con superficies y condiciones.</w:t>
            </w:r>
          </w:p>
        </w:tc>
      </w:tr>
    </w:tbl>
    <w:p>
      <w:pPr>
        <w:spacing w:after="80"/>
      </w:pPr>
    </w:p>
    <w:p>
      <w:pPr>
        <w:spacing w:after="160"/>
      </w:pPr>
      <w:r>
        <w:t xml:space="preserve">Estructura del campo teeth (ejemplo para un diente):</w:t>
      </w:r>
    </w:p>
    <w:p>
      <w:pPr>
        <w:pStyle w:val="ListParagraph"/>
        <w:numPr>
          <w:ilvl w:val="0"/>
          <w:numId w:val="2"/>
        </w:numPr>
        <w:spacing w:after="80"/>
      </w:pPr>
      <w:r>
        <w:rPr>
          <w:b/>
          <w:bCs/>
        </w:rPr>
        <w:t xml:space="preserve">Clave: </w:t>
      </w:r>
      <w:r>
        <w:t xml:space="preserve">'18' (tercer molar superior derecho, numeración FDI).</w:t>
      </w:r>
    </w:p>
    <w:p>
      <w:pPr>
        <w:pStyle w:val="ListParagraph"/>
        <w:numPr>
          <w:ilvl w:val="0"/>
          <w:numId w:val="2"/>
        </w:numPr>
        <w:spacing w:after="80"/>
      </w:pPr>
      <w:r>
        <w:rPr>
          <w:b/>
          <w:bCs/>
        </w:rPr>
        <w:t xml:space="preserve">status: </w:t>
      </w:r>
      <w:r>
        <w:t xml:space="preserve">'present' | 'missing' | 'implant' | 'to_extract' | 'unerupted'.</w:t>
      </w:r>
    </w:p>
    <w:p>
      <w:pPr>
        <w:pStyle w:val="ListParagraph"/>
        <w:numPr>
          <w:ilvl w:val="0"/>
          <w:numId w:val="2"/>
        </w:numPr>
        <w:spacing w:after="80"/>
      </w:pPr>
      <w:r>
        <w:rPr>
          <w:b/>
          <w:bCs/>
        </w:rPr>
        <w:t xml:space="preserve">surfaces: </w:t>
      </w:r>
      <w:r>
        <w:t xml:space="preserve">objeto con las 5 superficies (mesial, distal, oclusal/incisal, vestibular, lingual/palatino). Cada superficie tiene un estado: 'healthy', 'caries', 'filling', 'crown', etc.</w:t>
      </w:r>
    </w:p>
    <w:p>
      <w:pPr>
        <w:pStyle w:val="ListParagraph"/>
        <w:numPr>
          <w:ilvl w:val="0"/>
          <w:numId w:val="2"/>
        </w:numPr>
        <w:spacing w:after="80"/>
      </w:pPr>
      <w:r>
        <w:rPr>
          <w:b/>
          <w:bCs/>
        </w:rPr>
        <w:t xml:space="preserve">conditions: </w:t>
      </w:r>
      <w:r>
        <w:t xml:space="preserve">array de condiciones generales del diente: 'root_canal', 'crown', 'bridge_anchor', 'veneer', 'fracture'.</w:t>
      </w:r>
    </w:p>
    <w:p>
      <w:pPr>
        <w:pStyle w:val="ListParagraph"/>
        <w:numPr>
          <w:ilvl w:val="0"/>
          <w:numId w:val="2"/>
        </w:numPr>
        <w:spacing w:after="80"/>
      </w:pPr>
      <w:r>
        <w:rPr>
          <w:b/>
          <w:bCs/>
        </w:rPr>
        <w:t xml:space="preserve">notes: </w:t>
      </w:r>
      <w:r>
        <w:t xml:space="preserve">texto libre por diente.</w:t>
      </w:r>
    </w:p>
    <w:p>
      <w:pPr>
        <w:pStyle w:val="Heading2"/>
      </w:pPr>
      <w:r>
        <w:t xml:space="preserve">4.5 Entidad: Cita (Appointment)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clinic_id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Clínica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patient_id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Paciente (nullable para bloqueos)</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professional_id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Dentista o higienista asignado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cabinet</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VARCHAR(50)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Gabinete asignado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start_time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TIMESTAMPTZ</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Inicio de la cita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end_time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TIMESTAMPTZ</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Fin de la cita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treatment_type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VARCHAR(100)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Tipo de tratamiento previsto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status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scheduled, confirmed, in_progress, completed, cancelled, no_show</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notes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Notas internas de la cita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color</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VARCHAR(7)</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Color en la agenda (hex)</w:t>
            </w:r>
          </w:p>
        </w:tc>
      </w:tr>
    </w:tbl>
    <w:p>
      <w:pPr>
        <w:spacing w:after="80"/>
      </w:pPr>
    </w:p>
    <w:p>
      <w:pPr>
        <w:pStyle w:val="Heading2"/>
      </w:pPr>
      <w:r>
        <w:t xml:space="preserve">4.6 Entidad: Tratamiento (Treatment)</w:t>
      </w:r>
    </w:p>
    <w:p>
      <w:pPr>
        <w:spacing w:after="160"/>
      </w:pPr>
      <w:r>
        <w:t xml:space="preserve">Registro de cada tratamiento realizado o planificado, vinculado al odontograma.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patient_id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Paciente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appointment_id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FK, nullable</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Cita en la que se realizó</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professional_id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Profesional que realiza el tratamiento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treatment_code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VARCHAR(20)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Código del catálogo de tratamientos</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description</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VARCHAR(500)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Descripción del tratamiento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tooth_numbers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INTEGER[]</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Dientes afectados (numeración FDI)</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surfaces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Superficies tratadas</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status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planned, in_progress, completed, cancelled</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price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DECIMAL(10,2)</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Precio del tratamiento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clinical_notes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Notas clínicas del tratamiento</w:t>
            </w:r>
          </w:p>
        </w:tc>
      </w:tr>
    </w:tbl>
    <w:p>
      <w:pPr>
        <w:spacing w:after="80"/>
      </w:pPr>
    </w:p>
    <w:p>
      <w:pPr>
        <w:pStyle w:val="Heading2"/>
      </w:pPr>
      <w:r>
        <w:t xml:space="preserve">4.7 Entidad: Catálogo de Tratamientos (TreatmentCatalog)</w:t>
      </w:r>
    </w:p>
    <w:p>
      <w:pPr>
        <w:spacing w:after="160"/>
      </w:pPr>
      <w:r>
        <w:t xml:space="preserve">Tabla maestra con los tratamientos disponibles en la clínica, sus precios estándar, y duraciones típicas. Cada clínica puede personalizar precios.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clinic_id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Clínica (cada clínica tiene su catálogo)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code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VARCHAR(20)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Código interno (ej: END001, COM003)</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name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VARCHAR(200)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Nombre del tratamiento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category</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VARCHAR(100)</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Categoría (Endodoncia, Restauración, Cirugía...)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default_price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DECIMAL(10,2)</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Precio estándar</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duration_minutes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INTEGER</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Duración típica del tratamiento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requires_teeth</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BOOLEAN</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Si requiere selección de dientes</w:t>
            </w:r>
          </w:p>
        </w:tc>
      </w:tr>
    </w:tbl>
    <w:p>
      <w:pPr>
        <w:spacing w:after="80"/>
      </w:pPr>
    </w:p>
    <w:p>
      <w:pPr>
        <w:pStyle w:val="Heading2"/>
      </w:pPr>
      <w:r>
        <w:t xml:space="preserve">4.8 Entidad: Presupuesto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clinic_id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Clínica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patient_id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Paciente</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budget_number</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VARCHAR(20)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Número secuencial (P-2026-001)</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items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Array de líneas: treatment_code, description, tooth_numbers, quantity, unit_price, discount_percent</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total</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DECIMAL(10,2)</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Total calculado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status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draft, presented, accepted, rejected, expired</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valid_until</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DATE</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Fecha de validez del presupuesto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notes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Notas o condiciones</w:t>
            </w:r>
          </w:p>
        </w:tc>
      </w:tr>
    </w:tbl>
    <w:p>
      <w:pPr>
        <w:spacing w:after="80"/>
      </w:pPr>
    </w:p>
    <w:p>
      <w:pPr>
        <w:pStyle w:val="Heading2"/>
      </w:pPr>
      <w:r>
        <w:t xml:space="preserve">4.9 Entidad: Ficha Clínica por Visita (ClinicalNote)</w:t>
      </w:r>
    </w:p>
    <w:p>
      <w:pPr>
        <w:spacing w:after="160"/>
      </w:pPr>
      <w:r>
        <w:t xml:space="preserve">Registro de cada visita del paciente con notas clínicas, procedimientos realizados, y observaciones.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patient_id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Paciente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appointment_id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FK, nullable</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Cita asociada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professional_id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Profesional que atiende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TIMESTAMPTZ</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Fecha y hora de la visita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subjective</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Lo que refiere el paciente (formato SOAP)</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objective</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Hallazgos clínicos objetivos</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assessment</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Diagnóstico o valoración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plan</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TEXT</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Plan de tratamiento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attachments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Referencias a archivos adjuntos (fotos, docs)</w:t>
            </w:r>
          </w:p>
        </w:tc>
      </w:tr>
    </w:tbl>
    <w:p>
      <w:pPr>
        <w:spacing w:after="80"/>
      </w:pPr>
    </w:p>
    <w:p>
      <w:pPr>
        <w:pStyle w:val="Heading2"/>
      </w:pPr>
      <w:r>
        <w:t xml:space="preserve">4.10 Entidad: Factura (Invoice)</w:t>
      </w:r>
    </w:p>
    <w:p>
      <w:pPr>
        <w:spacing w:after="160"/>
      </w:pPr>
      <w:r>
        <w:t xml:space="preserve">Facturación básica. La integración completa con Verifactu/AEAT es un módulo futuro, pero el modelo de datos incluye los campos necesarios para que el módulo Verifactu pueda funcionar sin modificar el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Campo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PK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Identificador único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clinic_id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Clínica emisora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patient_id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UUID, FK</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Paciente facturado</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invoice_number</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VARCHAR(20)</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Número secuencial (F-2026-001)</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items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JSONB[]</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Líneas de factura: descripción, cantidad, precio, IVA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subtotal</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DECIMAL(10,2)</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Base imponible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tax_amount</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DECIMAL(10,2)</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Importe de IVA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total</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DECIMAL(10,2)</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Total factura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status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draft, issued, paid, overdue, cancelled</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payment_method</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ENUM</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cash, card, transfer, insurance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invoice_hash</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VARCHAR(64), nullable</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Hash SHA-256 de la factura (Verifactu). Generado por el módulo Verifactu al emitir.</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previous_invoice_hash</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VARCHAR(64), nullable</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Hash de la factura anterior en la cadena (Verifactu). Permite encadenamiento criptográfico.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verifactu_status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ENUM, nullable</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none, pending, sent, accepted, rejected. Estado del envío a AEAT.</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verifactu_metadata</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JSONB, nullable</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Datos Verifactu: firma digital, QR code URL, XML de registro, respuesta AEAT, timestamp de envío.</w:t>
            </w:r>
          </w:p>
        </w:tc>
      </w:tr>
    </w:tbl>
    <w:p>
      <w:pPr>
        <w:spacing w:after="80"/>
      </w:pPr>
    </w:p>
    <w:p>
      <w:pPr>
        <w:pStyle w:val="Heading1"/>
      </w:pPr>
      <w:r>
        <w:t xml:space="preserve">5. Componentes de Interfaz</w:t>
      </w:r>
    </w:p>
    <w:p>
      <w:pPr>
        <w:pStyle w:val="Heading2"/>
      </w:pPr>
      <w:r>
        <w:t xml:space="preserve">5.1 Layout Principal</w:t>
      </w:r>
    </w:p>
    <w:p>
      <w:pPr>
        <w:spacing w:after="160"/>
      </w:pPr>
      <w:r>
        <w:t xml:space="preserve">Sidebar izquierdo fijo con navegación principal (iconos + texto colapsable). Área de contenido principal a la derecha. Header superior con nombre de la clínica, usuario activo, y selector de clínica (para multi-clínica). La sidebar se construye dinámicamente desde el registro de módulos — cada módulo declara sus entradas de navegación.</w:t>
      </w:r>
    </w:p>
    <w:p>
      <w:pPr>
        <w:pStyle w:val="Heading2"/>
      </w:pPr>
      <w:r>
        <w:t xml:space="preserve">5.2 Odontograma Digital</w:t>
      </w:r>
    </w:p>
    <w:p>
      <w:pPr>
        <w:spacing w:after="160"/>
      </w:pPr>
      <w:r>
        <w:t xml:space="preserve">El componente más complejo y más importante visualmente del proyecto. Especificaciones:</w:t>
      </w:r>
    </w:p>
    <w:p>
      <w:pPr>
        <w:pStyle w:val="ListParagraph"/>
        <w:numPr>
          <w:ilvl w:val="0"/>
          <w:numId w:val="2"/>
        </w:numPr>
        <w:spacing w:after="80"/>
      </w:pPr>
      <w:r>
        <w:rPr>
          <w:b/>
          <w:bCs/>
        </w:rPr>
        <w:t xml:space="preserve">Representación: </w:t>
      </w:r>
      <w:r>
        <w:t xml:space="preserve">SVG interactivo con los 32 dientes adultos (numeración FDI: 11-18, 21-28, 31-38, 41-48) más 20 dientes temporales (51-55, 61-65, 71-75, 81-85). Vista frontal estándar con maxilar arriba y mandíbula abajo.</w:t>
      </w:r>
    </w:p>
    <w:p>
      <w:pPr>
        <w:pStyle w:val="ListParagraph"/>
        <w:numPr>
          <w:ilvl w:val="0"/>
          <w:numId w:val="2"/>
        </w:numPr>
        <w:spacing w:after="80"/>
      </w:pPr>
      <w:r>
        <w:rPr>
          <w:b/>
          <w:bCs/>
        </w:rPr>
        <w:t xml:space="preserve">Interacción: </w:t>
      </w:r>
      <w:r>
        <w:t xml:space="preserve">Click en un diente abre un panel lateral con las opciones para ese diente. Click en una superficie específica (mesial, distal, oclusal, vestibular, lingual) permite marcar condición por superficie.</w:t>
      </w:r>
    </w:p>
    <w:p>
      <w:pPr>
        <w:pStyle w:val="ListParagraph"/>
        <w:numPr>
          <w:ilvl w:val="0"/>
          <w:numId w:val="2"/>
        </w:numPr>
        <w:spacing w:after="80"/>
      </w:pPr>
      <w:r>
        <w:rPr>
          <w:b/>
          <w:bCs/>
        </w:rPr>
        <w:t xml:space="preserve">Colores estándar: </w:t>
      </w:r>
      <w:r>
        <w:t xml:space="preserve">Rojo = caries/patología. Azul = tratamiento realizado. Verde = tratamiento planificado. Gris = ausente. Amarillo = prótesis.</w:t>
      </w:r>
    </w:p>
    <w:p>
      <w:pPr>
        <w:pStyle w:val="ListParagraph"/>
        <w:numPr>
          <w:ilvl w:val="0"/>
          <w:numId w:val="2"/>
        </w:numPr>
        <w:spacing w:after="80"/>
      </w:pPr>
      <w:r>
        <w:rPr>
          <w:b/>
          <w:bCs/>
        </w:rPr>
        <w:t xml:space="preserve">Vista dual: </w:t>
      </w:r>
      <w:r>
        <w:t xml:space="preserve">Botón para alternar entre dentición adulta y temporal (para odontopediatría).</w:t>
      </w:r>
    </w:p>
    <w:p>
      <w:pPr>
        <w:pStyle w:val="ListParagraph"/>
        <w:numPr>
          <w:ilvl w:val="0"/>
          <w:numId w:val="2"/>
        </w:numPr>
        <w:spacing w:after="80"/>
      </w:pPr>
      <w:r>
        <w:rPr>
          <w:b/>
          <w:bCs/>
        </w:rPr>
        <w:t xml:space="preserve">Historial: </w:t>
      </w:r>
      <w:r>
        <w:t xml:space="preserve">Cada cambio en el odontograma se guarda con timestamp y profesional, permitiendo ver la evolución.</w:t>
      </w:r>
    </w:p>
    <w:p>
      <w:pPr>
        <w:pStyle w:val="Heading2"/>
      </w:pPr>
      <w:r>
        <w:t xml:space="preserve">5.3 Agenda de Citas</w:t>
      </w:r>
    </w:p>
    <w:p>
      <w:pPr>
        <w:pStyle w:val="ListParagraph"/>
        <w:numPr>
          <w:ilvl w:val="0"/>
          <w:numId w:val="2"/>
        </w:numPr>
        <w:spacing w:after="80"/>
      </w:pPr>
      <w:r>
        <w:rPr>
          <w:b/>
          <w:bCs/>
        </w:rPr>
        <w:t xml:space="preserve">Vista semanal por defecto: </w:t>
      </w:r>
      <w:r>
        <w:t xml:space="preserve">columnas por gabinete, filas por franja horaria (configurable: 15min, 20min, 30min). Cada cita es un bloque coloreado con nombre del paciente y tipo de tratamiento.</w:t>
      </w:r>
    </w:p>
    <w:p>
      <w:pPr>
        <w:pStyle w:val="ListParagraph"/>
        <w:numPr>
          <w:ilvl w:val="0"/>
          <w:numId w:val="2"/>
        </w:numPr>
        <w:spacing w:after="80"/>
      </w:pPr>
      <w:r>
        <w:rPr>
          <w:b/>
          <w:bCs/>
        </w:rPr>
        <w:t xml:space="preserve">Vista diaria: </w:t>
      </w:r>
      <w:r>
        <w:t xml:space="preserve">detalle ampliado con todas las citas del día en una sola columna, mostrando más información por cita.</w:t>
      </w:r>
    </w:p>
    <w:p>
      <w:pPr>
        <w:pStyle w:val="ListParagraph"/>
        <w:numPr>
          <w:ilvl w:val="0"/>
          <w:numId w:val="2"/>
        </w:numPr>
        <w:spacing w:after="80"/>
      </w:pPr>
      <w:r>
        <w:rPr>
          <w:b/>
          <w:bCs/>
        </w:rPr>
        <w:t xml:space="preserve">Creación rápida: </w:t>
      </w:r>
      <w:r>
        <w:t xml:space="preserve">Click en un slot vacío abre un modal con selector de paciente (búsqueda por nombre o teléfono), selector de profesional, tipo de tratamiento (que auto-calcula duración), y notas.</w:t>
      </w:r>
    </w:p>
    <w:p>
      <w:pPr>
        <w:pStyle w:val="ListParagraph"/>
        <w:numPr>
          <w:ilvl w:val="0"/>
          <w:numId w:val="2"/>
        </w:numPr>
        <w:spacing w:after="80"/>
      </w:pPr>
      <w:r>
        <w:rPr>
          <w:b/>
          <w:bCs/>
        </w:rPr>
        <w:t xml:space="preserve">Drag &amp; drop: </w:t>
      </w:r>
      <w:r>
        <w:t xml:space="preserve">Arrastrar una cita a otro slot para reprogramar. Arrastrar entre gabinetes para reasignar.</w:t>
      </w:r>
    </w:p>
    <w:p>
      <w:pPr>
        <w:pStyle w:val="ListParagraph"/>
        <w:numPr>
          <w:ilvl w:val="0"/>
          <w:numId w:val="2"/>
        </w:numPr>
        <w:spacing w:after="80"/>
      </w:pPr>
      <w:r>
        <w:rPr>
          <w:b/>
          <w:bCs/>
        </w:rPr>
        <w:t xml:space="preserve">Estados visuales: </w:t>
      </w:r>
      <w:r>
        <w:t xml:space="preserve">Confirmada (sólido), pendiente de confirmar (rayado), en curso (borde pulsante), completada (atenuado), cancelada (tachado).</w:t>
      </w:r>
    </w:p>
    <w:p>
      <w:pPr>
        <w:pStyle w:val="ListParagraph"/>
        <w:numPr>
          <w:ilvl w:val="0"/>
          <w:numId w:val="2"/>
        </w:numPr>
        <w:spacing w:after="80"/>
      </w:pPr>
      <w:r>
        <w:rPr>
          <w:b/>
          <w:bCs/>
        </w:rPr>
        <w:t xml:space="preserve">Bloqueos: </w:t>
      </w:r>
      <w:r>
        <w:t xml:space="preserve">Posibilidad de bloquear slots (reunión, descanso, mantenimiento) sin paciente asociado.</w:t>
      </w:r>
    </w:p>
    <w:p>
      <w:pPr>
        <w:pStyle w:val="Heading2"/>
      </w:pPr>
      <w:r>
        <w:t xml:space="preserve">5.4 Presupuestos</w:t>
      </w:r>
    </w:p>
    <w:p>
      <w:pPr>
        <w:pStyle w:val="ListParagraph"/>
        <w:numPr>
          <w:ilvl w:val="0"/>
          <w:numId w:val="2"/>
        </w:numPr>
        <w:spacing w:after="80"/>
      </w:pPr>
      <w:r>
        <w:rPr>
          <w:b/>
          <w:bCs/>
        </w:rPr>
        <w:t xml:space="preserve">Constructor de presupuesto: </w:t>
      </w:r>
      <w:r>
        <w:t xml:space="preserve">Añadir líneas seleccionando tratamientos del catálogo. Cada línea muestra tratamiento, diente(s), precio unitario, descuento, y subtotal. Total autocalculado.</w:t>
      </w:r>
    </w:p>
    <w:p>
      <w:pPr>
        <w:pStyle w:val="ListParagraph"/>
        <w:numPr>
          <w:ilvl w:val="0"/>
          <w:numId w:val="2"/>
        </w:numPr>
        <w:spacing w:after="80"/>
      </w:pPr>
      <w:r>
        <w:rPr>
          <w:b/>
          <w:bCs/>
        </w:rPr>
        <w:t xml:space="preserve">Vinculación con odontograma: </w:t>
      </w:r>
      <w:r>
        <w:t xml:space="preserve">Al crear un presupuesto, poder hacer click en el odontograma para seleccionar dientes y que se añadan tratamientos automáticamente.</w:t>
      </w:r>
    </w:p>
    <w:p>
      <w:pPr>
        <w:pStyle w:val="ListParagraph"/>
        <w:numPr>
          <w:ilvl w:val="0"/>
          <w:numId w:val="2"/>
        </w:numPr>
        <w:spacing w:after="80"/>
      </w:pPr>
      <w:r>
        <w:rPr>
          <w:b/>
          <w:bCs/>
        </w:rPr>
        <w:t xml:space="preserve">Generación de PDF: </w:t>
      </w:r>
      <w:r>
        <w:t xml:space="preserve">Botón que genera un PDF profesional con logo de la clínica, datos del paciente, desglose de tratamientos, y total. Descargable e imprimible.</w:t>
      </w:r>
    </w:p>
    <w:p>
      <w:pPr>
        <w:pStyle w:val="ListParagraph"/>
        <w:numPr>
          <w:ilvl w:val="0"/>
          <w:numId w:val="2"/>
        </w:numPr>
        <w:spacing w:after="80"/>
      </w:pPr>
      <w:r>
        <w:rPr>
          <w:b/>
          <w:bCs/>
        </w:rPr>
        <w:t xml:space="preserve">Estados: </w:t>
      </w:r>
      <w:r>
        <w:t xml:space="preserve">Borrador → Presentado → Aceptado/Rechazado. Con fecha de validez configurable.</w:t>
      </w:r>
    </w:p>
    <w:p>
      <w:pPr>
        <w:pStyle w:val="Heading1"/>
      </w:pPr>
      <w:r>
        <w:t xml:space="preserve">6. Estructura del Repositorio</w:t>
      </w:r>
    </w:p>
    <w:p>
      <w:pPr>
        <w:pStyle w:val="Heading2"/>
      </w:pPr>
      <w:r>
        <w:t xml:space="preserve">6.1 Archivos Raíz Obligatorios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c>
          <w:tcPr>
            <w:tcW w:type="dxa" w:w="2707"/>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Archivo</w:t>
            </w:r>
          </w:p>
        </w:tc>
        <w:tc>
          <w:tcPr>
            <w:tcW w:type="dxa" w:w="6319"/>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Contenido</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README.md</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Qué es el proyecto, por qué existe, screenshots, instalación rápida (docker-compose up), link a docs.</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LICENSE</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BSL 1.1 configurada con uso limitado, change date 4 años, licencia de cambio Apache 2.0.</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CONTRIBUTING.md</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Cómo reportar bugs, cómo proponer features, cómo enviar PRs, estándares de código, proceso de review.</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CODE_OF_CONDUCT.md</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Contributor Covenant v2.1 (estándar de la industria).</w:t>
            </w:r>
          </w:p>
        </w:tc>
      </w:tr>
      <w:tr>
        <w:tc>
          <w:tcPr>
            <w:tcW w:type="dxa" w:w="2707"/>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docker-compose.yml</w:t>
            </w:r>
          </w:p>
        </w:tc>
        <w:tc>
          <w:tcPr>
            <w:tcW w:type="dxa" w:w="6319"/>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Tres contenedores: frontend (Node/Nuxt), backend (Python/FastAPI), db (PostgreSQL). Un comando para levantar todo.</w:t>
            </w:r>
          </w:p>
        </w:tc>
      </w:tr>
      <w:tr>
        <w:tc>
          <w:tcPr>
            <w:tcW w:type="dxa" w:w="2707"/>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.github/</w:t>
            </w:r>
          </w:p>
        </w:tc>
        <w:tc>
          <w:tcPr>
            <w:tcW w:type="dxa" w:w="6319"/>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GitHub Actions CI (lint + test en cada PR), templates de Issues y PRs, configuración de CLA Assistant.</w:t>
            </w:r>
          </w:p>
        </w:tc>
      </w:tr>
    </w:tbl>
    <w:p>
      <w:pPr>
        <w:spacing w:after="80"/>
      </w:pPr>
    </w:p>
    <w:p>
      <w:pPr>
        <w:pStyle w:val="Heading2"/>
      </w:pPr>
      <w:r>
        <w:t xml:space="preserve">6.2 Estructura de Directorios</w:t>
      </w:r>
    </w:p>
    <w:p>
      <w:pPr>
        <w:spacing w:after="160"/>
      </w:pPr>
      <w:r>
        <w:t xml:space="preserve">La estructura sigue un patrón monorepo limpio:</w:t>
      </w:r>
    </w:p>
    <w:p>
      <w:pPr>
        <w:pStyle w:val="ListParagraph"/>
        <w:numPr>
          <w:ilvl w:val="0"/>
          <w:numId w:val="2"/>
        </w:numPr>
        <w:spacing w:after="80"/>
      </w:pPr>
      <w:r>
        <w:rPr>
          <w:b/>
          <w:bCs/>
        </w:rPr>
        <w:t xml:space="preserve">/backend/ </w:t>
      </w:r>
      <w:r>
        <w:t xml:space="preserve">— Proyecto FastAPI. Dentro: /core/ (sistema de módulos, autenticación, eventos), /modules/clinical/ (el módulo core con pacientes, citas, tratamientos, presupuestos), /tests/.</w:t>
      </w:r>
    </w:p>
    <w:p>
      <w:pPr>
        <w:pStyle w:val="ListParagraph"/>
        <w:numPr>
          <w:ilvl w:val="0"/>
          <w:numId w:val="2"/>
        </w:numPr>
        <w:spacing w:after="80"/>
      </w:pPr>
      <w:r>
        <w:rPr>
          <w:b/>
          <w:bCs/>
        </w:rPr>
        <w:t xml:space="preserve">/frontend/ </w:t>
      </w:r>
      <w:r>
        <w:t xml:space="preserve">— Proyecto Nuxt 3. Dentro: /layouts/ (layout principal con sidebar dinámica), /pages/ (rutas file-based por módulo), /components/ (componentes organizados por módulo), /composables/ (lógica compartida), /modules/ (Nuxt Modules para extensibilidad), /utils/moduleRegistry.ts (registro central de módulos).</w:t>
      </w:r>
    </w:p>
    <w:p>
      <w:pPr>
        <w:pStyle w:val="ListParagraph"/>
        <w:numPr>
          <w:ilvl w:val="0"/>
          <w:numId w:val="2"/>
        </w:numPr>
        <w:spacing w:after="80"/>
      </w:pPr>
      <w:r>
        <w:rPr>
          <w:b/>
          <w:bCs/>
        </w:rPr>
        <w:t xml:space="preserve">/docs/ </w:t>
      </w:r>
      <w:r>
        <w:t xml:space="preserve">— Documentación MkDocs. Guías de instalación, arquitectura, cómo crear un módulo, referencia de API.</w:t>
      </w:r>
    </w:p>
    <w:p>
      <w:pPr>
        <w:pStyle w:val="ListParagraph"/>
        <w:numPr>
          <w:ilvl w:val="0"/>
          <w:numId w:val="2"/>
        </w:numPr>
        <w:spacing w:after="80"/>
      </w:pPr>
      <w:r>
        <w:rPr>
          <w:b/>
          <w:bCs/>
        </w:rPr>
        <w:t xml:space="preserve">/docker/ </w:t>
      </w:r>
      <w:r>
        <w:t xml:space="preserve">— Dockerfiles para cada servicio y configuración de desarrollo.</w:t>
      </w:r>
    </w:p>
    <w:p>
      <w:pPr>
        <w:pStyle w:val="Heading1"/>
      </w:pPr>
      <w:r>
        <w:t xml:space="preserve">7. Plan de Ejecución: La Semana de Vibe Coding</w:t>
      </w:r>
    </w:p>
    <w:p>
      <w:pPr>
        <w:spacing w:after="160"/>
      </w:pPr>
      <w:r>
        <w:t xml:space="preserve">Cada día tiene un entregable claro y verificable. Al final de cada día, el proyecto debe compilar, pasar tests, y ser desplegable con docker-compose up.</w:t>
      </w:r>
    </w:p>
    <w:p>
      <w:pPr>
        <w:pStyle w:val="Heading2"/>
      </w:pPr>
      <w:r>
        <w:t xml:space="preserve">Día 1: Arquitectura, Modelos y Backend</w:t>
      </w:r>
    </w:p>
    <w:p>
      <w:pPr>
        <w:pStyle w:val="ListParagraph"/>
        <w:numPr>
          <w:ilvl w:val="0"/>
          <w:numId w:val="2"/>
        </w:numPr>
        <w:spacing w:after="80"/>
      </w:pPr>
      <w:r>
        <w:t xml:space="preserve">Generar estructura completa del repositorio con todos los archivos raíz (README, LICENSE, CONTRIBUTING, etc.).</w:t>
      </w:r>
    </w:p>
    <w:p>
      <w:pPr>
        <w:pStyle w:val="ListParagraph"/>
        <w:numPr>
          <w:ilvl w:val="0"/>
          <w:numId w:val="2"/>
        </w:numPr>
        <w:spacing w:after="80"/>
      </w:pPr>
      <w:r>
        <w:t xml:space="preserve">Crear el sistema de módulos del backend: cargador de plugins, registro de modelos, montaje de rutas, bus de eventos.</w:t>
      </w:r>
    </w:p>
    <w:p>
      <w:pPr>
        <w:pStyle w:val="ListParagraph"/>
        <w:numPr>
          <w:ilvl w:val="0"/>
          <w:numId w:val="2"/>
        </w:numPr>
        <w:spacing w:after="80"/>
      </w:pPr>
      <w:r>
        <w:t xml:space="preserve">Definir todos los modelos SQLAlchemy del módulo clinical (Patient, Appointment, Treatment, TreatmentCatalog, Budget, ClinicalNote, Invoice, Odontogram).</w:t>
      </w:r>
    </w:p>
    <w:p>
      <w:pPr>
        <w:pStyle w:val="ListParagraph"/>
        <w:numPr>
          <w:ilvl w:val="0"/>
          <w:numId w:val="2"/>
        </w:numPr>
        <w:spacing w:after="80"/>
      </w:pPr>
      <w:r>
        <w:t xml:space="preserve">Configurar Alembic para migraciones automáticas.</w:t>
      </w:r>
    </w:p>
    <w:p>
      <w:pPr>
        <w:pStyle w:val="ListParagraph"/>
        <w:numPr>
          <w:ilvl w:val="0"/>
          <w:numId w:val="2"/>
        </w:numPr>
        <w:spacing w:after="80"/>
      </w:pPr>
      <w:r>
        <w:t xml:space="preserve">Implementar autenticación JWT con registro, login, refresh token, y middleware RBAC.</w:t>
      </w:r>
    </w:p>
    <w:p>
      <w:pPr>
        <w:pStyle w:val="ListParagraph"/>
        <w:numPr>
          <w:ilvl w:val="0"/>
          <w:numId w:val="2"/>
        </w:numPr>
        <w:spacing w:after="80"/>
      </w:pPr>
      <w:r>
        <w:t xml:space="preserve">Implementar endpoints CRUD completos para todas las entidades.</w:t>
      </w:r>
    </w:p>
    <w:p>
      <w:pPr>
        <w:pStyle w:val="ListParagraph"/>
        <w:numPr>
          <w:ilvl w:val="0"/>
          <w:numId w:val="2"/>
        </w:numPr>
        <w:spacing w:after="80"/>
      </w:pPr>
      <w:r>
        <w:t xml:space="preserve">Configurar docker-compose.yml funcional (backend + PostgreSQL).</w:t>
      </w:r>
    </w:p>
    <w:p>
      <w:pPr>
        <w:pStyle w:val="ListParagraph"/>
        <w:numPr>
          <w:ilvl w:val="0"/>
          <w:numId w:val="2"/>
        </w:numPr>
        <w:spacing w:after="80"/>
      </w:pPr>
      <w:r>
        <w:rPr>
          <w:b/>
          <w:bCs/>
        </w:rPr>
        <w:t xml:space="preserve">Verificación: </w:t>
      </w:r>
      <w:r>
        <w:t xml:space="preserve">docker-compose up levanta el backend con Swagger UI en /docs mostrando todos los endpoints. Se pueden crear y consultar pacientes, citas y presupuestos via API.</w:t>
      </w:r>
    </w:p>
    <w:p>
      <w:pPr>
        <w:pStyle w:val="Heading2"/>
      </w:pPr>
      <w:r>
        <w:t xml:space="preserve">Día 2: Frontend Base y Gestión de Pacientes</w:t>
      </w:r>
    </w:p>
    <w:p>
      <w:pPr>
        <w:pStyle w:val="ListParagraph"/>
        <w:numPr>
          <w:ilvl w:val="0"/>
          <w:numId w:val="2"/>
        </w:numPr>
        <w:spacing w:after="80"/>
      </w:pPr>
      <w:r>
        <w:t xml:space="preserve">Crear proyecto Nuxt 3 con TypeScript, Tailwind CSS, y Nuxt UI.</w:t>
      </w:r>
    </w:p>
    <w:p>
      <w:pPr>
        <w:pStyle w:val="ListParagraph"/>
        <w:numPr>
          <w:ilvl w:val="0"/>
          <w:numId w:val="2"/>
        </w:numPr>
        <w:spacing w:after="80"/>
      </w:pPr>
      <w:r>
        <w:t xml:space="preserve">Implementar layout principal en /layouts/default.vue: sidebar con navegación dinámica basada en módulos registrados, header con info de clínica y usuario.</w:t>
      </w:r>
    </w:p>
    <w:p>
      <w:pPr>
        <w:pStyle w:val="ListParagraph"/>
        <w:numPr>
          <w:ilvl w:val="0"/>
          <w:numId w:val="2"/>
        </w:numPr>
        <w:spacing w:after="80"/>
      </w:pPr>
      <w:r>
        <w:t xml:space="preserve">Implementar sistema de registro de módulos frontend (moduleRegistry.ts en /utils/) y composable useModules().</w:t>
      </w:r>
    </w:p>
    <w:p>
      <w:pPr>
        <w:pStyle w:val="ListParagraph"/>
        <w:numPr>
          <w:ilvl w:val="0"/>
          <w:numId w:val="2"/>
        </w:numPr>
        <w:spacing w:after="80"/>
      </w:pPr>
      <w:r>
        <w:t xml:space="preserve">Construir vistas de pacientes: listado con búsqueda y filtros, ficha de detalle con pestañas (datos personales, historial médico, odontograma, presupuestos, historial de visitas), formulario de creación/edición.</w:t>
      </w:r>
    </w:p>
    <w:p>
      <w:pPr>
        <w:pStyle w:val="ListParagraph"/>
        <w:numPr>
          <w:ilvl w:val="0"/>
          <w:numId w:val="2"/>
        </w:numPr>
        <w:spacing w:after="80"/>
      </w:pPr>
      <w:r>
        <w:t xml:space="preserve">Implementar autenticación en frontend: login, almacenamiento de JWT, protección de rutas.</w:t>
      </w:r>
    </w:p>
    <w:p>
      <w:pPr>
        <w:pStyle w:val="ListParagraph"/>
        <w:numPr>
          <w:ilvl w:val="0"/>
          <w:numId w:val="2"/>
        </w:numPr>
        <w:spacing w:after="80"/>
      </w:pPr>
      <w:r>
        <w:rPr>
          <w:b/>
          <w:bCs/>
        </w:rPr>
        <w:t xml:space="preserve">Verificación: </w:t>
      </w:r>
      <w:r>
        <w:t xml:space="preserve">se puede hacer login, crear un paciente, buscarlo, y ver su ficha con todas las pestañas (aunque aún vacías de contenido específico).</w:t>
      </w:r>
    </w:p>
    <w:p>
      <w:pPr>
        <w:pStyle w:val="Heading2"/>
      </w:pPr>
      <w:r>
        <w:t xml:space="preserve">Día 3: Odontograma Digital</w:t>
      </w:r>
    </w:p>
    <w:p>
      <w:pPr>
        <w:pStyle w:val="ListParagraph"/>
        <w:numPr>
          <w:ilvl w:val="0"/>
          <w:numId w:val="2"/>
        </w:numPr>
        <w:spacing w:after="80"/>
      </w:pPr>
      <w:r>
        <w:t xml:space="preserve">Construir componente SVG interactivo con los 32 dientes adultos en disposición FDI estándar.</w:t>
      </w:r>
    </w:p>
    <w:p>
      <w:pPr>
        <w:pStyle w:val="ListParagraph"/>
        <w:numPr>
          <w:ilvl w:val="0"/>
          <w:numId w:val="2"/>
        </w:numPr>
        <w:spacing w:after="80"/>
      </w:pPr>
      <w:r>
        <w:t xml:space="preserve">Implementar click en diente: abre panel lateral con opciones de estado (presente, ausente, implante, a extraer).</w:t>
      </w:r>
    </w:p>
    <w:p>
      <w:pPr>
        <w:pStyle w:val="ListParagraph"/>
        <w:numPr>
          <w:ilvl w:val="0"/>
          <w:numId w:val="2"/>
        </w:numPr>
        <w:spacing w:after="80"/>
      </w:pPr>
      <w:r>
        <w:t xml:space="preserve">Implementar click en superficie: marca condiciones por superficie (sano, caries, obturación, corona) con colores estándar.</w:t>
      </w:r>
    </w:p>
    <w:p>
      <w:pPr>
        <w:pStyle w:val="ListParagraph"/>
        <w:numPr>
          <w:ilvl w:val="0"/>
          <w:numId w:val="2"/>
        </w:numPr>
        <w:spacing w:after="80"/>
      </w:pPr>
      <w:r>
        <w:t xml:space="preserve">Implementar condiciones generales del diente (endodoncia, corona, puente, carilla).</w:t>
      </w:r>
    </w:p>
    <w:p>
      <w:pPr>
        <w:pStyle w:val="ListParagraph"/>
        <w:numPr>
          <w:ilvl w:val="0"/>
          <w:numId w:val="2"/>
        </w:numPr>
        <w:spacing w:after="80"/>
      </w:pPr>
      <w:r>
        <w:t xml:space="preserve">Añadir botón de alternancia entre dentición adulta y temporal.</w:t>
      </w:r>
    </w:p>
    <w:p>
      <w:pPr>
        <w:pStyle w:val="ListParagraph"/>
        <w:numPr>
          <w:ilvl w:val="0"/>
          <w:numId w:val="2"/>
        </w:numPr>
        <w:spacing w:after="80"/>
      </w:pPr>
      <w:r>
        <w:t xml:space="preserve">Conectar con la API para persistir cambios en el odontograma del paciente.</w:t>
      </w:r>
    </w:p>
    <w:p>
      <w:pPr>
        <w:pStyle w:val="ListParagraph"/>
        <w:numPr>
          <w:ilvl w:val="0"/>
          <w:numId w:val="2"/>
        </w:numPr>
        <w:spacing w:after="80"/>
      </w:pPr>
      <w:r>
        <w:rPr>
          <w:b/>
          <w:bCs/>
        </w:rPr>
        <w:t xml:space="preserve">Verificación: </w:t>
      </w:r>
      <w:r>
        <w:t xml:space="preserve">se puede abrir la ficha de un paciente, hacer click en dientes y superficies, marcar condiciones, y ver los colores actualizarse. Los cambios persisten al recargar.</w:t>
      </w:r>
    </w:p>
    <w:p>
      <w:pPr>
        <w:pStyle w:val="Heading2"/>
      </w:pPr>
      <w:r>
        <w:t xml:space="preserve">Día 4: Agenda de Citas</w:t>
      </w:r>
    </w:p>
    <w:p>
      <w:pPr>
        <w:pStyle w:val="ListParagraph"/>
        <w:numPr>
          <w:ilvl w:val="0"/>
          <w:numId w:val="2"/>
        </w:numPr>
        <w:spacing w:after="80"/>
      </w:pPr>
      <w:r>
        <w:t xml:space="preserve">Implementar vista semanal con columnas por gabinete y filas por franja horaria.</w:t>
      </w:r>
    </w:p>
    <w:p>
      <w:pPr>
        <w:pStyle w:val="ListParagraph"/>
        <w:numPr>
          <w:ilvl w:val="0"/>
          <w:numId w:val="2"/>
        </w:numPr>
        <w:spacing w:after="80"/>
      </w:pPr>
      <w:r>
        <w:t xml:space="preserve">Crear modal de nueva cita con búsqueda de paciente, selector de profesional, tipo de tratamiento con duración automática.</w:t>
      </w:r>
    </w:p>
    <w:p>
      <w:pPr>
        <w:pStyle w:val="ListParagraph"/>
        <w:numPr>
          <w:ilvl w:val="0"/>
          <w:numId w:val="2"/>
        </w:numPr>
        <w:spacing w:after="80"/>
      </w:pPr>
      <w:r>
        <w:t xml:space="preserve">Implementar código de colores por tipo de tratamiento y estados visuales (confirmada, pendiente, en curso, completada, cancelada).</w:t>
      </w:r>
    </w:p>
    <w:p>
      <w:pPr>
        <w:pStyle w:val="ListParagraph"/>
        <w:numPr>
          <w:ilvl w:val="0"/>
          <w:numId w:val="2"/>
        </w:numPr>
        <w:spacing w:after="80"/>
      </w:pPr>
      <w:r>
        <w:t xml:space="preserve">Implementar drag &amp; drop para reprogramar citas (cambiar hora, cambiar gabinete).</w:t>
      </w:r>
    </w:p>
    <w:p>
      <w:pPr>
        <w:pStyle w:val="ListParagraph"/>
        <w:numPr>
          <w:ilvl w:val="0"/>
          <w:numId w:val="2"/>
        </w:numPr>
        <w:spacing w:after="80"/>
      </w:pPr>
      <w:r>
        <w:t xml:space="preserve">Implementar bloqueos de slots (sin paciente asociado).</w:t>
      </w:r>
    </w:p>
    <w:p>
      <w:pPr>
        <w:pStyle w:val="ListParagraph"/>
        <w:numPr>
          <w:ilvl w:val="0"/>
          <w:numId w:val="2"/>
        </w:numPr>
        <w:spacing w:after="80"/>
      </w:pPr>
      <w:r>
        <w:t xml:space="preserve">Añadir vista diaria como alternativa a la semanal.</w:t>
      </w:r>
    </w:p>
    <w:p>
      <w:pPr>
        <w:pStyle w:val="ListParagraph"/>
        <w:numPr>
          <w:ilvl w:val="0"/>
          <w:numId w:val="2"/>
        </w:numPr>
        <w:spacing w:after="80"/>
      </w:pPr>
      <w:r>
        <w:rPr>
          <w:b/>
          <w:bCs/>
        </w:rPr>
        <w:t xml:space="preserve">Verificación: </w:t>
      </w:r>
      <w:r>
        <w:t xml:space="preserve">se puede navegar por semanas, crear citas, arrastrarlas entre slots y gabinetes, y ver el estado visual correcto. Los cambios persisten.</w:t>
      </w:r>
    </w:p>
    <w:p>
      <w:pPr>
        <w:pStyle w:val="Heading2"/>
      </w:pPr>
      <w:r>
        <w:t xml:space="preserve">Día 5: Presupuestos, Facturación Básica y Notas Clínicas</w:t>
      </w:r>
    </w:p>
    <w:p>
      <w:pPr>
        <w:pStyle w:val="ListParagraph"/>
        <w:numPr>
          <w:ilvl w:val="0"/>
          <w:numId w:val="2"/>
        </w:numPr>
        <w:spacing w:after="80"/>
      </w:pPr>
      <w:r>
        <w:t xml:space="preserve">Construir el constructor de presupuestos: añadir líneas desde el catálogo de tratamientos, seleccionar dientes, aplicar descuentos, calcular totales.</w:t>
      </w:r>
    </w:p>
    <w:p>
      <w:pPr>
        <w:pStyle w:val="ListParagraph"/>
        <w:numPr>
          <w:ilvl w:val="0"/>
          <w:numId w:val="2"/>
        </w:numPr>
        <w:spacing w:after="80"/>
      </w:pPr>
      <w:r>
        <w:t xml:space="preserve">Implementar generación de PDF de presupuesto con datos de clínica, paciente, y desglose de tratamientos.</w:t>
      </w:r>
    </w:p>
    <w:p>
      <w:pPr>
        <w:pStyle w:val="ListParagraph"/>
        <w:numPr>
          <w:ilvl w:val="0"/>
          <w:numId w:val="2"/>
        </w:numPr>
        <w:spacing w:after="80"/>
      </w:pPr>
      <w:r>
        <w:t xml:space="preserve">Implementar flujo de estados del presupuesto (borrador → presentado → aceptado/rechazado).</w:t>
      </w:r>
    </w:p>
    <w:p>
      <w:pPr>
        <w:pStyle w:val="ListParagraph"/>
        <w:numPr>
          <w:ilvl w:val="0"/>
          <w:numId w:val="2"/>
        </w:numPr>
        <w:spacing w:after="80"/>
      </w:pPr>
      <w:r>
        <w:t xml:space="preserve">Implementar facturación básica: crear factura desde presupuesto aceptado, generar PDF de factura.</w:t>
      </w:r>
    </w:p>
    <w:p>
      <w:pPr>
        <w:pStyle w:val="ListParagraph"/>
        <w:numPr>
          <w:ilvl w:val="0"/>
          <w:numId w:val="2"/>
        </w:numPr>
        <w:spacing w:after="80"/>
      </w:pPr>
      <w:r>
        <w:t xml:space="preserve">Implementar notas clínicas por visita con formato SOAP (Subjetivo, Objetivo, Evaluación, Plan).</w:t>
      </w:r>
    </w:p>
    <w:p>
      <w:pPr>
        <w:pStyle w:val="ListParagraph"/>
        <w:numPr>
          <w:ilvl w:val="0"/>
          <w:numId w:val="2"/>
        </w:numPr>
        <w:spacing w:after="80"/>
      </w:pPr>
      <w:r>
        <w:rPr>
          <w:b/>
          <w:bCs/>
        </w:rPr>
        <w:t xml:space="preserve">Verificación: </w:t>
      </w:r>
      <w:r>
        <w:t xml:space="preserve">se puede crear un presupuesto con múltiples tratamientos, generar su PDF, aceptarlo, crear una factura asociada, y registrar notas clínicas de una visita.</w:t>
      </w:r>
    </w:p>
    <w:p>
      <w:pPr>
        <w:pStyle w:val="Heading2"/>
      </w:pPr>
      <w:r>
        <w:t xml:space="preserve">Día 6: Catálogo de Tratamientos, Dashboard y Pulido</w:t>
      </w:r>
    </w:p>
    <w:p>
      <w:pPr>
        <w:pStyle w:val="ListParagraph"/>
        <w:numPr>
          <w:ilvl w:val="0"/>
          <w:numId w:val="2"/>
        </w:numPr>
        <w:spacing w:after="80"/>
      </w:pPr>
      <w:r>
        <w:t xml:space="preserve">Implementar CRUD del catálogo de tratamientos (gestión de los tratamientos disponibles, precios, duraciones).</w:t>
      </w:r>
    </w:p>
    <w:p>
      <w:pPr>
        <w:pStyle w:val="ListParagraph"/>
        <w:numPr>
          <w:ilvl w:val="0"/>
          <w:numId w:val="2"/>
        </w:numPr>
        <w:spacing w:after="80"/>
      </w:pPr>
      <w:r>
        <w:t xml:space="preserve">Construir dashboard principal con widgets: citas de hoy, pacientes recientes, presupuestos pendientes, estadísticas básicas (pacientes activos, citas esta semana, facturación del mes).</w:t>
      </w:r>
    </w:p>
    <w:p>
      <w:pPr>
        <w:pStyle w:val="ListParagraph"/>
        <w:numPr>
          <w:ilvl w:val="0"/>
          <w:numId w:val="2"/>
        </w:numPr>
        <w:spacing w:after="80"/>
      </w:pPr>
      <w:r>
        <w:t xml:space="preserve">Revisar y pulir todos los flujos de UX: navegación consistente, mensajes de error claros, loading states, empty states.</w:t>
      </w:r>
    </w:p>
    <w:p>
      <w:pPr>
        <w:pStyle w:val="ListParagraph"/>
        <w:numPr>
          <w:ilvl w:val="0"/>
          <w:numId w:val="2"/>
        </w:numPr>
        <w:spacing w:after="80"/>
      </w:pPr>
      <w:r>
        <w:t xml:space="preserve">Asegurar que toda la interfaz está en español con soporte de i18n preparado para otros idiomas.</w:t>
      </w:r>
    </w:p>
    <w:p>
      <w:pPr>
        <w:pStyle w:val="ListParagraph"/>
        <w:numPr>
          <w:ilvl w:val="0"/>
          <w:numId w:val="2"/>
        </w:numPr>
        <w:spacing w:after="80"/>
      </w:pPr>
      <w:r>
        <w:t xml:space="preserve">Configurar seed data: un set de datos de prueba (clínica demo, pacientes, citas, tratamientos) que se carga automáticamente en entornos de desarrollo.</w:t>
      </w:r>
    </w:p>
    <w:p>
      <w:pPr>
        <w:pStyle w:val="ListParagraph"/>
        <w:numPr>
          <w:ilvl w:val="0"/>
          <w:numId w:val="2"/>
        </w:numPr>
        <w:spacing w:after="80"/>
      </w:pPr>
      <w:r>
        <w:rPr>
          <w:b/>
          <w:bCs/>
        </w:rPr>
        <w:t xml:space="preserve">Verificación: </w:t>
      </w:r>
      <w:r>
        <w:t xml:space="preserve">el dashboard muestra información real, el catálogo es editable, y todos los flujos principales funcionan sin errores visibles.</w:t>
      </w:r>
    </w:p>
    <w:p>
      <w:pPr>
        <w:pStyle w:val="Heading2"/>
      </w:pPr>
      <w:r>
        <w:t xml:space="preserve">Día 7: Tests, CI/CD, Documentación y Despliegue</w:t>
      </w:r>
    </w:p>
    <w:p>
      <w:pPr>
        <w:pStyle w:val="ListParagraph"/>
        <w:numPr>
          <w:ilvl w:val="0"/>
          <w:numId w:val="2"/>
        </w:numPr>
        <w:spacing w:after="80"/>
      </w:pPr>
      <w:r>
        <w:t xml:space="preserve">Escribir tests de API para los endpoints críticos (CRUD de pacientes, citas, presupuestos) con pytest.</w:t>
      </w:r>
    </w:p>
    <w:p>
      <w:pPr>
        <w:pStyle w:val="ListParagraph"/>
        <w:numPr>
          <w:ilvl w:val="0"/>
          <w:numId w:val="2"/>
        </w:numPr>
        <w:spacing w:after="80"/>
      </w:pPr>
      <w:r>
        <w:t xml:space="preserve">Escribir tests básicos de frontend con vitest y @nuxt/test-utils (renderizado de componentes principales y navegación).</w:t>
      </w:r>
    </w:p>
    <w:p>
      <w:pPr>
        <w:pStyle w:val="ListParagraph"/>
        <w:numPr>
          <w:ilvl w:val="0"/>
          <w:numId w:val="2"/>
        </w:numPr>
        <w:spacing w:after="80"/>
      </w:pPr>
      <w:r>
        <w:t xml:space="preserve">Configurar GitHub Actions: linting (ruff para Python, eslint para TypeScript/Vue), tests, y build en cada PR.</w:t>
      </w:r>
    </w:p>
    <w:p>
      <w:pPr>
        <w:pStyle w:val="ListParagraph"/>
        <w:numPr>
          <w:ilvl w:val="0"/>
          <w:numId w:val="2"/>
        </w:numPr>
        <w:spacing w:after="80"/>
      </w:pPr>
      <w:r>
        <w:t xml:space="preserve">Completar README.md con screenshots del software funcionando, instrucciones de instalación, y guía rápida.</w:t>
      </w:r>
    </w:p>
    <w:p>
      <w:pPr>
        <w:pStyle w:val="ListParagraph"/>
        <w:numPr>
          <w:ilvl w:val="0"/>
          <w:numId w:val="2"/>
        </w:numPr>
        <w:spacing w:after="80"/>
      </w:pPr>
      <w:r>
        <w:t xml:space="preserve">Escribir la documentación esencial: guía de arquitectura de módulos y cómo crear un módulo nuevo.</w:t>
      </w:r>
    </w:p>
    <w:p>
      <w:pPr>
        <w:pStyle w:val="ListParagraph"/>
        <w:numPr>
          <w:ilvl w:val="0"/>
          <w:numId w:val="2"/>
        </w:numPr>
        <w:spacing w:after="80"/>
      </w:pPr>
      <w:r>
        <w:t xml:space="preserve">Desplegar una instancia demo en AWS (o similar) accesible por URL para demostraciones.</w:t>
      </w:r>
    </w:p>
    <w:p>
      <w:pPr>
        <w:pStyle w:val="ListParagraph"/>
        <w:numPr>
          <w:ilvl w:val="0"/>
          <w:numId w:val="2"/>
        </w:numPr>
        <w:spacing w:after="80"/>
      </w:pPr>
      <w:r>
        <w:t xml:space="preserve">Publicar el repositorio en GitHub con Issues etiquetados (good-first-issue, help-wanted, module-idea).</w:t>
      </w:r>
    </w:p>
    <w:p>
      <w:pPr>
        <w:pStyle w:val="ListParagraph"/>
        <w:numPr>
          <w:ilvl w:val="0"/>
          <w:numId w:val="2"/>
        </w:numPr>
        <w:spacing w:after="80"/>
      </w:pPr>
      <w:r>
        <w:rPr>
          <w:b/>
          <w:bCs/>
        </w:rPr>
        <w:t xml:space="preserve">Verificación: </w:t>
      </w:r>
      <w:r>
        <w:t xml:space="preserve">el repositorio es público, el CI pasa en verde, la demo online funciona, y la documentación permite a un developer externo levantar el proyecto en menos de 10 minutos.</w:t>
      </w:r>
    </w:p>
    <w:p>
      <w:pPr>
        <w:pStyle w:val="Heading1"/>
      </w:pPr>
      <w:r>
        <w:t xml:space="preserve">8. Roadmap de Módulos Futuros</w:t>
      </w:r>
    </w:p>
    <w:p>
      <w:pPr>
        <w:spacing w:after="160"/>
      </w:pPr>
      <w:r>
        <w:t xml:space="preserve">Estos módulos NO se construyen en la semana uno. Se listan aquí para documentar la visión y como referencia para contribuidores de la comunidad.</w:t>
      </w:r>
    </w:p>
    <w:p>
      <w:pPr>
        <w:pStyle w:val="Heading2"/>
      </w:pPr>
      <w:r>
        <w:t xml:space="preserve">8.1 Módulos que Construiría Dentaltix (Propietarios)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Módulo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Función</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Valor para Dentaltix</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Suministros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Inventario de materiales, consumo automático al completar tratamiento, alertas de stock, reposición con un clic integrada con dentaltix.com.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Canal directo de ventas. Cada clínica que instala este módulo genera pedidos en Dentaltix de forma nativa.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Equivalencias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Cuando un tratamiento usa un material, muestra equivalencias más baratas. Incluye marca propia de Dentaltix.</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Promoción de marca propia con margen ~48% dentro del flujo de trabajo clínico.</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Multi-sede Premium</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Gestión centralizada para grupos dentales: reporting consolidado, presupuestos por sede, aprobaciones de compra.</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Upsell a grupos dentales. Modelo SaaS con suscripción mensual.</w:t>
            </w:r>
          </w:p>
        </w:tc>
      </w:tr>
    </w:tbl>
    <w:p>
      <w:pPr>
        <w:spacing w:after="80"/>
      </w:pPr>
    </w:p>
    <w:p>
      <w:pPr>
        <w:pStyle w:val="Heading2"/>
      </w:pPr>
      <w:r>
        <w:t xml:space="preserve">8.2 Módulos de la Comunidad / Terceros (Open Source o Comerciales)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3790"/>
        <w:gridCol w:w="3883"/>
      </w:tblGrid>
      <w:tr>
        <w:tc>
          <w:tcPr>
            <w:tcW w:type="dxa" w:w="135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Módulo</w:t>
            </w:r>
          </w:p>
        </w:tc>
        <w:tc>
          <w:tcPr>
            <w:tcW w:type="dxa" w:w="379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Quién lo construiría</w:t>
            </w:r>
          </w:p>
        </w:tc>
        <w:tc>
          <w:tcPr>
            <w:tcW w:type="dxa" w:w="3883"/>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Función</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Radiología / DICOM</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Fabricantes de equipos (Planmeca, Vatech, Carestream)</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Integración de imágenes radiológicas en la ficha del paciente.</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Laboratorio</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Laboratorios protésicos</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Envío de casos al laboratorio desde la ficha del paciente.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Seguros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Aseguradoras o integradores</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Preautorizaciones, coberturas, facturación a aseguradora.</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Recordatorios</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Comunidad</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SMS, email, WhatsApp para recordar citas, revisiones periódicas.</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Sync Google Calendar</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Comunidad</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Sincronización unidireccional de citas hacia Google Calendar del profesional.</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Verifactu / AEAT</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Dentaltix o comunidad (prioridad alta)</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Cumplimiento normativo: hash encadenado SHA-256, firma digital, QR, envío a AEAT. Dos vías: implementación directa contra webservice AEAT (SOAP/XML) o integración con API intermediaria (Verifacti, VeriTax). Obligatorio para todas las clínicas desde enero 2027 (sociedades) / julio 2027 (autónomos). Estimación: 2-4 semanas vía API intermediaria, 6-10 semanas implementación directa.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Contabilidad</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Integradores</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Exportación de facturas a Sage, Holded, A3, Contasol. No se construye contabilidad propia — se integra con software existente.</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Consentimientos</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Comunidad</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Firma digital de consentimientos informados por el paciente.</w:t>
            </w:r>
          </w:p>
        </w:tc>
      </w:tr>
      <w:tr>
        <w:tc>
          <w:tcPr>
            <w:tcW w:type="dxa" w:w="135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Ortodoncia</w:t>
            </w:r>
          </w:p>
        </w:tc>
        <w:tc>
          <w:tcPr>
            <w:tcW w:type="dxa" w:w="379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Comunidad o especialistas</w:t>
            </w:r>
          </w:p>
        </w:tc>
        <w:tc>
          <w:tcPr>
            <w:tcW w:type="dxa" w:w="388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Módulo especializado para seguimiento de tratamientos de ortodoncia.</w:t>
            </w:r>
          </w:p>
        </w:tc>
      </w:tr>
      <w:tr>
        <w:tc>
          <w:tcPr>
            <w:tcW w:type="dxa" w:w="135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Marketing</w:t>
            </w:r>
          </w:p>
        </w:tc>
        <w:tc>
          <w:tcPr>
            <w:tcW w:type="dxa" w:w="3790"/>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Empresas de marketing dental</w:t>
            </w:r>
          </w:p>
        </w:tc>
        <w:tc>
          <w:tcPr>
            <w:tcW w:type="dxa" w:w="3883"/>
            <w:tcBorders>
              <w:top w:val="single" w:color="D0D0D0" w:sz="1"/>
              <w:left w:val="single" w:color="D0D0D0" w:sz="1"/>
              <w:bottom w:val="single" w:color="D0D0D0" w:sz="1"/>
              <w:right w:val="single" w:color="D0D0D0" w:sz="1"/>
            </w:tcBorders>
            <w:shd w:fill="F2F7FB" w:val="clear"/>
            <w:tcMar>
              <w:top w:type="dxa" w:w="80"/>
              <w:left w:type="dxa" w:w="120"/>
              <w:bottom w:type="dxa" w:w="80"/>
              <w:right w:type="dxa" w:w="120"/>
            </w:tcMar>
          </w:tcPr>
          <w:p>
            <w:r>
              <w:rPr>
                <w:rFonts w:ascii="Calibri" w:cs="Calibri" w:eastAsia="Calibri" w:hAnsi="Calibri"/>
                <w:sz w:val="20"/>
                <w:szCs w:val="20"/>
              </w:rPr>
              <w:t xml:space="preserve">Campañas de fidelización, encuestas de satisfacción, reviews.</w:t>
            </w:r>
          </w:p>
        </w:tc>
      </w:tr>
    </w:tbl>
    <w:p>
      <w:pPr>
        <w:spacing w:after="80"/>
      </w:pPr>
    </w:p>
    <w:p>
      <w:pPr>
        <w:pStyle w:val="Heading1"/>
      </w:pPr>
      <w:r>
        <w:t xml:space="preserve">9. Métricas de Éxito</w:t>
      </w:r>
    </w:p>
    <w:p>
      <w:pPr>
        <w:pStyle w:val="Heading2"/>
      </w:pPr>
      <w:r>
        <w:t xml:space="preserve">9.1 Semana 1 (Prototipo)</w:t>
      </w:r>
    </w:p>
    <w:p>
      <w:pPr>
        <w:pStyle w:val="ListParagraph"/>
        <w:numPr>
          <w:ilvl w:val="0"/>
          <w:numId w:val="2"/>
        </w:numPr>
        <w:spacing w:after="80"/>
      </w:pPr>
      <w:r>
        <w:t xml:space="preserve">Repositorio público en GitHub con CI en verde.</w:t>
      </w:r>
    </w:p>
    <w:p>
      <w:pPr>
        <w:pStyle w:val="ListParagraph"/>
        <w:numPr>
          <w:ilvl w:val="0"/>
          <w:numId w:val="2"/>
        </w:numPr>
        <w:spacing w:after="80"/>
      </w:pPr>
      <w:r>
        <w:t xml:space="preserve">Instancia demo funcional accesible online.</w:t>
      </w:r>
    </w:p>
    <w:p>
      <w:pPr>
        <w:pStyle w:val="ListParagraph"/>
        <w:numPr>
          <w:ilvl w:val="0"/>
          <w:numId w:val="2"/>
        </w:numPr>
        <w:spacing w:after="80"/>
      </w:pPr>
      <w:r>
        <w:t xml:space="preserve">Flujo completo funcional: crear paciente → marcar odontograma → crear cita → generar presupuesto → emitir factura.</w:t>
      </w:r>
    </w:p>
    <w:p>
      <w:pPr>
        <w:pStyle w:val="ListParagraph"/>
        <w:numPr>
          <w:ilvl w:val="0"/>
          <w:numId w:val="2"/>
        </w:numPr>
        <w:spacing w:after="80"/>
      </w:pPr>
      <w:r>
        <w:t xml:space="preserve">Documentación suficiente para que un developer externo levante el proyecto en menos de 10 minutos.</w:t>
      </w:r>
    </w:p>
    <w:p>
      <w:pPr>
        <w:pStyle w:val="Heading2"/>
      </w:pPr>
      <w:r>
        <w:t xml:space="preserve">9.2 Meses 1-6 (Validación, sin inversión significativa)</w:t>
      </w:r>
    </w:p>
    <w:p>
      <w:pPr>
        <w:pStyle w:val="ListParagraph"/>
        <w:numPr>
          <w:ilvl w:val="0"/>
          <w:numId w:val="2"/>
        </w:numPr>
        <w:spacing w:after="80"/>
      </w:pPr>
      <w:r>
        <w:t xml:space="preserve">3-5 clínicas de confianza (clientes de Dentaltix) probando el software y dando feedback.</w:t>
      </w:r>
    </w:p>
    <w:p>
      <w:pPr>
        <w:pStyle w:val="ListParagraph"/>
        <w:numPr>
          <w:ilvl w:val="0"/>
          <w:numId w:val="2"/>
        </w:numPr>
        <w:spacing w:after="80"/>
      </w:pPr>
      <w:r>
        <w:t xml:space="preserve">Al menos 50 estrellas en GitHub y 2-3 contribuciones externas (por mínimas que sean).</w:t>
      </w:r>
    </w:p>
    <w:p>
      <w:pPr>
        <w:pStyle w:val="ListParagraph"/>
        <w:numPr>
          <w:ilvl w:val="0"/>
          <w:numId w:val="2"/>
        </w:numPr>
        <w:spacing w:after="80"/>
      </w:pPr>
      <w:r>
        <w:t xml:space="preserve">Identificación de los 3 pain points principales de los testers para priorizar iteraciones.</w:t>
      </w:r>
    </w:p>
    <w:p>
      <w:pPr>
        <w:pStyle w:val="Heading2"/>
      </w:pPr>
      <w:r>
        <w:t xml:space="preserve">9.3 Meses 6-24 (Crecimiento, inversión gradual)</w:t>
      </w:r>
    </w:p>
    <w:p>
      <w:pPr>
        <w:pStyle w:val="ListParagraph"/>
        <w:numPr>
          <w:ilvl w:val="0"/>
          <w:numId w:val="2"/>
        </w:numPr>
        <w:spacing w:after="80"/>
      </w:pPr>
      <w:r>
        <w:t xml:space="preserve">20+ clínicas usando el software activamente.</w:t>
      </w:r>
    </w:p>
    <w:p>
      <w:pPr>
        <w:pStyle w:val="ListParagraph"/>
        <w:numPr>
          <w:ilvl w:val="0"/>
          <w:numId w:val="2"/>
        </w:numPr>
        <w:spacing w:after="80"/>
      </w:pPr>
      <w:r>
        <w:t xml:space="preserve">Primer módulo de terceros publicado.</w:t>
      </w:r>
    </w:p>
    <w:p>
      <w:pPr>
        <w:pStyle w:val="ListParagraph"/>
        <w:numPr>
          <w:ilvl w:val="0"/>
          <w:numId w:val="2"/>
        </w:numPr>
        <w:spacing w:after="80"/>
      </w:pPr>
      <w:r>
        <w:t xml:space="preserve">Módulo de suministros de Dentaltix instalado en al menos 10 clínicas, generando pedidos medibles.</w:t>
      </w:r>
    </w:p>
    <w:p>
      <w:pPr>
        <w:pStyle w:val="Heading2"/>
      </w:pPr>
      <w:r>
        <w:t xml:space="preserve">9.4 Métrica Estrella</w:t>
      </w:r>
    </w:p>
    <w:p>
      <w:pPr>
        <w:spacing w:after="160"/>
      </w:pPr>
      <w:r>
        <w:t xml:space="preserve">La única métrica que determina si el proyecto justifica inversión continuada: </w:t>
      </w:r>
      <w:r>
        <w:rPr>
          <w:b/>
          <w:bCs/>
        </w:rPr>
        <w:t xml:space="preserve">pedidos en Dentaltix generados a través del módulo de suministros.</w:t>
      </w:r>
      <w:r>
        <w:t xml:space="preserve"> Todo lo demás (estrellas, contribuciones, clínicas activas) es proxy. El negocio de Dentaltix es vender suministros dentales, y este proyecto solo tiene sentido si alimenta ese negocio.</w:t>
      </w:r>
    </w:p>
    <w:p>
      <w:pPr>
        <w:pStyle w:val="Heading1"/>
      </w:pPr>
      <w:r>
        <w:t xml:space="preserve">10. Consideraciones Legales y de Cumplimiento</w:t>
      </w:r>
    </w:p>
    <w:p>
      <w:pPr>
        <w:pStyle w:val="Heading2"/>
      </w:pPr>
      <w:r>
        <w:t xml:space="preserve">10.1 Protección de Datos Sanitarios</w:t>
      </w:r>
    </w:p>
    <w:p>
      <w:pPr>
        <w:spacing w:after="160"/>
      </w:pPr>
      <w:r>
        <w:t xml:space="preserve">Los datos de pacientes son datos de salud bajo el RGPD, sujetos a la categoría especial del Artículo 9. El software debe soportar desde la arquitectura:</w:t>
      </w:r>
    </w:p>
    <w:p>
      <w:pPr>
        <w:pStyle w:val="ListParagraph"/>
        <w:numPr>
          <w:ilvl w:val="0"/>
          <w:numId w:val="2"/>
        </w:numPr>
        <w:spacing w:after="80"/>
      </w:pPr>
      <w:r>
        <w:rPr>
          <w:b/>
          <w:bCs/>
        </w:rPr>
        <w:t xml:space="preserve">Consentimiento explícito: </w:t>
      </w:r>
      <w:r>
        <w:t xml:space="preserve">registro de consentimiento RGPD firmado por cada paciente (campo consent_signed + fecha + método).</w:t>
      </w:r>
    </w:p>
    <w:p>
      <w:pPr>
        <w:pStyle w:val="ListParagraph"/>
        <w:numPr>
          <w:ilvl w:val="0"/>
          <w:numId w:val="2"/>
        </w:numPr>
        <w:spacing w:after="80"/>
      </w:pPr>
      <w:r>
        <w:rPr>
          <w:b/>
          <w:bCs/>
        </w:rPr>
        <w:t xml:space="preserve">Derecho de acceso y portabilidad: </w:t>
      </w:r>
      <w:r>
        <w:t xml:space="preserve">endpoint de exportación de todos los datos de un paciente en formato estándar (JSON).</w:t>
      </w:r>
    </w:p>
    <w:p>
      <w:pPr>
        <w:pStyle w:val="ListParagraph"/>
        <w:numPr>
          <w:ilvl w:val="0"/>
          <w:numId w:val="2"/>
        </w:numPr>
        <w:spacing w:after="80"/>
      </w:pPr>
      <w:r>
        <w:rPr>
          <w:b/>
          <w:bCs/>
        </w:rPr>
        <w:t xml:space="preserve">Derecho de supresion: </w:t>
      </w:r>
      <w:r>
        <w:t xml:space="preserve">capacidad de anonimizar datos de un paciente manteniendo la integridad referencial (soft delete + anonimización).</w:t>
      </w:r>
    </w:p>
    <w:p>
      <w:pPr>
        <w:pStyle w:val="ListParagraph"/>
        <w:numPr>
          <w:ilvl w:val="0"/>
          <w:numId w:val="2"/>
        </w:numPr>
        <w:spacing w:after="80"/>
      </w:pPr>
      <w:r>
        <w:rPr>
          <w:b/>
          <w:bCs/>
        </w:rPr>
        <w:t xml:space="preserve">Cifrado: </w:t>
      </w:r>
      <w:r>
        <w:t xml:space="preserve">cifrado en tránsito (HTTPS obligatorio) y recomendación de cifrado en reposo de la base de datos.</w:t>
      </w:r>
    </w:p>
    <w:p>
      <w:pPr>
        <w:pStyle w:val="ListParagraph"/>
        <w:numPr>
          <w:ilvl w:val="0"/>
          <w:numId w:val="2"/>
        </w:numPr>
        <w:spacing w:after="80"/>
      </w:pPr>
      <w:r>
        <w:rPr>
          <w:b/>
          <w:bCs/>
        </w:rPr>
        <w:t xml:space="preserve">Audit log: </w:t>
      </w:r>
      <w:r>
        <w:t xml:space="preserve">registro de quién accedió a qué dato de paciente y cuándo (requisito legal para datos de salud).</w:t>
      </w:r>
    </w:p>
    <w:p>
      <w:pPr>
        <w:pStyle w:val="Heading2"/>
      </w:pPr>
      <w:r>
        <w:t xml:space="preserve">10.2 Nota Importante</w:t>
      </w:r>
    </w:p>
    <w:p>
      <w:pPr>
        <w:spacing w:after="160"/>
      </w:pPr>
      <w:r>
        <w:t xml:space="preserve">Este documento es estratégico y técnico, no legal. Antes de publicar el proyecto, Dentaltix debe validar la licencia BSL y el CLA con un abogado especializado en propiedad intelectual y software open source. Igualmente, la conformidad RGPD para datos de salud debe ser revisada con un DPO (Data Protection Officer) cualificado.</w:t>
      </w:r>
    </w:p>
    <w:p>
      <w:pPr>
        <w:spacing w:after="80"/>
      </w:pPr>
    </w:p>
    <w:p>
      <w:pPr>
        <w:pBdr>
          <w:top w:val="single" w:color="2E75B6" w:sz="2" w:space="8"/>
        </w:pBdr>
        <w:spacing w:before="400"/>
        <w:jc w:val="center"/>
      </w:pPr>
      <w:r>
        <w:rPr>
          <w:rFonts w:ascii="Calibri" w:cs="Calibri" w:eastAsia="Calibri" w:hAnsi="Calibri"/>
          <w:i/>
          <w:iCs/>
          <w:color w:val="999999"/>
          <w:sz w:val="20"/>
          <w:szCs w:val="20"/>
        </w:rPr>
        <w:t xml:space="preserve">Fin del documento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Calibri" w:cs="Calibri" w:eastAsia="Calibri" w:hAnsi="Calibri"/>
        <w:color w:val="999999"/>
        <w:sz w:val="16"/>
        <w:szCs w:val="16"/>
      </w:rPr>
      <w:t xml:space="preserve">Dentaltix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Calibri" w:cs="Calibri" w:eastAsia="Calibri" w:hAnsi="Calibri"/>
        <w:i/>
        <w:iCs/>
        <w:color w:val="999999"/>
        <w:sz w:val="16"/>
        <w:szCs w:val="16"/>
      </w:rPr>
      <w:t xml:space="preserve">Proyecto Open Source — Software de Gestión Dental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2026-03-28T21:25:14.913Z</dcterms:created>
  <dcterms:modified xsi:type="dcterms:W3CDTF">2026-03-28T21:25:14.914Z</dcterms:modified>
</cp:coreProperties>
</file>

<file path=docProps/custom.xml><?xml version="1.0" encoding="utf-8"?>
<Properties xmlns="http://schemas.openxmlformats.org/officeDocument/2006/custom-properties" xmlns:vt="http://schemas.openxmlformats.org/officeDocument/2006/docPropsVTypes"/>
</file>