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B3C87"/>
          <w:sz w:val="40"/>
          <w:szCs w:val="40"/>
        </w:rPr>
        <w:t xml:space="preserve">CONTRAT DE LOCATION</w:t>
      </w:r>
    </w:p>
    <w:p>
      <w:pPr>
        <w:spacing w:after="60" w:before="0"/>
        <w:jc w:val="center"/>
      </w:pPr>
      <w:r>
        <w:rPr>
          <w:rFonts w:ascii="Arial" w:cs="Arial" w:eastAsia="Arial" w:hAnsi="Arial"/>
          <w:color w:val="444444"/>
          <w:sz w:val="24"/>
          <w:szCs w:val="24"/>
        </w:rPr>
        <w:t xml:space="preserve">Véhicule Sans Permis Électrique (VSP — catégorie L6e)</w:t>
      </w:r>
    </w:p>
    <w:p>
      <w:pPr>
        <w:spacing w:after="60" w:before="0"/>
        <w:jc w:val="center"/>
      </w:pPr>
      <w:r>
        <w:rPr>
          <w:rFonts w:ascii="Arial" w:cs="Arial" w:eastAsia="Arial" w:hAnsi="Arial"/>
          <w:i/>
          <w:iCs/>
          <w:color w:val="666666"/>
          <w:sz w:val="22"/>
          <w:szCs w:val="22"/>
        </w:rPr>
        <w:t xml:space="preserve">Mise en relation via la plateforme DRYVEA</w:t>
      </w:r>
    </w:p>
    <w:p>
      <w:pPr>
        <w:spacing w:after="400" w:before="0"/>
        <w:jc w:val="center"/>
      </w:pPr>
      <w:r>
        <w:rPr>
          <w:rFonts w:ascii="Arial" w:cs="Arial" w:eastAsia="Arial" w:hAnsi="Arial"/>
          <w:color w:val="888888"/>
          <w:sz w:val="20"/>
          <w:szCs w:val="20"/>
        </w:rPr>
        <w:t xml:space="preserve">Référence : DRV-LOC-______ / Date : ________________</w:t>
      </w:r>
    </w:p>
    <w:p>
      <w:pPr>
        <w:pStyle w:val="Heading1"/>
        <w:pBdr>
          <w:bottom w:val="single" w:color="1B3C87" w:sz="4" w:space="4"/>
        </w:pBdr>
        <w:spacing w:after="160" w:before="360"/>
      </w:pPr>
      <w:r>
        <w:rPr>
          <w:rFonts w:ascii="Arial" w:cs="Arial" w:eastAsia="Arial" w:hAnsi="Arial"/>
          <w:b/>
          <w:bCs/>
          <w:color w:val="1B3C87"/>
          <w:sz w:val="28"/>
          <w:szCs w:val="28"/>
        </w:rPr>
        <w:t xml:space="preserve">ARTICLE 1 — PARTIES AU CONTRAT</w:t>
      </w:r>
    </w:p>
    <w:p>
      <w:pPr>
        <w:spacing w:after="80" w:before="80"/>
      </w:pPr>
      <w:r>
        <w:rPr>
          <w:rFonts w:ascii="Arial" w:cs="Arial" w:eastAsia="Arial" w:hAnsi="Arial"/>
          <w:sz w:val="22"/>
          <w:szCs w:val="22"/>
        </w:rPr>
        <w:t xml:space="preserve">Le présent contrat est conclu entre les parties suivantes :</w:t>
      </w:r>
    </w:p>
    <w:p>
      <w:pPr>
        <w:spacing w:after="60" w:before="60"/>
      </w:pPr>
      <w:r>
        <w:t xml:space="preserve"/>
      </w:r>
    </w:p>
    <w:p>
      <w:pPr>
        <w:spacing w:after="80" w:before="80"/>
      </w:pPr>
      <w:r>
        <w:rPr>
          <w:rFonts w:ascii="Arial" w:cs="Arial" w:eastAsia="Arial" w:hAnsi="Arial"/>
          <w:b/>
          <w:bCs/>
          <w:color w:val="1B3C87"/>
          <w:sz w:val="22"/>
          <w:szCs w:val="22"/>
        </w:rPr>
        <w:t xml:space="preserve">LE LOUEUR (Propriétaire du véhicule)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Nom / Prénom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Date de naissance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Adresse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Téléphone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 de compte Dryvea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DRV-</w:t>
            </w:r>
          </w:p>
        </w:tc>
      </w:tr>
    </w:tbl>
    <w:p>
      <w:pPr>
        <w:spacing w:after="60" w:before="60"/>
      </w:pPr>
      <w:r>
        <w:t xml:space="preserve"/>
      </w:r>
    </w:p>
    <w:p>
      <w:pPr>
        <w:spacing w:after="80" w:before="80"/>
      </w:pPr>
      <w:r>
        <w:rPr>
          <w:rFonts w:ascii="Arial" w:cs="Arial" w:eastAsia="Arial" w:hAnsi="Arial"/>
          <w:b/>
          <w:bCs/>
          <w:color w:val="1B3C87"/>
          <w:sz w:val="22"/>
          <w:szCs w:val="22"/>
        </w:rPr>
        <w:t xml:space="preserve">LE LOCATAIRE (Utilisateur du véhicule)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Nom / Prénom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Date de naissance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Adresse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Téléphone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 de compte Dryvea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DRV-</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Âge (min. 14 ans)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spacing w:after="80" w:before="80"/>
      </w:pPr>
      <w:r>
        <w:rPr>
          <w:rFonts w:ascii="Arial" w:cs="Arial" w:eastAsia="Arial" w:hAnsi="Arial"/>
          <w:i/>
          <w:iCs/>
          <w:color w:val="555555"/>
          <w:sz w:val="22"/>
          <w:szCs w:val="22"/>
        </w:rPr>
        <w:t xml:space="preserve">La plateforme DRYVEA intervient exclusivement en qualité d’intermédiaire de mise en relation et n’est pas partie au contrat de location. Elle n’est ni loueur, ni locataire, ni assureur.</w:t>
      </w:r>
    </w:p>
    <w:p>
      <w:pPr>
        <w:pStyle w:val="Heading1"/>
        <w:pBdr>
          <w:bottom w:val="single" w:color="1B3C87" w:sz="4" w:space="4"/>
        </w:pBdr>
        <w:spacing w:after="160" w:before="360"/>
      </w:pPr>
      <w:r>
        <w:rPr>
          <w:rFonts w:ascii="Arial" w:cs="Arial" w:eastAsia="Arial" w:hAnsi="Arial"/>
          <w:b/>
          <w:bCs/>
          <w:color w:val="1B3C87"/>
          <w:sz w:val="28"/>
          <w:szCs w:val="28"/>
        </w:rPr>
        <w:t xml:space="preserve">ARTICLE 2 — DÉSIGNATION DU VÉHICULE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Marque / Modèle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Année de mise en circulation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Numéro de série (VIN)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Numéro d’immatriculation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Catégorie européenne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L6e (VSP électrique)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Puissance moteur (max.)</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kW</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Vitesse maximale (max.)</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km/h</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Capacité batterie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kWh</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Autonomie estimée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Couleur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État général au départ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À renseigner en état des lieux</w:t>
            </w:r>
          </w:p>
        </w:tc>
      </w:tr>
    </w:tbl>
    <w:p>
      <w:pPr>
        <w:pStyle w:val="Heading1"/>
        <w:pBdr>
          <w:bottom w:val="single" w:color="1B3C87" w:sz="4" w:space="4"/>
        </w:pBdr>
        <w:spacing w:after="160" w:before="360"/>
      </w:pPr>
      <w:r>
        <w:rPr>
          <w:rFonts w:ascii="Arial" w:cs="Arial" w:eastAsia="Arial" w:hAnsi="Arial"/>
          <w:b/>
          <w:bCs/>
          <w:color w:val="1B3C87"/>
          <w:sz w:val="28"/>
          <w:szCs w:val="28"/>
        </w:rPr>
        <w:t xml:space="preserve">ARTICLE 3 — PÉRIODE DE 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Date et heure de début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Date et heure de fin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Durée totale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Lieu de remise du véhicule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Lieu de restitution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spacing w:after="80" w:before="80"/>
      </w:pPr>
      <w:r>
        <w:rPr>
          <w:rFonts w:ascii="Arial" w:cs="Arial" w:eastAsia="Arial" w:hAnsi="Arial"/>
          <w:sz w:val="22"/>
          <w:szCs w:val="22"/>
        </w:rPr>
        <w:t xml:space="preserve">Toute prolongation doit faire l’objet d’un accord écrit préalable entre les parties via la plateforme Dryvea et d’un avenant au présent contrat.</w:t>
      </w:r>
    </w:p>
    <w:p>
      <w:pPr>
        <w:pStyle w:val="Heading1"/>
        <w:pBdr>
          <w:bottom w:val="single" w:color="1B3C87" w:sz="4" w:space="4"/>
        </w:pBdr>
        <w:spacing w:after="160" w:before="360"/>
      </w:pPr>
      <w:r>
        <w:rPr>
          <w:rFonts w:ascii="Arial" w:cs="Arial" w:eastAsia="Arial" w:hAnsi="Arial"/>
          <w:b/>
          <w:bCs/>
          <w:color w:val="1B3C87"/>
          <w:sz w:val="28"/>
          <w:szCs w:val="28"/>
        </w:rPr>
        <w:t xml:space="preserve">ARTICLE 4 — CONDITIONS FINANCIÈRES</w:t>
      </w:r>
    </w:p>
    <w:p>
      <w:pPr>
        <w:pStyle w:val="Heading2"/>
        <w:spacing w:after="120" w:before="240"/>
      </w:pPr>
      <w:r>
        <w:rPr>
          <w:rFonts w:ascii="Arial" w:cs="Arial" w:eastAsia="Arial" w:hAnsi="Arial"/>
          <w:b/>
          <w:bCs/>
          <w:color w:val="1A1A2E"/>
          <w:sz w:val="24"/>
          <w:szCs w:val="24"/>
        </w:rPr>
        <w:t xml:space="preserve">4.1 Prix de la 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Tarif par heure / jour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Durée facturée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Sous-total location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Frais de service Dryvea (TTC)</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Dépôt de garantie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TOTAL DÛ</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after="120" w:before="240"/>
      </w:pPr>
      <w:r>
        <w:rPr>
          <w:rFonts w:ascii="Arial" w:cs="Arial" w:eastAsia="Arial" w:hAnsi="Arial"/>
          <w:b/>
          <w:bCs/>
          <w:color w:val="1A1A2E"/>
          <w:sz w:val="24"/>
          <w:szCs w:val="24"/>
        </w:rPr>
        <w:t xml:space="preserve">4.2 Modalités de paiement</w:t>
      </w:r>
    </w:p>
    <w:p>
      <w:pPr>
        <w:spacing w:after="80" w:before="80"/>
      </w:pPr>
      <w:r>
        <w:rPr>
          <w:rFonts w:ascii="Arial" w:cs="Arial" w:eastAsia="Arial" w:hAnsi="Arial"/>
          <w:sz w:val="22"/>
          <w:szCs w:val="22"/>
        </w:rPr>
        <w:t xml:space="preserve">Le paiement s’effectue exclusivement via la plateforme Dryvea, préalablement à la mise à disposition du véhicule. Aucun paiement en espèces n’est autorisé dans le cadre de la transaction Dryvea.</w:t>
      </w:r>
    </w:p>
    <w:p>
      <w:pPr>
        <w:pStyle w:val="Heading2"/>
        <w:spacing w:after="120" w:before="240"/>
      </w:pPr>
      <w:r>
        <w:rPr>
          <w:rFonts w:ascii="Arial" w:cs="Arial" w:eastAsia="Arial" w:hAnsi="Arial"/>
          <w:b/>
          <w:bCs/>
          <w:color w:val="1A1A2E"/>
          <w:sz w:val="24"/>
          <w:szCs w:val="24"/>
        </w:rPr>
        <w:t xml:space="preserve">4.3 Dépôt de garantie</w:t>
      </w:r>
    </w:p>
    <w:p>
      <w:pPr>
        <w:spacing w:after="80" w:before="80"/>
      </w:pPr>
      <w:r>
        <w:rPr>
          <w:rFonts w:ascii="Arial" w:cs="Arial" w:eastAsia="Arial" w:hAnsi="Arial"/>
          <w:sz w:val="22"/>
          <w:szCs w:val="22"/>
        </w:rPr>
        <w:t xml:space="preserve">Un dépôt de garantie est bloqué sur le compte du locataire au moment de la réservation. Il est libéré dans un délai de 48 heures après la restitution du véhicule en l’absence de dommage constaté.</w:t>
      </w:r>
    </w:p>
    <w:p>
      <w:pPr>
        <w:pStyle w:val="Heading2"/>
        <w:spacing w:after="120" w:before="240"/>
      </w:pPr>
      <w:r>
        <w:rPr>
          <w:rFonts w:ascii="Arial" w:cs="Arial" w:eastAsia="Arial" w:hAnsi="Arial"/>
          <w:b/>
          <w:bCs/>
          <w:color w:val="1A1A2E"/>
          <w:sz w:val="24"/>
          <w:szCs w:val="24"/>
        </w:rPr>
        <w:t xml:space="preserve">4.4 Frais supplémentaires</w:t>
      </w:r>
    </w:p>
    <w:p>
      <w:pPr>
        <w:spacing w:after="80" w:before="80"/>
      </w:pPr>
      <w:r>
        <w:rPr>
          <w:rFonts w:ascii="Arial" w:cs="Arial" w:eastAsia="Arial" w:hAnsi="Arial"/>
          <w:sz w:val="22"/>
          <w:szCs w:val="22"/>
        </w:rPr>
        <w:t xml:space="preserve">Pourront être facturés en sus :</w:t>
      </w:r>
    </w:p>
    <w:p>
      <w:pPr>
        <w:pStyle w:val="ListParagraph"/>
        <w:numPr>
          <w:ilvl w:val="0"/>
          <w:numId w:val="2"/>
        </w:numPr>
        <w:spacing w:after="60" w:before="60"/>
      </w:pPr>
      <w:r>
        <w:rPr>
          <w:rFonts w:ascii="Arial" w:cs="Arial" w:eastAsia="Arial" w:hAnsi="Arial"/>
          <w:sz w:val="22"/>
          <w:szCs w:val="22"/>
        </w:rPr>
        <w:t xml:space="preserve">Retard de restitution : tarif horaire majoré de 50 %</w:t>
      </w:r>
    </w:p>
    <w:p>
      <w:pPr>
        <w:pStyle w:val="ListParagraph"/>
        <w:numPr>
          <w:ilvl w:val="0"/>
          <w:numId w:val="2"/>
        </w:numPr>
        <w:spacing w:after="60" w:before="60"/>
      </w:pPr>
      <w:r>
        <w:rPr>
          <w:rFonts w:ascii="Arial" w:cs="Arial" w:eastAsia="Arial" w:hAnsi="Arial"/>
          <w:sz w:val="22"/>
          <w:szCs w:val="22"/>
        </w:rPr>
        <w:t xml:space="preserve">Recharge électrique non effectuée si prévue : € fixe ou réel</w:t>
      </w:r>
    </w:p>
    <w:p>
      <w:pPr>
        <w:pStyle w:val="ListParagraph"/>
        <w:numPr>
          <w:ilvl w:val="0"/>
          <w:numId w:val="2"/>
        </w:numPr>
        <w:spacing w:after="60" w:before="60"/>
      </w:pPr>
      <w:r>
        <w:rPr>
          <w:rFonts w:ascii="Arial" w:cs="Arial" w:eastAsia="Arial" w:hAnsi="Arial"/>
          <w:sz w:val="22"/>
          <w:szCs w:val="22"/>
        </w:rPr>
        <w:t xml:space="preserve">Nettoyage exceptionnel : selon détail du loueur</w:t>
      </w:r>
    </w:p>
    <w:p>
      <w:pPr>
        <w:pStyle w:val="ListParagraph"/>
        <w:numPr>
          <w:ilvl w:val="0"/>
          <w:numId w:val="2"/>
        </w:numPr>
        <w:spacing w:after="60" w:before="60"/>
      </w:pPr>
      <w:r>
        <w:rPr>
          <w:rFonts w:ascii="Arial" w:cs="Arial" w:eastAsia="Arial" w:hAnsi="Arial"/>
          <w:sz w:val="22"/>
          <w:szCs w:val="22"/>
        </w:rPr>
        <w:t xml:space="preserve">Frais liés à une infraction commise pendant la location</w:t>
      </w:r>
    </w:p>
    <w:p>
      <w:pPr>
        <w:pStyle w:val="Heading1"/>
        <w:pBdr>
          <w:bottom w:val="single" w:color="1B3C87" w:sz="4" w:space="4"/>
        </w:pBdr>
        <w:spacing w:after="160" w:before="360"/>
      </w:pPr>
      <w:r>
        <w:rPr>
          <w:rFonts w:ascii="Arial" w:cs="Arial" w:eastAsia="Arial" w:hAnsi="Arial"/>
          <w:b/>
          <w:bCs/>
          <w:color w:val="1B3C87"/>
          <w:sz w:val="28"/>
          <w:szCs w:val="28"/>
        </w:rPr>
        <w:t xml:space="preserve">ARTICLE 5 — CONDITIONS D’UTILISATION DU VSP</w:t>
      </w:r>
    </w:p>
    <w:p>
      <w:pPr>
        <w:pStyle w:val="Heading2"/>
        <w:spacing w:after="120" w:before="240"/>
      </w:pPr>
      <w:r>
        <w:rPr>
          <w:rFonts w:ascii="Arial" w:cs="Arial" w:eastAsia="Arial" w:hAnsi="Arial"/>
          <w:b/>
          <w:bCs/>
          <w:color w:val="1A1A2E"/>
          <w:sz w:val="24"/>
          <w:szCs w:val="24"/>
        </w:rPr>
        <w:t xml:space="preserve">5.1 Conditions relatives au conducteur</w:t>
      </w:r>
    </w:p>
    <w:p>
      <w:pPr>
        <w:spacing w:after="80" w:before="80"/>
      </w:pPr>
      <w:r>
        <w:rPr>
          <w:rFonts w:ascii="Arial" w:cs="Arial" w:eastAsia="Arial" w:hAnsi="Arial"/>
          <w:sz w:val="22"/>
          <w:szCs w:val="22"/>
        </w:rPr>
        <w:t xml:space="preserve">Le locataire déclare :</w:t>
      </w:r>
    </w:p>
    <w:p>
      <w:pPr>
        <w:pStyle w:val="ListParagraph"/>
        <w:numPr>
          <w:ilvl w:val="0"/>
          <w:numId w:val="2"/>
        </w:numPr>
        <w:spacing w:after="60" w:before="60"/>
      </w:pPr>
      <w:r>
        <w:rPr>
          <w:rFonts w:ascii="Arial" w:cs="Arial" w:eastAsia="Arial" w:hAnsi="Arial"/>
          <w:sz w:val="22"/>
          <w:szCs w:val="22"/>
        </w:rPr>
        <w:t xml:space="preserve">être âgé d’au moins 14 ans (condition légale pour conduire un VSP en France)</w:t>
      </w:r>
    </w:p>
    <w:p>
      <w:pPr>
        <w:pStyle w:val="ListParagraph"/>
        <w:numPr>
          <w:ilvl w:val="0"/>
          <w:numId w:val="2"/>
        </w:numPr>
        <w:spacing w:after="60" w:before="60"/>
      </w:pPr>
      <w:r>
        <w:rPr>
          <w:rFonts w:ascii="Arial" w:cs="Arial" w:eastAsia="Arial" w:hAnsi="Arial"/>
          <w:sz w:val="22"/>
          <w:szCs w:val="22"/>
        </w:rPr>
        <w:t xml:space="preserve">avoir pris connaissance du mode de fonctionnement du véhicule électrique mis à disposition</w:t>
      </w:r>
    </w:p>
    <w:p>
      <w:pPr>
        <w:pStyle w:val="ListParagraph"/>
        <w:numPr>
          <w:ilvl w:val="0"/>
          <w:numId w:val="2"/>
        </w:numPr>
        <w:spacing w:after="60" w:before="60"/>
      </w:pPr>
      <w:r>
        <w:rPr>
          <w:rFonts w:ascii="Arial" w:cs="Arial" w:eastAsia="Arial" w:hAnsi="Arial"/>
          <w:sz w:val="22"/>
          <w:szCs w:val="22"/>
        </w:rPr>
        <w:t xml:space="preserve">ne pas être sous l’emprise de substances psychoactives ou de médicaments incompatibles</w:t>
      </w:r>
    </w:p>
    <w:p>
      <w:pPr>
        <w:pStyle w:val="ListParagraph"/>
        <w:numPr>
          <w:ilvl w:val="0"/>
          <w:numId w:val="2"/>
        </w:numPr>
        <w:spacing w:after="60" w:before="60"/>
      </w:pPr>
      <w:r>
        <w:rPr>
          <w:rFonts w:ascii="Arial" w:cs="Arial" w:eastAsia="Arial" w:hAnsi="Arial"/>
          <w:sz w:val="22"/>
          <w:szCs w:val="22"/>
        </w:rPr>
        <w:t xml:space="preserve">ne pas prêter ou sous-louer le véhicule à un tiers</w:t>
      </w:r>
    </w:p>
    <w:p>
      <w:pPr>
        <w:pStyle w:val="Heading2"/>
        <w:spacing w:after="120" w:before="240"/>
      </w:pPr>
      <w:r>
        <w:rPr>
          <w:rFonts w:ascii="Arial" w:cs="Arial" w:eastAsia="Arial" w:hAnsi="Arial"/>
          <w:b/>
          <w:bCs/>
          <w:color w:val="1A1A2E"/>
          <w:sz w:val="24"/>
          <w:szCs w:val="24"/>
        </w:rPr>
        <w:t xml:space="preserve">5.2 Usage autorisé</w:t>
      </w:r>
    </w:p>
    <w:p>
      <w:pPr>
        <w:pStyle w:val="ListParagraph"/>
        <w:numPr>
          <w:ilvl w:val="0"/>
          <w:numId w:val="2"/>
        </w:numPr>
        <w:spacing w:after="60" w:before="60"/>
      </w:pPr>
      <w:r>
        <w:rPr>
          <w:rFonts w:ascii="Arial" w:cs="Arial" w:eastAsia="Arial" w:hAnsi="Arial"/>
          <w:sz w:val="22"/>
          <w:szCs w:val="22"/>
        </w:rPr>
        <w:t xml:space="preserve">Usage strictement personnel et non commercial</w:t>
      </w:r>
    </w:p>
    <w:p>
      <w:pPr>
        <w:pStyle w:val="ListParagraph"/>
        <w:numPr>
          <w:ilvl w:val="0"/>
          <w:numId w:val="2"/>
        </w:numPr>
        <w:spacing w:after="60" w:before="60"/>
      </w:pPr>
      <w:r>
        <w:rPr>
          <w:rFonts w:ascii="Arial" w:cs="Arial" w:eastAsia="Arial" w:hAnsi="Arial"/>
          <w:sz w:val="22"/>
          <w:szCs w:val="22"/>
        </w:rPr>
        <w:t xml:space="preserve">Circulation sur voie publique conformément au Code de la route</w:t>
      </w:r>
    </w:p>
    <w:p>
      <w:pPr>
        <w:pStyle w:val="ListParagraph"/>
        <w:numPr>
          <w:ilvl w:val="0"/>
          <w:numId w:val="2"/>
        </w:numPr>
        <w:spacing w:after="60" w:before="60"/>
      </w:pPr>
      <w:r>
        <w:rPr>
          <w:rFonts w:ascii="Arial" w:cs="Arial" w:eastAsia="Arial" w:hAnsi="Arial"/>
          <w:sz w:val="22"/>
          <w:szCs w:val="22"/>
        </w:rPr>
        <w:t xml:space="preserve">Vitesse maximale : 45 km/h (limitée par construction)</w:t>
      </w:r>
    </w:p>
    <w:p>
      <w:pPr>
        <w:pStyle w:val="ListParagraph"/>
        <w:numPr>
          <w:ilvl w:val="0"/>
          <w:numId w:val="2"/>
        </w:numPr>
        <w:spacing w:after="60" w:before="60"/>
      </w:pPr>
      <w:r>
        <w:rPr>
          <w:rFonts w:ascii="Arial" w:cs="Arial" w:eastAsia="Arial" w:hAnsi="Arial"/>
          <w:sz w:val="22"/>
          <w:szCs w:val="22"/>
        </w:rPr>
        <w:t xml:space="preserve">Port obligatoire d’un casque homologué (recommandé fortement même si non exigé par la loi pour les 14-16 ans en VSP)</w:t>
      </w:r>
    </w:p>
    <w:p>
      <w:pPr>
        <w:pStyle w:val="Heading2"/>
        <w:spacing w:after="120" w:before="240"/>
      </w:pPr>
      <w:r>
        <w:rPr>
          <w:rFonts w:ascii="Arial" w:cs="Arial" w:eastAsia="Arial" w:hAnsi="Arial"/>
          <w:b/>
          <w:bCs/>
          <w:color w:val="1A1A2E"/>
          <w:sz w:val="24"/>
          <w:szCs w:val="24"/>
        </w:rPr>
        <w:t xml:space="preserve">5.3 Usages interdits</w:t>
      </w:r>
    </w:p>
    <w:p>
      <w:pPr>
        <w:pStyle w:val="ListParagraph"/>
        <w:numPr>
          <w:ilvl w:val="0"/>
          <w:numId w:val="2"/>
        </w:numPr>
        <w:spacing w:after="60" w:before="60"/>
      </w:pPr>
      <w:r>
        <w:rPr>
          <w:rFonts w:ascii="Arial" w:cs="Arial" w:eastAsia="Arial" w:hAnsi="Arial"/>
          <w:sz w:val="22"/>
          <w:szCs w:val="22"/>
        </w:rPr>
        <w:t xml:space="preserve">Circulation hors voies publiques autorisées (chemins privés, circuits, pistes non agréées)</w:t>
      </w:r>
    </w:p>
    <w:p>
      <w:pPr>
        <w:pStyle w:val="ListParagraph"/>
        <w:numPr>
          <w:ilvl w:val="0"/>
          <w:numId w:val="2"/>
        </w:numPr>
        <w:spacing w:after="60" w:before="60"/>
      </w:pPr>
      <w:r>
        <w:rPr>
          <w:rFonts w:ascii="Arial" w:cs="Arial" w:eastAsia="Arial" w:hAnsi="Arial"/>
          <w:sz w:val="22"/>
          <w:szCs w:val="22"/>
        </w:rPr>
        <w:t xml:space="preserve">Transport de passagers non prévu dans les spécifications du véhicule</w:t>
      </w:r>
    </w:p>
    <w:p>
      <w:pPr>
        <w:pStyle w:val="ListParagraph"/>
        <w:numPr>
          <w:ilvl w:val="0"/>
          <w:numId w:val="2"/>
        </w:numPr>
        <w:spacing w:after="60" w:before="60"/>
      </w:pPr>
      <w:r>
        <w:rPr>
          <w:rFonts w:ascii="Arial" w:cs="Arial" w:eastAsia="Arial" w:hAnsi="Arial"/>
          <w:sz w:val="22"/>
          <w:szCs w:val="22"/>
        </w:rPr>
        <w:t xml:space="preserve">Remorquage de charges</w:t>
      </w:r>
    </w:p>
    <w:p>
      <w:pPr>
        <w:pStyle w:val="ListParagraph"/>
        <w:numPr>
          <w:ilvl w:val="0"/>
          <w:numId w:val="2"/>
        </w:numPr>
        <w:spacing w:after="60" w:before="60"/>
      </w:pPr>
      <w:r>
        <w:rPr>
          <w:rFonts w:ascii="Arial" w:cs="Arial" w:eastAsia="Arial" w:hAnsi="Arial"/>
          <w:sz w:val="22"/>
          <w:szCs w:val="22"/>
        </w:rPr>
        <w:t xml:space="preserve">Utilisation dans un cadre professionnel ou commercial</w:t>
      </w:r>
    </w:p>
    <w:p>
      <w:pPr>
        <w:pStyle w:val="ListParagraph"/>
        <w:numPr>
          <w:ilvl w:val="0"/>
          <w:numId w:val="2"/>
        </w:numPr>
        <w:spacing w:after="60" w:before="60"/>
      </w:pPr>
      <w:r>
        <w:rPr>
          <w:rFonts w:ascii="Arial" w:cs="Arial" w:eastAsia="Arial" w:hAnsi="Arial"/>
          <w:sz w:val="22"/>
          <w:szCs w:val="22"/>
        </w:rPr>
        <w:t xml:space="preserve">Participation à une compétition ou course</w:t>
      </w:r>
    </w:p>
    <w:p>
      <w:pPr>
        <w:pStyle w:val="ListParagraph"/>
        <w:numPr>
          <w:ilvl w:val="0"/>
          <w:numId w:val="2"/>
        </w:numPr>
        <w:spacing w:after="60" w:before="60"/>
      </w:pPr>
      <w:r>
        <w:rPr>
          <w:rFonts w:ascii="Arial" w:cs="Arial" w:eastAsia="Arial" w:hAnsi="Arial"/>
          <w:sz w:val="22"/>
          <w:szCs w:val="22"/>
        </w:rPr>
        <w:t xml:space="preserve">Modification technique du véhicule</w:t>
      </w:r>
    </w:p>
    <w:p>
      <w:pPr>
        <w:pStyle w:val="Heading1"/>
        <w:pBdr>
          <w:bottom w:val="single" w:color="1B3C87" w:sz="4" w:space="4"/>
        </w:pBdr>
        <w:spacing w:after="160" w:before="360"/>
      </w:pPr>
      <w:r>
        <w:rPr>
          <w:rFonts w:ascii="Arial" w:cs="Arial" w:eastAsia="Arial" w:hAnsi="Arial"/>
          <w:b/>
          <w:bCs/>
          <w:color w:val="1B3C87"/>
          <w:sz w:val="28"/>
          <w:szCs w:val="28"/>
        </w:rPr>
        <w:t xml:space="preserve">ARTICLE 6 — ÉTAT DES LIEUX</w:t>
      </w:r>
    </w:p>
    <w:p>
      <w:pPr>
        <w:pStyle w:val="Heading2"/>
        <w:spacing w:after="120" w:before="240"/>
      </w:pPr>
      <w:r>
        <w:rPr>
          <w:rFonts w:ascii="Arial" w:cs="Arial" w:eastAsia="Arial" w:hAnsi="Arial"/>
          <w:b/>
          <w:bCs/>
          <w:color w:val="1A1A2E"/>
          <w:sz w:val="24"/>
          <w:szCs w:val="24"/>
        </w:rPr>
        <w:t xml:space="preserve">6.1 À la remise du véhicule</w:t>
      </w:r>
    </w:p>
    <w:p>
      <w:pPr>
        <w:spacing w:after="80" w:before="80"/>
      </w:pPr>
      <w:r>
        <w:rPr>
          <w:rFonts w:ascii="Arial" w:cs="Arial" w:eastAsia="Arial" w:hAnsi="Arial"/>
          <w:sz w:val="22"/>
          <w:szCs w:val="22"/>
        </w:rPr>
        <w:t xml:space="preserve">Un état des lieux contradictoire est réalisé en présence des deux parties au début de la location. Il est documenté par photos horodatées et enregistré sur la plateforme Dryvea.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État carrosserie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État des pneumatiques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État de la batterie / charge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de charge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Kilométrage au départ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Accessoires remis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Remarques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120" w:before="240"/>
      </w:pPr>
      <w:r>
        <w:rPr>
          <w:rFonts w:ascii="Arial" w:cs="Arial" w:eastAsia="Arial" w:hAnsi="Arial"/>
          <w:b/>
          <w:bCs/>
          <w:color w:val="1A1A2E"/>
          <w:sz w:val="24"/>
          <w:szCs w:val="24"/>
        </w:rPr>
        <w:t xml:space="preserve">6.2 À la restitution du véhicule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État carrosserie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État des pneumatiques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État de la batterie / charge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de charge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Kilométrage au retour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Kilométrage parcouru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Remarques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1"/>
        <w:pBdr>
          <w:bottom w:val="single" w:color="1B3C87" w:sz="4" w:space="4"/>
        </w:pBdr>
        <w:spacing w:after="160" w:before="360"/>
      </w:pPr>
      <w:r>
        <w:rPr>
          <w:rFonts w:ascii="Arial" w:cs="Arial" w:eastAsia="Arial" w:hAnsi="Arial"/>
          <w:b/>
          <w:bCs/>
          <w:color w:val="1B3C87"/>
          <w:sz w:val="28"/>
          <w:szCs w:val="28"/>
        </w:rPr>
        <w:t xml:space="preserve">ARTICLE 7 — ASSURANCE ET RESPONSABILITÉ</w:t>
      </w:r>
    </w:p>
    <w:p>
      <w:pPr>
        <w:pStyle w:val="Heading2"/>
        <w:spacing w:after="120" w:before="240"/>
      </w:pPr>
      <w:r>
        <w:rPr>
          <w:rFonts w:ascii="Arial" w:cs="Arial" w:eastAsia="Arial" w:hAnsi="Arial"/>
          <w:b/>
          <w:bCs/>
          <w:color w:val="1A1A2E"/>
          <w:sz w:val="24"/>
          <w:szCs w:val="24"/>
        </w:rPr>
        <w:t xml:space="preserve">7.1 Assurance obligatoire</w:t>
      </w:r>
    </w:p>
    <w:p>
      <w:pPr>
        <w:spacing w:after="80" w:before="80"/>
      </w:pPr>
      <w:r>
        <w:rPr>
          <w:rFonts w:ascii="Arial" w:cs="Arial" w:eastAsia="Arial" w:hAnsi="Arial"/>
          <w:sz w:val="22"/>
          <w:szCs w:val="22"/>
        </w:rPr>
        <w:t xml:space="preserve">Conformément à l’article L. 211-1 du Code des assurances, tout véhicule terrestre à moteur, y compris les VSP de catégorie L6e, doit être couvert par une assurance responsabilité civile minimale.</w:t>
      </w:r>
    </w:p>
    <w:p>
      <w:pPr>
        <w:spacing w:after="80" w:before="80"/>
      </w:pPr>
      <w:r>
        <w:rPr>
          <w:rFonts w:ascii="Arial" w:cs="Arial" w:eastAsia="Arial" w:hAnsi="Arial"/>
          <w:sz w:val="22"/>
          <w:szCs w:val="22"/>
        </w:rPr>
        <w:t xml:space="preserve">Le LOUEUR déclare que le véhicule est assuré auprès de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Compagnie d’assurance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Numéro de contrat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Type de couverture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Validité du contrat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La location à des tiers est-elle couverte ?</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Oui  ☐ Non  ☐ À vérifier</w:t>
            </w:r>
          </w:p>
        </w:tc>
      </w:tr>
    </w:tbl>
    <w:p>
      <w:pPr>
        <w:pStyle w:val="Heading2"/>
        <w:spacing w:after="120" w:before="240"/>
      </w:pPr>
      <w:r>
        <w:rPr>
          <w:rFonts w:ascii="Arial" w:cs="Arial" w:eastAsia="Arial" w:hAnsi="Arial"/>
          <w:b/>
          <w:bCs/>
          <w:color w:val="1A1A2E"/>
          <w:sz w:val="24"/>
          <w:szCs w:val="24"/>
        </w:rPr>
        <w:t xml:space="preserve">7.2 Responsabilité du locataire</w:t>
      </w:r>
    </w:p>
    <w:p>
      <w:pPr>
        <w:spacing w:after="80" w:before="80"/>
      </w:pPr>
      <w:r>
        <w:rPr>
          <w:rFonts w:ascii="Arial" w:cs="Arial" w:eastAsia="Arial" w:hAnsi="Arial"/>
          <w:sz w:val="22"/>
          <w:szCs w:val="22"/>
        </w:rPr>
        <w:t xml:space="preserve">Le locataire est responsable de tout dommage causé au véhicule ou à des tiers pendant la durée de la location, notamment en cas d’accident, de vol ou de dégradation. Il s’engage à indemniser le loueur pour tout sinistre non couvert par l’assurance.</w:t>
      </w:r>
    </w:p>
    <w:p>
      <w:pPr>
        <w:pStyle w:val="Heading2"/>
        <w:spacing w:after="120" w:before="240"/>
      </w:pPr>
      <w:r>
        <w:rPr>
          <w:rFonts w:ascii="Arial" w:cs="Arial" w:eastAsia="Arial" w:hAnsi="Arial"/>
          <w:b/>
          <w:bCs/>
          <w:color w:val="1A1A2E"/>
          <w:sz w:val="24"/>
          <w:szCs w:val="24"/>
        </w:rPr>
        <w:t xml:space="preserve">7.3 Cas de force majeure</w:t>
      </w:r>
    </w:p>
    <w:p>
      <w:pPr>
        <w:spacing w:after="80" w:before="80"/>
      </w:pPr>
      <w:r>
        <w:rPr>
          <w:rFonts w:ascii="Arial" w:cs="Arial" w:eastAsia="Arial" w:hAnsi="Arial"/>
          <w:sz w:val="22"/>
          <w:szCs w:val="22"/>
        </w:rPr>
        <w:t xml:space="preserve">Aucune des parties ne sera tenue responsable d’un manquement à ses obligations contractuelles résultant d’un événement de force majeure au sens de l’article 1218 du Code civil.</w:t>
      </w:r>
    </w:p>
    <w:p>
      <w:pPr>
        <w:pStyle w:val="Heading1"/>
        <w:pBdr>
          <w:bottom w:val="single" w:color="1B3C87" w:sz="4" w:space="4"/>
        </w:pBdr>
        <w:spacing w:after="160" w:before="360"/>
      </w:pPr>
      <w:r>
        <w:rPr>
          <w:rFonts w:ascii="Arial" w:cs="Arial" w:eastAsia="Arial" w:hAnsi="Arial"/>
          <w:b/>
          <w:bCs/>
          <w:color w:val="1B3C87"/>
          <w:sz w:val="28"/>
          <w:szCs w:val="28"/>
        </w:rPr>
        <w:t xml:space="preserve">ARTICLE 8 — INFRACTIONS ET SANCTIONS</w:t>
      </w:r>
    </w:p>
    <w:p>
      <w:pPr>
        <w:spacing w:after="80" w:before="80"/>
      </w:pPr>
      <w:r>
        <w:rPr>
          <w:rFonts w:ascii="Arial" w:cs="Arial" w:eastAsia="Arial" w:hAnsi="Arial"/>
          <w:sz w:val="22"/>
          <w:szCs w:val="22"/>
        </w:rPr>
        <w:t xml:space="preserve">Toute infraction au Code de la route commise par le locataire pendant la durée de la location est de sa seule responsabilité. Le locataire s’engage à désigner l’auteur réel de l’infraction auprès des autorités compétentes et à rembourser le loueur de toute amende ou frais liés à une infraction commise pendant la période de location.</w:t>
      </w:r>
    </w:p>
    <w:p>
      <w:pPr>
        <w:spacing w:after="80" w:before="80"/>
      </w:pPr>
      <w:r>
        <w:rPr>
          <w:rFonts w:ascii="Arial" w:cs="Arial" w:eastAsia="Arial" w:hAnsi="Arial"/>
          <w:b/>
          <w:bCs/>
          <w:sz w:val="22"/>
          <w:szCs w:val="22"/>
        </w:rPr>
        <w:t xml:space="preserve">Rappel réglementaire VSP :</w:t>
      </w:r>
    </w:p>
    <w:p>
      <w:pPr>
        <w:pStyle w:val="ListParagraph"/>
        <w:numPr>
          <w:ilvl w:val="0"/>
          <w:numId w:val="2"/>
        </w:numPr>
        <w:spacing w:after="60" w:before="60"/>
      </w:pPr>
      <w:r>
        <w:rPr>
          <w:rFonts w:ascii="Arial" w:cs="Arial" w:eastAsia="Arial" w:hAnsi="Arial"/>
          <w:sz w:val="22"/>
          <w:szCs w:val="22"/>
        </w:rPr>
        <w:t xml:space="preserve">Vitesse max. : 45 km/h (limitée par construction)</w:t>
      </w:r>
    </w:p>
    <w:p>
      <w:pPr>
        <w:pStyle w:val="ListParagraph"/>
        <w:numPr>
          <w:ilvl w:val="0"/>
          <w:numId w:val="2"/>
        </w:numPr>
        <w:spacing w:after="60" w:before="60"/>
      </w:pPr>
      <w:r>
        <w:rPr>
          <w:rFonts w:ascii="Arial" w:cs="Arial" w:eastAsia="Arial" w:hAnsi="Arial"/>
          <w:sz w:val="22"/>
          <w:szCs w:val="22"/>
        </w:rPr>
        <w:t xml:space="preserve">Pas de permis de conduire exigé (BSR/AM recommandé pour les 14-16 ans)</w:t>
      </w:r>
    </w:p>
    <w:p>
      <w:pPr>
        <w:pStyle w:val="ListParagraph"/>
        <w:numPr>
          <w:ilvl w:val="0"/>
          <w:numId w:val="2"/>
        </w:numPr>
        <w:spacing w:after="60" w:before="60"/>
      </w:pPr>
      <w:r>
        <w:rPr>
          <w:rFonts w:ascii="Arial" w:cs="Arial" w:eastAsia="Arial" w:hAnsi="Arial"/>
          <w:sz w:val="22"/>
          <w:szCs w:val="22"/>
        </w:rPr>
        <w:t xml:space="preserve">Assurance responsabilité civile obligatoire</w:t>
      </w:r>
    </w:p>
    <w:p>
      <w:pPr>
        <w:pStyle w:val="ListParagraph"/>
        <w:numPr>
          <w:ilvl w:val="0"/>
          <w:numId w:val="2"/>
        </w:numPr>
        <w:spacing w:after="60" w:before="60"/>
      </w:pPr>
      <w:r>
        <w:rPr>
          <w:rFonts w:ascii="Arial" w:cs="Arial" w:eastAsia="Arial" w:hAnsi="Arial"/>
          <w:sz w:val="22"/>
          <w:szCs w:val="22"/>
        </w:rPr>
        <w:t xml:space="preserve">Plaque d’immatriculation obligatoire</w:t>
      </w:r>
    </w:p>
    <w:p>
      <w:pPr>
        <w:pStyle w:val="ListParagraph"/>
        <w:numPr>
          <w:ilvl w:val="0"/>
          <w:numId w:val="2"/>
        </w:numPr>
        <w:spacing w:after="60" w:before="60"/>
      </w:pPr>
      <w:r>
        <w:rPr>
          <w:rFonts w:ascii="Arial" w:cs="Arial" w:eastAsia="Arial" w:hAnsi="Arial"/>
          <w:sz w:val="22"/>
          <w:szCs w:val="22"/>
        </w:rPr>
        <w:t xml:space="preserve">Circulation interdite sur les autoroutes et voies rapides</w:t>
      </w:r>
    </w:p>
    <w:p>
      <w:pPr>
        <w:pStyle w:val="Heading1"/>
        <w:pBdr>
          <w:bottom w:val="single" w:color="1B3C87" w:sz="4" w:space="4"/>
        </w:pBdr>
        <w:spacing w:after="160" w:before="360"/>
      </w:pPr>
      <w:r>
        <w:rPr>
          <w:rFonts w:ascii="Arial" w:cs="Arial" w:eastAsia="Arial" w:hAnsi="Arial"/>
          <w:b/>
          <w:bCs/>
          <w:color w:val="1B3C87"/>
          <w:sz w:val="28"/>
          <w:szCs w:val="28"/>
        </w:rPr>
        <w:t xml:space="preserve">ARTICLE 9 — LITIGES ET DROIT APPLICABLE</w:t>
      </w:r>
    </w:p>
    <w:p>
      <w:pPr>
        <w:spacing w:after="80" w:before="80"/>
      </w:pPr>
      <w:r>
        <w:rPr>
          <w:rFonts w:ascii="Arial" w:cs="Arial" w:eastAsia="Arial" w:hAnsi="Arial"/>
          <w:sz w:val="22"/>
          <w:szCs w:val="22"/>
        </w:rPr>
        <w:t xml:space="preserve">Le présent contrat est soumis au droit français. En cas de litige, les parties s’engagent à rechercher une solution amiable avant tout recours judiciaire, notamment via la médiation proposée par la plateforme Dryvea.</w:t>
      </w:r>
    </w:p>
    <w:p>
      <w:pPr>
        <w:spacing w:after="80" w:before="80"/>
      </w:pPr>
      <w:r>
        <w:rPr>
          <w:rFonts w:ascii="Arial" w:cs="Arial" w:eastAsia="Arial" w:hAnsi="Arial"/>
          <w:sz w:val="22"/>
          <w:szCs w:val="22"/>
        </w:rPr>
        <w:t xml:space="preserve">En cas d’échec, les tribunaux compétents seront ceux du ressort du domicile du défendeur ou du lieu de conclusion du contrat, conformément aux règles du Code de procédure civile.</w:t>
      </w:r>
    </w:p>
    <w:p>
      <w:pPr>
        <w:pStyle w:val="Heading1"/>
        <w:pBdr>
          <w:bottom w:val="single" w:color="1B3C87" w:sz="4" w:space="4"/>
        </w:pBdr>
        <w:spacing w:after="160" w:before="360"/>
      </w:pPr>
      <w:r>
        <w:rPr>
          <w:rFonts w:ascii="Arial" w:cs="Arial" w:eastAsia="Arial" w:hAnsi="Arial"/>
          <w:b/>
          <w:bCs/>
          <w:color w:val="1B3C87"/>
          <w:sz w:val="28"/>
          <w:szCs w:val="28"/>
        </w:rPr>
        <w:t xml:space="preserve">ARTICLE 10 — SIGNATURES</w:t>
      </w:r>
    </w:p>
    <w:p>
      <w:pPr>
        <w:spacing w:after="60" w:before="60"/>
      </w:pPr>
      <w:r>
        <w:t xml:space="preserve"/>
      </w:r>
    </w:p>
    <w:p>
      <w:pPr>
        <w:spacing w:after="80" w:before="80"/>
      </w:pPr>
      <w:r>
        <w:rPr>
          <w:rFonts w:ascii="Arial" w:cs="Arial" w:eastAsia="Arial" w:hAnsi="Arial"/>
          <w:sz w:val="22"/>
          <w:szCs w:val="22"/>
        </w:rPr>
        <w:t xml:space="preserve">Fait en deux exemplaires originaux, le : ________________________________</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color="FFFFFF" w:sz="0"/>
              <w:left w:val="none" w:color="FFFFFF" w:sz="0"/>
              <w:bottom w:val="none" w:color="FFFFFF" w:sz="0"/>
              <w:right w:val="none" w:color="FFFFFF" w:sz="0"/>
            </w:tcBorders>
            <w:tcMar>
              <w:top w:type="dxa" w:w="80"/>
              <w:left w:type="dxa" w:w="120"/>
              <w:bottom w:type="dxa" w:w="200"/>
              <w:right w:type="dxa" w:w="120"/>
            </w:tcMar>
          </w:tcPr>
          <w:p>
            <w:r>
              <w:rPr>
                <w:rFonts w:ascii="Arial" w:cs="Arial" w:eastAsia="Arial" w:hAnsi="Arial"/>
                <w:b/>
                <w:bCs/>
                <w:color w:val="1B3C87"/>
                <w:sz w:val="22"/>
                <w:szCs w:val="22"/>
              </w:rPr>
              <w:t xml:space="preserve">LE LOUEUR</w:t>
            </w:r>
          </w:p>
          <w:p>
            <w:r>
              <w:rPr>
                <w:rFonts w:ascii="Arial" w:cs="Arial" w:eastAsia="Arial" w:hAnsi="Arial"/>
                <w:sz w:val="20"/>
                <w:szCs w:val="20"/>
              </w:rPr>
              <w:t xml:space="preserve">Nom, prénom et signature :</w:t>
            </w:r>
          </w:p>
          <w:p>
            <w:pPr>
              <w:spacing w:after="60" w:before="60"/>
            </w:pPr>
            <w:r>
              <w:t xml:space="preserve"/>
            </w:r>
          </w:p>
          <w:p>
            <w:pPr>
              <w:spacing w:after="60" w:before="60"/>
            </w:pPr>
            <w:r>
              <w:t xml:space="preserve"/>
            </w:r>
          </w:p>
          <w:p>
            <w:pPr>
              <w:spacing w:after="60" w:before="60"/>
            </w:pPr>
            <w:r>
              <w:t xml:space="preserve"/>
            </w:r>
          </w:p>
          <w:p>
            <w:pPr>
              <w:pBdr>
                <w:top w:val="single" w:color="AAAAAA" w:sz="2" w:space="2"/>
              </w:pBdr>
            </w:pPr>
            <w:r>
              <w:rPr>
                <w:rFonts w:ascii="Arial" w:cs="Arial" w:eastAsia="Arial" w:hAnsi="Arial"/>
                <w:sz w:val="20"/>
                <w:szCs w:val="20"/>
              </w:rPr>
              <w:t xml:space="preserve"> </w:t>
            </w:r>
          </w:p>
        </w:tc>
        <w:tc>
          <w:tcPr>
            <w:tcW w:type="dxa" w:w="4613"/>
            <w:tcBorders>
              <w:top w:val="none" w:color="FFFFFF" w:sz="0"/>
              <w:left w:val="none" w:color="FFFFFF" w:sz="0"/>
              <w:bottom w:val="none" w:color="FFFFFF" w:sz="0"/>
              <w:right w:val="none" w:color="FFFFFF" w:sz="0"/>
            </w:tcBorders>
            <w:tcMar>
              <w:top w:type="dxa" w:w="80"/>
              <w:left w:type="dxa" w:w="120"/>
              <w:bottom w:type="dxa" w:w="200"/>
              <w:right w:type="dxa" w:w="120"/>
            </w:tcMar>
          </w:tcPr>
          <w:p>
            <w:r>
              <w:rPr>
                <w:rFonts w:ascii="Arial" w:cs="Arial" w:eastAsia="Arial" w:hAnsi="Arial"/>
                <w:b/>
                <w:bCs/>
                <w:color w:val="1B3C87"/>
                <w:sz w:val="22"/>
                <w:szCs w:val="22"/>
              </w:rPr>
              <w:t xml:space="preserve">LE LOCATAIRE</w:t>
            </w:r>
          </w:p>
          <w:p>
            <w:r>
              <w:rPr>
                <w:rFonts w:ascii="Arial" w:cs="Arial" w:eastAsia="Arial" w:hAnsi="Arial"/>
                <w:sz w:val="20"/>
                <w:szCs w:val="20"/>
              </w:rPr>
              <w:t xml:space="preserve">Nom, prénom et signature :</w:t>
            </w:r>
          </w:p>
          <w:p>
            <w:pPr>
              <w:spacing w:after="60" w:before="60"/>
            </w:pPr>
            <w:r>
              <w:t xml:space="preserve"/>
            </w:r>
          </w:p>
          <w:p>
            <w:pPr>
              <w:spacing w:after="60" w:before="60"/>
            </w:pPr>
            <w:r>
              <w:t xml:space="preserve"/>
            </w:r>
          </w:p>
          <w:p>
            <w:pPr>
              <w:spacing w:after="60" w:before="60"/>
            </w:pPr>
            <w:r>
              <w:t xml:space="preserve"/>
            </w:r>
          </w:p>
          <w:p>
            <w:pPr>
              <w:pBdr>
                <w:top w:val="single" w:color="AAAAAA" w:sz="2" w:space="2"/>
              </w:pBdr>
            </w:pPr>
            <w:r>
              <w:rPr>
                <w:rFonts w:ascii="Arial" w:cs="Arial" w:eastAsia="Arial" w:hAnsi="Arial"/>
                <w:sz w:val="20"/>
                <w:szCs w:val="20"/>
              </w:rPr>
              <w:t xml:space="preserve"> </w:t>
            </w:r>
          </w:p>
        </w:tc>
      </w:tr>
    </w:tbl>
    <w:p>
      <w:pPr>
        <w:spacing w:after="60" w:before="60"/>
      </w:pPr>
      <w:r>
        <w:t xml:space="preserve"/>
      </w:r>
    </w:p>
    <w:p>
      <w:pPr>
        <w:spacing w:after="80" w:before="80"/>
      </w:pPr>
      <w:r>
        <w:rPr>
          <w:rFonts w:ascii="Arial" w:cs="Arial" w:eastAsia="Arial" w:hAnsi="Arial"/>
          <w:i/>
          <w:iCs/>
          <w:color w:val="666666"/>
          <w:sz w:val="22"/>
          <w:szCs w:val="22"/>
        </w:rPr>
        <w:t xml:space="preserve">Mention manuscrite obligatoire du locataire : « Lu et approuvé — Bon pour accord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Dryvea — Plateforme de mise en relation P2P — VSP Électriques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C87" w:sz="4" w:space="4"/>
      </w:pBdr>
    </w:pPr>
    <w:r>
      <w:rPr>
        <w:rFonts w:ascii="Arial" w:cs="Arial" w:eastAsia="Arial" w:hAnsi="Arial"/>
        <w:b/>
        <w:bCs/>
        <w:color w:val="1B3C87"/>
        <w:sz w:val="22"/>
        <w:szCs w:val="22"/>
      </w:rPr>
      <w:t xml:space="preserve">DRYVEA</w:t>
    </w:r>
    <w:r>
      <w:rPr>
        <w:rFonts w:ascii="Arial" w:cs="Arial" w:eastAsia="Arial" w:hAnsi="Arial"/>
        <w:color w:val="666666"/>
        <w:sz w:val="20"/>
        <w:szCs w:val="20"/>
      </w:rPr>
      <w:t xml:space="preserve">  |  Contrat de Location de Véhicule Sans Permis Électrique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C8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2026-06-24T07:34:02.247Z</dcterms:created>
  <dcterms:modified xsi:type="dcterms:W3CDTF">2026-06-24T07:34:02.247Z</dcterms:modified>
</cp:coreProperties>
</file>

<file path=docProps/custom.xml><?xml version="1.0" encoding="utf-8"?>
<Properties xmlns="http://schemas.openxmlformats.org/officeDocument/2006/custom-properties" xmlns:vt="http://schemas.openxmlformats.org/officeDocument/2006/docPropsVTypes"/>
</file>