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3C87"/>
          <w:sz w:val="36"/>
          <w:szCs w:val="36"/>
        </w:rPr>
        <w:t xml:space="preserve">CONDITIONS GÉNÉRALES D’UTILISATION ET DE VENTE</w:t>
      </w:r>
    </w:p>
    <w:p>
      <w:pPr>
        <w:spacing w:after="60" w:before="0"/>
        <w:jc w:val="center"/>
      </w:pPr>
      <w:r>
        <w:rPr>
          <w:rFonts w:ascii="Arial" w:cs="Arial" w:eastAsia="Arial" w:hAnsi="Arial"/>
          <w:color w:val="444444"/>
          <w:sz w:val="22"/>
          <w:szCs w:val="22"/>
        </w:rPr>
        <w:t xml:space="preserve">Plateforme DRYVEA — Mise en relation P2P de Véhicules Sans Permis Électriques</w:t>
      </w:r>
    </w:p>
    <w:p>
      <w:pPr>
        <w:spacing w:after="200" w:before="0"/>
        <w:jc w:val="center"/>
      </w:pPr>
      <w:r>
        <w:rPr>
          <w:rFonts w:ascii="Arial" w:cs="Arial" w:eastAsia="Arial" w:hAnsi="Arial"/>
          <w:i/>
          <w:iCs/>
          <w:color w:val="888888"/>
          <w:sz w:val="20"/>
          <w:szCs w:val="20"/>
        </w:rPr>
        <w:t xml:space="preserve">Version 1.0 — En vigueur à compter du : 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5E5" w:val="clear"/>
            <w:tcMar>
              <w:top w:type="dxa" w:w="120"/>
              <w:left w:type="dxa" w:w="180"/>
              <w:bottom w:type="dxa" w:w="120"/>
              <w:right w:type="dxa" w:w="180"/>
            </w:tcMar>
          </w:tcPr>
          <w:p>
            <w:r>
              <w:rPr>
                <w:rFonts w:ascii="Arial" w:cs="Arial" w:eastAsia="Arial" w:hAnsi="Arial"/>
                <w:i/>
                <w:iCs/>
                <w:sz w:val="21"/>
                <w:szCs w:val="21"/>
              </w:rPr>
              <w:t xml:space="preserve">⚠️ Document à valider par un avocat spécialisé avant mise en ligne. Les présentes CGU/CGV sont un modèle de travail adapté à la plateforme Dryvea.</w:t>
            </w:r>
          </w:p>
        </w:tc>
      </w:tr>
    </w:tbl>
    <w:p>
      <w:pPr>
        <w:pStyle w:val="Heading1"/>
        <w:pBdr>
          <w:bottom w:val="single" w:color="1B3C87" w:sz="4" w:space="4"/>
        </w:pBdr>
        <w:spacing w:after="160" w:before="400"/>
      </w:pPr>
      <w:r>
        <w:rPr>
          <w:rFonts w:ascii="Arial" w:cs="Arial" w:eastAsia="Arial" w:hAnsi="Arial"/>
          <w:b/>
          <w:bCs/>
          <w:color w:val="1B3C87"/>
          <w:sz w:val="28"/>
          <w:szCs w:val="28"/>
        </w:rPr>
        <w:t xml:space="preserve">ARTICLE 1 — PRÉSENTATION DE LA PLATEFORME</w:t>
      </w:r>
    </w:p>
    <w:p>
      <w:pPr>
        <w:pStyle w:val="Heading2"/>
        <w:spacing w:after="100" w:before="240"/>
      </w:pPr>
      <w:r>
        <w:rPr>
          <w:rFonts w:ascii="Arial" w:cs="Arial" w:eastAsia="Arial" w:hAnsi="Arial"/>
          <w:b/>
          <w:bCs/>
          <w:color w:val="1A1A2E"/>
          <w:sz w:val="24"/>
          <w:szCs w:val="24"/>
        </w:rPr>
        <w:t xml:space="preserve">1.1 Identification de l’éditeur</w:t>
      </w:r>
    </w:p>
    <w:p>
      <w:pPr>
        <w:spacing w:after="80" w:before="80"/>
      </w:pPr>
      <w:r>
        <w:rPr>
          <w:rFonts w:ascii="Arial" w:cs="Arial" w:eastAsia="Arial" w:hAnsi="Arial"/>
          <w:sz w:val="22"/>
          <w:szCs w:val="22"/>
        </w:rPr>
        <w:t xml:space="preserve">La société DRYVEA (ci-après « la Société » ou « Dryvea »), dont le siège social, la forme juridique et le numéro SIRET seront précisés lors de l’immatriculation, exploite une plateforme numérique accessible via le site internet et/ou l’application mobile Dryvea.</w:t>
      </w:r>
    </w:p>
    <w:p>
      <w:pPr>
        <w:pStyle w:val="Heading2"/>
        <w:spacing w:after="100" w:before="240"/>
      </w:pPr>
      <w:r>
        <w:rPr>
          <w:rFonts w:ascii="Arial" w:cs="Arial" w:eastAsia="Arial" w:hAnsi="Arial"/>
          <w:b/>
          <w:bCs/>
          <w:color w:val="1A1A2E"/>
          <w:sz w:val="24"/>
          <w:szCs w:val="24"/>
        </w:rPr>
        <w:t xml:space="preserve">1.2 Nature du service</w:t>
      </w:r>
    </w:p>
    <w:p>
      <w:pPr>
        <w:spacing w:after="80" w:before="80"/>
      </w:pPr>
      <w:r>
        <w:rPr>
          <w:rFonts w:ascii="Arial" w:cs="Arial" w:eastAsia="Arial" w:hAnsi="Arial"/>
          <w:sz w:val="22"/>
          <w:szCs w:val="22"/>
        </w:rPr>
        <w:t xml:space="preserve">Dryvea est une plateforme de mise en relation entre particuliers (« P2P ») permettant à des propriétaires de véhicules sans permis électriques (catégorie L6e, vitesse maximale 45 km/h) de proposer leurs véhicules à la location, et à des utilisateurs de les réserver.</w:t>
      </w:r>
    </w:p>
    <w:p>
      <w:pPr>
        <w:spacing w:after="80" w:before="80"/>
      </w:pPr>
      <w:r>
        <w:rPr>
          <w:rFonts w:ascii="Arial" w:cs="Arial" w:eastAsia="Arial" w:hAnsi="Arial"/>
          <w:sz w:val="22"/>
          <w:szCs w:val="22"/>
        </w:rPr>
        <w:t xml:space="preserve">Dryvea agit en qualité d’intermédiaire de mise en relation uniquement. La Société n’est ni propriétaire des véhicules, ni loueur, ni assureur. Le contrat de location est conclu directement entre le loueur et le locataire.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sz w:val="21"/>
                <w:szCs w:val="21"/>
              </w:rPr>
              <w:t xml:space="preserve">📌 Dryvea est un opérateur de plateforme au sens de l’article L. 111-7 du Code de la consommation et de l’article 242 bis du CGI (obligation de déclaration des revenus des utilisateurs).</w:t>
            </w:r>
          </w:p>
        </w:tc>
      </w:tr>
    </w:tbl>
    <w:p>
      <w:pPr>
        <w:pStyle w:val="Heading1"/>
        <w:pBdr>
          <w:bottom w:val="single" w:color="1B3C87" w:sz="4" w:space="4"/>
        </w:pBdr>
        <w:spacing w:after="160" w:before="400"/>
      </w:pPr>
      <w:r>
        <w:rPr>
          <w:rFonts w:ascii="Arial" w:cs="Arial" w:eastAsia="Arial" w:hAnsi="Arial"/>
          <w:b/>
          <w:bCs/>
          <w:color w:val="1B3C87"/>
          <w:sz w:val="28"/>
          <w:szCs w:val="28"/>
        </w:rPr>
        <w:t xml:space="preserve">ARTICLE 2 — ACCEPTATION DES CGU/CGV</w:t>
      </w:r>
    </w:p>
    <w:p>
      <w:pPr>
        <w:spacing w:after="80" w:before="80"/>
      </w:pPr>
      <w:r>
        <w:rPr>
          <w:rFonts w:ascii="Arial" w:cs="Arial" w:eastAsia="Arial" w:hAnsi="Arial"/>
          <w:sz w:val="22"/>
          <w:szCs w:val="22"/>
        </w:rPr>
        <w:t xml:space="preserve">L’accès à la plateforme Dryvea et l’utilisation de ses services impliquent l’acceptation pleine et entière des présentes Conditions Générales. Cette acceptation est matérialisée par la case à cocher lors de l’inscription. Les CGU/CGV s’appliquent à tous les utilisateurs : loueurs, locataires et simples visiteurs.</w:t>
      </w:r>
    </w:p>
    <w:p>
      <w:pPr>
        <w:spacing w:after="80" w:before="80"/>
      </w:pPr>
      <w:r>
        <w:rPr>
          <w:rFonts w:ascii="Arial" w:cs="Arial" w:eastAsia="Arial" w:hAnsi="Arial"/>
          <w:sz w:val="22"/>
          <w:szCs w:val="22"/>
        </w:rPr>
        <w:t xml:space="preserve">Dryvea se réserve le droit de modifier les présentes CGU/CGV à tout moment. Les utilisateurs en sont informés par e-mail et/ou notification dans l’application. La poursuite de l’utilisation de la plateforme après notification vaut acceptation des nouvelles conditions.</w:t>
      </w:r>
    </w:p>
    <w:p>
      <w:pPr>
        <w:pStyle w:val="Heading1"/>
        <w:pBdr>
          <w:bottom w:val="single" w:color="1B3C87" w:sz="4" w:space="4"/>
        </w:pBdr>
        <w:spacing w:after="160" w:before="400"/>
      </w:pPr>
      <w:r>
        <w:rPr>
          <w:rFonts w:ascii="Arial" w:cs="Arial" w:eastAsia="Arial" w:hAnsi="Arial"/>
          <w:b/>
          <w:bCs/>
          <w:color w:val="1B3C87"/>
          <w:sz w:val="28"/>
          <w:szCs w:val="28"/>
        </w:rPr>
        <w:t xml:space="preserve">ARTICLE 3 — INSCRIPTION ET COMPTE UTILISATEUR</w:t>
      </w:r>
    </w:p>
    <w:p>
      <w:pPr>
        <w:pStyle w:val="Heading2"/>
        <w:spacing w:after="100" w:before="240"/>
      </w:pPr>
      <w:r>
        <w:rPr>
          <w:rFonts w:ascii="Arial" w:cs="Arial" w:eastAsia="Arial" w:hAnsi="Arial"/>
          <w:b/>
          <w:bCs/>
          <w:color w:val="1A1A2E"/>
          <w:sz w:val="24"/>
          <w:szCs w:val="24"/>
        </w:rPr>
        <w:t xml:space="preserve">3.1 Conditions d’inscription</w:t>
      </w:r>
    </w:p>
    <w:p>
      <w:pPr>
        <w:spacing w:after="80" w:before="80"/>
      </w:pPr>
      <w:r>
        <w:rPr>
          <w:rFonts w:ascii="Arial" w:cs="Arial" w:eastAsia="Arial" w:hAnsi="Arial"/>
          <w:sz w:val="22"/>
          <w:szCs w:val="22"/>
        </w:rPr>
        <w:t xml:space="preserve">Pour s’inscrire sur Dryvea, l’utilisateur doit :</w:t>
      </w:r>
    </w:p>
    <w:p>
      <w:pPr>
        <w:pStyle w:val="ListParagraph"/>
        <w:numPr>
          <w:ilvl w:val="0"/>
          <w:numId w:val="2"/>
        </w:numPr>
        <w:spacing w:after="60" w:before="60"/>
      </w:pPr>
      <w:r>
        <w:rPr>
          <w:rFonts w:ascii="Arial" w:cs="Arial" w:eastAsia="Arial" w:hAnsi="Arial"/>
          <w:sz w:val="22"/>
          <w:szCs w:val="22"/>
        </w:rPr>
        <w:t xml:space="preserve">être une personne physique majeure (18 ans et plus) ou un mineur dû́ment autorisé par son représentant légal pour les usages réservés aux 14-17 ans</w:t>
      </w:r>
    </w:p>
    <w:p>
      <w:pPr>
        <w:pStyle w:val="ListParagraph"/>
        <w:numPr>
          <w:ilvl w:val="0"/>
          <w:numId w:val="2"/>
        </w:numPr>
        <w:spacing w:after="60" w:before="60"/>
      </w:pPr>
      <w:r>
        <w:rPr>
          <w:rFonts w:ascii="Arial" w:cs="Arial" w:eastAsia="Arial" w:hAnsi="Arial"/>
          <w:sz w:val="22"/>
          <w:szCs w:val="22"/>
        </w:rPr>
        <w:t xml:space="preserve">disposer d’une adresse e-mail valide</w:t>
      </w:r>
    </w:p>
    <w:p>
      <w:pPr>
        <w:pStyle w:val="ListParagraph"/>
        <w:numPr>
          <w:ilvl w:val="0"/>
          <w:numId w:val="2"/>
        </w:numPr>
        <w:spacing w:after="60" w:before="60"/>
      </w:pPr>
      <w:r>
        <w:rPr>
          <w:rFonts w:ascii="Arial" w:cs="Arial" w:eastAsia="Arial" w:hAnsi="Arial"/>
          <w:sz w:val="22"/>
          <w:szCs w:val="22"/>
        </w:rPr>
        <w:t xml:space="preserve">fournir des informations exactes, complètes et à jour</w:t>
      </w:r>
    </w:p>
    <w:p>
      <w:pPr>
        <w:pStyle w:val="ListParagraph"/>
        <w:numPr>
          <w:ilvl w:val="0"/>
          <w:numId w:val="2"/>
        </w:numPr>
        <w:spacing w:after="60" w:before="60"/>
      </w:pPr>
      <w:r>
        <w:rPr>
          <w:rFonts w:ascii="Arial" w:cs="Arial" w:eastAsia="Arial" w:hAnsi="Arial"/>
          <w:sz w:val="22"/>
          <w:szCs w:val="22"/>
        </w:rPr>
        <w:t xml:space="preserve">ne pas avoir fait l’objet d’une suspension ou suppression de compte Dryvea</w:t>
      </w:r>
    </w:p>
    <w:p>
      <w:pPr>
        <w:pStyle w:val="Heading2"/>
        <w:spacing w:after="100" w:before="240"/>
      </w:pPr>
      <w:r>
        <w:rPr>
          <w:rFonts w:ascii="Arial" w:cs="Arial" w:eastAsia="Arial" w:hAnsi="Arial"/>
          <w:b/>
          <w:bCs/>
          <w:color w:val="1A1A2E"/>
          <w:sz w:val="24"/>
          <w:szCs w:val="24"/>
        </w:rPr>
        <w:t xml:space="preserve">3.2 Vérification d’identité</w:t>
      </w:r>
    </w:p>
    <w:p>
      <w:pPr>
        <w:spacing w:after="80" w:before="80"/>
      </w:pPr>
      <w:r>
        <w:rPr>
          <w:rFonts w:ascii="Arial" w:cs="Arial" w:eastAsia="Arial" w:hAnsi="Arial"/>
          <w:sz w:val="22"/>
          <w:szCs w:val="22"/>
        </w:rPr>
        <w:t xml:space="preserve">Dryvea procède à une vérification d’identité (KYC) pour les loueurs et, le cas échéant, pour les locataires. Les documents demandés peuvent inclure une pièce d’identité en cours de validité et un justificatif de domicile. Cette procédure est réalisée conformément au RGPD (voir Politique de confidentialité).</w:t>
      </w:r>
    </w:p>
    <w:p>
      <w:pPr>
        <w:pStyle w:val="Heading2"/>
        <w:spacing w:after="100" w:before="240"/>
      </w:pPr>
      <w:r>
        <w:rPr>
          <w:rFonts w:ascii="Arial" w:cs="Arial" w:eastAsia="Arial" w:hAnsi="Arial"/>
          <w:b/>
          <w:bCs/>
          <w:color w:val="1A1A2E"/>
          <w:sz w:val="24"/>
          <w:szCs w:val="24"/>
        </w:rPr>
        <w:t xml:space="preserve">3.3 Sécurité du compte</w:t>
      </w:r>
    </w:p>
    <w:p>
      <w:pPr>
        <w:spacing w:after="80" w:before="80"/>
      </w:pPr>
      <w:r>
        <w:rPr>
          <w:rFonts w:ascii="Arial" w:cs="Arial" w:eastAsia="Arial" w:hAnsi="Arial"/>
          <w:sz w:val="22"/>
          <w:szCs w:val="22"/>
        </w:rPr>
        <w:t xml:space="preserve">L’utilisateur est seul responsable de la confidentialité de ses identifiants. Toute utilisation du compte à partir des identifiants de l’utilisateur est présumée effectuée par lui. En cas de suspicion de compromission, l’utilisateur doit immédiatement contacter Dryvea.</w:t>
      </w:r>
    </w:p>
    <w:p>
      <w:pPr>
        <w:pStyle w:val="Heading1"/>
        <w:pBdr>
          <w:bottom w:val="single" w:color="1B3C87" w:sz="4" w:space="4"/>
        </w:pBdr>
        <w:spacing w:after="160" w:before="400"/>
      </w:pPr>
      <w:r>
        <w:rPr>
          <w:rFonts w:ascii="Arial" w:cs="Arial" w:eastAsia="Arial" w:hAnsi="Arial"/>
          <w:b/>
          <w:bCs/>
          <w:color w:val="1B3C87"/>
          <w:sz w:val="28"/>
          <w:szCs w:val="28"/>
        </w:rPr>
        <w:t xml:space="preserve">ARTICLE 4 — FONCTIONNEMENT DE LA PLATEFORME</w:t>
      </w:r>
    </w:p>
    <w:p>
      <w:pPr>
        <w:pStyle w:val="Heading2"/>
        <w:spacing w:after="100" w:before="240"/>
      </w:pPr>
      <w:r>
        <w:rPr>
          <w:rFonts w:ascii="Arial" w:cs="Arial" w:eastAsia="Arial" w:hAnsi="Arial"/>
          <w:b/>
          <w:bCs/>
          <w:color w:val="1A1A2E"/>
          <w:sz w:val="24"/>
          <w:szCs w:val="24"/>
        </w:rPr>
        <w:t xml:space="preserve">4.1 Dépôt d’annonce (Loueur)</w:t>
      </w:r>
    </w:p>
    <w:p>
      <w:pPr>
        <w:spacing w:after="80" w:before="80"/>
      </w:pPr>
      <w:r>
        <w:rPr>
          <w:rFonts w:ascii="Arial" w:cs="Arial" w:eastAsia="Arial" w:hAnsi="Arial"/>
          <w:sz w:val="22"/>
          <w:szCs w:val="22"/>
        </w:rPr>
        <w:t xml:space="preserve">Le loueur crée une annonce en renseignant les informations relatives à son véhicule (marque, modèle, année, photos, autonomie, disponibilités, tarif). Il garantit l’exactitude des informations publiées et la conformité du véhicule à la réglementation en vigueur (immatriculation, contrôle technique si applicable, assurance).</w:t>
      </w:r>
    </w:p>
    <w:p>
      <w:pPr>
        <w:pStyle w:val="Heading2"/>
        <w:spacing w:after="100" w:before="240"/>
      </w:pPr>
      <w:r>
        <w:rPr>
          <w:rFonts w:ascii="Arial" w:cs="Arial" w:eastAsia="Arial" w:hAnsi="Arial"/>
          <w:b/>
          <w:bCs/>
          <w:color w:val="1A1A2E"/>
          <w:sz w:val="24"/>
          <w:szCs w:val="24"/>
        </w:rPr>
        <w:t xml:space="preserve">4.2 Réservation (Locataire)</w:t>
      </w:r>
    </w:p>
    <w:p>
      <w:pPr>
        <w:spacing w:after="80" w:before="80"/>
      </w:pPr>
      <w:r>
        <w:rPr>
          <w:rFonts w:ascii="Arial" w:cs="Arial" w:eastAsia="Arial" w:hAnsi="Arial"/>
          <w:sz w:val="22"/>
          <w:szCs w:val="22"/>
        </w:rPr>
        <w:t xml:space="preserve">Le locataire sélectionne un véhicule, une période, et procède au paiement sécurisé via la plateforme. La réservation est validée après confirmation du loueur et encaissement du paiement. Le locataire reçoit une confirmation par e-mail et/ou notification.</w:t>
      </w:r>
    </w:p>
    <w:p>
      <w:pPr>
        <w:pStyle w:val="Heading2"/>
        <w:spacing w:after="100" w:before="240"/>
      </w:pPr>
      <w:r>
        <w:rPr>
          <w:rFonts w:ascii="Arial" w:cs="Arial" w:eastAsia="Arial" w:hAnsi="Arial"/>
          <w:b/>
          <w:bCs/>
          <w:color w:val="1A1A2E"/>
          <w:sz w:val="24"/>
          <w:szCs w:val="24"/>
        </w:rPr>
        <w:t xml:space="preserve">4.3 Annulation</w:t>
      </w:r>
    </w:p>
    <w:p>
      <w:pPr>
        <w:spacing w:after="80" w:before="80"/>
      </w:pPr>
      <w:r>
        <w:rPr>
          <w:rFonts w:ascii="Arial" w:cs="Arial" w:eastAsia="Arial" w:hAnsi="Arial"/>
          <w:sz w:val="22"/>
          <w:szCs w:val="22"/>
        </w:rPr>
        <w:t xml:space="preserve">Les conditions d’annulation sont les suivantes :</w:t>
      </w:r>
    </w:p>
    <w:p>
      <w:pPr>
        <w:pStyle w:val="ListParagraph"/>
        <w:numPr>
          <w:ilvl w:val="0"/>
          <w:numId w:val="2"/>
        </w:numPr>
        <w:spacing w:after="60" w:before="60"/>
      </w:pPr>
      <w:r>
        <w:rPr>
          <w:rFonts w:ascii="Arial" w:cs="Arial" w:eastAsia="Arial" w:hAnsi="Arial"/>
          <w:sz w:val="22"/>
          <w:szCs w:val="22"/>
        </w:rPr>
        <w:t xml:space="preserve">Annulation par le locataire plus de 48h avant le début : remboursement intégral hors frais de service</w:t>
      </w:r>
    </w:p>
    <w:p>
      <w:pPr>
        <w:pStyle w:val="ListParagraph"/>
        <w:numPr>
          <w:ilvl w:val="0"/>
          <w:numId w:val="2"/>
        </w:numPr>
        <w:spacing w:after="60" w:before="60"/>
      </w:pPr>
      <w:r>
        <w:rPr>
          <w:rFonts w:ascii="Arial" w:cs="Arial" w:eastAsia="Arial" w:hAnsi="Arial"/>
          <w:sz w:val="22"/>
          <w:szCs w:val="22"/>
        </w:rPr>
        <w:t xml:space="preserve">Annulation entre 24h et 48h avant le début : remboursement de 50 % du prix de location</w:t>
      </w:r>
    </w:p>
    <w:p>
      <w:pPr>
        <w:pStyle w:val="ListParagraph"/>
        <w:numPr>
          <w:ilvl w:val="0"/>
          <w:numId w:val="2"/>
        </w:numPr>
        <w:spacing w:after="60" w:before="60"/>
      </w:pPr>
      <w:r>
        <w:rPr>
          <w:rFonts w:ascii="Arial" w:cs="Arial" w:eastAsia="Arial" w:hAnsi="Arial"/>
          <w:sz w:val="22"/>
          <w:szCs w:val="22"/>
        </w:rPr>
        <w:t xml:space="preserve">Annulation moins de 24h avant le début : aucun remboursement</w:t>
      </w:r>
    </w:p>
    <w:p>
      <w:pPr>
        <w:pStyle w:val="ListParagraph"/>
        <w:numPr>
          <w:ilvl w:val="0"/>
          <w:numId w:val="2"/>
        </w:numPr>
        <w:spacing w:after="60" w:before="60"/>
      </w:pPr>
      <w:r>
        <w:rPr>
          <w:rFonts w:ascii="Arial" w:cs="Arial" w:eastAsia="Arial" w:hAnsi="Arial"/>
          <w:sz w:val="22"/>
          <w:szCs w:val="22"/>
        </w:rPr>
        <w:t xml:space="preserve">Annulation par le loueur : remboursement intégral au locataire + penalté à la charge du loueur</w:t>
      </w:r>
    </w:p>
    <w:p>
      <w:pPr>
        <w:pStyle w:val="Heading2"/>
        <w:spacing w:after="100" w:before="240"/>
      </w:pPr>
      <w:r>
        <w:rPr>
          <w:rFonts w:ascii="Arial" w:cs="Arial" w:eastAsia="Arial" w:hAnsi="Arial"/>
          <w:b/>
          <w:bCs/>
          <w:color w:val="1A1A2E"/>
          <w:sz w:val="24"/>
          <w:szCs w:val="24"/>
        </w:rPr>
        <w:t xml:space="preserve">4.4 Frais de service</w:t>
      </w:r>
    </w:p>
    <w:p>
      <w:pPr>
        <w:spacing w:after="80" w:before="80"/>
      </w:pPr>
      <w:r>
        <w:rPr>
          <w:rFonts w:ascii="Arial" w:cs="Arial" w:eastAsia="Arial" w:hAnsi="Arial"/>
          <w:sz w:val="22"/>
          <w:szCs w:val="22"/>
        </w:rPr>
        <w:t xml:space="preserve">Dryvea perçoit des frais de service sur chaque transaction, détaillés lors de la réservation. Ces frais couvrent les coûts de la plateforme, la gestion des paiements, le support client et les services associés.</w:t>
      </w:r>
    </w:p>
    <w:p>
      <w:pPr>
        <w:pStyle w:val="Heading1"/>
        <w:pBdr>
          <w:bottom w:val="single" w:color="1B3C87" w:sz="4" w:space="4"/>
        </w:pBdr>
        <w:spacing w:after="160" w:before="400"/>
      </w:pPr>
      <w:r>
        <w:rPr>
          <w:rFonts w:ascii="Arial" w:cs="Arial" w:eastAsia="Arial" w:hAnsi="Arial"/>
          <w:b/>
          <w:bCs/>
          <w:color w:val="1B3C87"/>
          <w:sz w:val="28"/>
          <w:szCs w:val="28"/>
        </w:rPr>
        <w:t xml:space="preserve">ARTICLE 5 — OBLIGATIONS DES UTILISATEURS</w:t>
      </w:r>
    </w:p>
    <w:p>
      <w:pPr>
        <w:pStyle w:val="Heading2"/>
        <w:spacing w:after="100" w:before="240"/>
      </w:pPr>
      <w:r>
        <w:rPr>
          <w:rFonts w:ascii="Arial" w:cs="Arial" w:eastAsia="Arial" w:hAnsi="Arial"/>
          <w:b/>
          <w:bCs/>
          <w:color w:val="1A1A2E"/>
          <w:sz w:val="24"/>
          <w:szCs w:val="24"/>
        </w:rPr>
        <w:t xml:space="preserve">5.1 Obligations du loueur</w:t>
      </w:r>
    </w:p>
    <w:p>
      <w:pPr>
        <w:pStyle w:val="ListParagraph"/>
        <w:numPr>
          <w:ilvl w:val="0"/>
          <w:numId w:val="2"/>
        </w:numPr>
        <w:spacing w:after="60" w:before="60"/>
      </w:pPr>
      <w:r>
        <w:rPr>
          <w:rFonts w:ascii="Arial" w:cs="Arial" w:eastAsia="Arial" w:hAnsi="Arial"/>
          <w:sz w:val="22"/>
          <w:szCs w:val="22"/>
        </w:rPr>
        <w:t xml:space="preserve">Fournir un véhicule conforme à la description publiée</w:t>
      </w:r>
    </w:p>
    <w:p>
      <w:pPr>
        <w:pStyle w:val="ListParagraph"/>
        <w:numPr>
          <w:ilvl w:val="0"/>
          <w:numId w:val="2"/>
        </w:numPr>
        <w:spacing w:after="60" w:before="60"/>
      </w:pPr>
      <w:r>
        <w:rPr>
          <w:rFonts w:ascii="Arial" w:cs="Arial" w:eastAsia="Arial" w:hAnsi="Arial"/>
          <w:sz w:val="22"/>
          <w:szCs w:val="22"/>
        </w:rPr>
        <w:t xml:space="preserve">Maintenir le véhicule en bon état de marche et en sécurité</w:t>
      </w:r>
    </w:p>
    <w:p>
      <w:pPr>
        <w:pStyle w:val="ListParagraph"/>
        <w:numPr>
          <w:ilvl w:val="0"/>
          <w:numId w:val="2"/>
        </w:numPr>
        <w:spacing w:after="60" w:before="60"/>
      </w:pPr>
      <w:r>
        <w:rPr>
          <w:rFonts w:ascii="Arial" w:cs="Arial" w:eastAsia="Arial" w:hAnsi="Arial"/>
          <w:sz w:val="22"/>
          <w:szCs w:val="22"/>
        </w:rPr>
        <w:t xml:space="preserve">Justifier d’une assurance couvrant la responsabilité civile du véhicule</w:t>
      </w:r>
    </w:p>
    <w:p>
      <w:pPr>
        <w:pStyle w:val="ListParagraph"/>
        <w:numPr>
          <w:ilvl w:val="0"/>
          <w:numId w:val="2"/>
        </w:numPr>
        <w:spacing w:after="60" w:before="60"/>
      </w:pPr>
      <w:r>
        <w:rPr>
          <w:rFonts w:ascii="Arial" w:cs="Arial" w:eastAsia="Arial" w:hAnsi="Arial"/>
          <w:sz w:val="22"/>
          <w:szCs w:val="22"/>
        </w:rPr>
        <w:t xml:space="preserve">Vérifier que l’assurance couvre la location à des tiers ou souscrire une couverture spécifique</w:t>
      </w:r>
    </w:p>
    <w:p>
      <w:pPr>
        <w:pStyle w:val="ListParagraph"/>
        <w:numPr>
          <w:ilvl w:val="0"/>
          <w:numId w:val="2"/>
        </w:numPr>
        <w:spacing w:after="60" w:before="60"/>
      </w:pPr>
      <w:r>
        <w:rPr>
          <w:rFonts w:ascii="Arial" w:cs="Arial" w:eastAsia="Arial" w:hAnsi="Arial"/>
          <w:sz w:val="22"/>
          <w:szCs w:val="22"/>
        </w:rPr>
        <w:t xml:space="preserve">Réaliser l’état des lieux contradictoire à la remise et à la restitution</w:t>
      </w:r>
    </w:p>
    <w:p>
      <w:pPr>
        <w:pStyle w:val="ListParagraph"/>
        <w:numPr>
          <w:ilvl w:val="0"/>
          <w:numId w:val="2"/>
        </w:numPr>
        <w:spacing w:after="60" w:before="60"/>
      </w:pPr>
      <w:r>
        <w:rPr>
          <w:rFonts w:ascii="Arial" w:cs="Arial" w:eastAsia="Arial" w:hAnsi="Arial"/>
          <w:sz w:val="22"/>
          <w:szCs w:val="22"/>
        </w:rPr>
        <w:t xml:space="preserve">S’assurer que le locataire a au moins 14 ans</w:t>
      </w:r>
    </w:p>
    <w:p>
      <w:pPr>
        <w:pStyle w:val="Heading2"/>
        <w:spacing w:after="100" w:before="240"/>
      </w:pPr>
      <w:r>
        <w:rPr>
          <w:rFonts w:ascii="Arial" w:cs="Arial" w:eastAsia="Arial" w:hAnsi="Arial"/>
          <w:b/>
          <w:bCs/>
          <w:color w:val="1A1A2E"/>
          <w:sz w:val="24"/>
          <w:szCs w:val="24"/>
        </w:rPr>
        <w:t xml:space="preserve">5.2 Obligations du locataire</w:t>
      </w:r>
    </w:p>
    <w:p>
      <w:pPr>
        <w:pStyle w:val="ListParagraph"/>
        <w:numPr>
          <w:ilvl w:val="0"/>
          <w:numId w:val="2"/>
        </w:numPr>
        <w:spacing w:after="60" w:before="60"/>
      </w:pPr>
      <w:r>
        <w:rPr>
          <w:rFonts w:ascii="Arial" w:cs="Arial" w:eastAsia="Arial" w:hAnsi="Arial"/>
          <w:sz w:val="22"/>
          <w:szCs w:val="22"/>
        </w:rPr>
        <w:t xml:space="preserve">Avoir au moins 14 ans</w:t>
      </w:r>
    </w:p>
    <w:p>
      <w:pPr>
        <w:pStyle w:val="ListParagraph"/>
        <w:numPr>
          <w:ilvl w:val="0"/>
          <w:numId w:val="2"/>
        </w:numPr>
        <w:spacing w:after="60" w:before="60"/>
      </w:pPr>
      <w:r>
        <w:rPr>
          <w:rFonts w:ascii="Arial" w:cs="Arial" w:eastAsia="Arial" w:hAnsi="Arial"/>
          <w:sz w:val="22"/>
          <w:szCs w:val="22"/>
        </w:rPr>
        <w:t xml:space="preserve">Utiliser le véhicule conformément au Code de la route</w:t>
      </w:r>
    </w:p>
    <w:p>
      <w:pPr>
        <w:pStyle w:val="ListParagraph"/>
        <w:numPr>
          <w:ilvl w:val="0"/>
          <w:numId w:val="2"/>
        </w:numPr>
        <w:spacing w:after="60" w:before="60"/>
      </w:pPr>
      <w:r>
        <w:rPr>
          <w:rFonts w:ascii="Arial" w:cs="Arial" w:eastAsia="Arial" w:hAnsi="Arial"/>
          <w:sz w:val="22"/>
          <w:szCs w:val="22"/>
        </w:rPr>
        <w:t xml:space="preserve">Respecter les conditions d’utilisation du contrat de location</w:t>
      </w:r>
    </w:p>
    <w:p>
      <w:pPr>
        <w:pStyle w:val="ListParagraph"/>
        <w:numPr>
          <w:ilvl w:val="0"/>
          <w:numId w:val="2"/>
        </w:numPr>
        <w:spacing w:after="60" w:before="60"/>
      </w:pPr>
      <w:r>
        <w:rPr>
          <w:rFonts w:ascii="Arial" w:cs="Arial" w:eastAsia="Arial" w:hAnsi="Arial"/>
          <w:sz w:val="22"/>
          <w:szCs w:val="22"/>
        </w:rPr>
        <w:t xml:space="preserve">Restituer le véhicule dans l’état et à l’heure convenus</w:t>
      </w:r>
    </w:p>
    <w:p>
      <w:pPr>
        <w:pStyle w:val="ListParagraph"/>
        <w:numPr>
          <w:ilvl w:val="0"/>
          <w:numId w:val="2"/>
        </w:numPr>
        <w:spacing w:after="60" w:before="60"/>
      </w:pPr>
      <w:r>
        <w:rPr>
          <w:rFonts w:ascii="Arial" w:cs="Arial" w:eastAsia="Arial" w:hAnsi="Arial"/>
          <w:sz w:val="22"/>
          <w:szCs w:val="22"/>
        </w:rPr>
        <w:t xml:space="preserve">Signaler tout incident survenu pendant la location</w:t>
      </w:r>
    </w:p>
    <w:p>
      <w:pPr>
        <w:pStyle w:val="ListParagraph"/>
        <w:numPr>
          <w:ilvl w:val="0"/>
          <w:numId w:val="2"/>
        </w:numPr>
        <w:spacing w:after="60" w:before="60"/>
      </w:pPr>
      <w:r>
        <w:rPr>
          <w:rFonts w:ascii="Arial" w:cs="Arial" w:eastAsia="Arial" w:hAnsi="Arial"/>
          <w:sz w:val="22"/>
          <w:szCs w:val="22"/>
        </w:rPr>
        <w:t xml:space="preserve">Ne pas sous-louer le véhicule à un tiers</w:t>
      </w:r>
    </w:p>
    <w:p>
      <w:pPr>
        <w:pStyle w:val="Heading2"/>
        <w:spacing w:after="100" w:before="240"/>
      </w:pPr>
      <w:r>
        <w:rPr>
          <w:rFonts w:ascii="Arial" w:cs="Arial" w:eastAsia="Arial" w:hAnsi="Arial"/>
          <w:b/>
          <w:bCs/>
          <w:color w:val="1A1A2E"/>
          <w:sz w:val="24"/>
          <w:szCs w:val="24"/>
        </w:rPr>
        <w:t xml:space="preserve">5.3 Comportements interdits</w:t>
      </w:r>
    </w:p>
    <w:p>
      <w:pPr>
        <w:spacing w:after="80" w:before="80"/>
      </w:pPr>
      <w:r>
        <w:rPr>
          <w:rFonts w:ascii="Arial" w:cs="Arial" w:eastAsia="Arial" w:hAnsi="Arial"/>
          <w:sz w:val="22"/>
          <w:szCs w:val="22"/>
        </w:rPr>
        <w:t xml:space="preserve">Sont notamment interdits sur la plateforme :</w:t>
      </w:r>
    </w:p>
    <w:p>
      <w:pPr>
        <w:pStyle w:val="ListParagraph"/>
        <w:numPr>
          <w:ilvl w:val="0"/>
          <w:numId w:val="2"/>
        </w:numPr>
        <w:spacing w:after="60" w:before="60"/>
      </w:pPr>
      <w:r>
        <w:rPr>
          <w:rFonts w:ascii="Arial" w:cs="Arial" w:eastAsia="Arial" w:hAnsi="Arial"/>
          <w:sz w:val="22"/>
          <w:szCs w:val="22"/>
        </w:rPr>
        <w:t xml:space="preserve">Publier de fausses informations ou usurper une identité</w:t>
      </w:r>
    </w:p>
    <w:p>
      <w:pPr>
        <w:pStyle w:val="ListParagraph"/>
        <w:numPr>
          <w:ilvl w:val="0"/>
          <w:numId w:val="2"/>
        </w:numPr>
        <w:spacing w:after="60" w:before="60"/>
      </w:pPr>
      <w:r>
        <w:rPr>
          <w:rFonts w:ascii="Arial" w:cs="Arial" w:eastAsia="Arial" w:hAnsi="Arial"/>
          <w:sz w:val="22"/>
          <w:szCs w:val="22"/>
        </w:rPr>
        <w:t xml:space="preserve">Contourner le système de paiement Dryvea (transactions hors plateforme)</w:t>
      </w:r>
    </w:p>
    <w:p>
      <w:pPr>
        <w:pStyle w:val="ListParagraph"/>
        <w:numPr>
          <w:ilvl w:val="0"/>
          <w:numId w:val="2"/>
        </w:numPr>
        <w:spacing w:after="60" w:before="60"/>
      </w:pPr>
      <w:r>
        <w:rPr>
          <w:rFonts w:ascii="Arial" w:cs="Arial" w:eastAsia="Arial" w:hAnsi="Arial"/>
          <w:sz w:val="22"/>
          <w:szCs w:val="22"/>
        </w:rPr>
        <w:t xml:space="preserve">Publier des annonces pour des véhicules non conformes ou non assurés</w:t>
      </w:r>
    </w:p>
    <w:p>
      <w:pPr>
        <w:pStyle w:val="ListParagraph"/>
        <w:numPr>
          <w:ilvl w:val="0"/>
          <w:numId w:val="2"/>
        </w:numPr>
        <w:spacing w:after="60" w:before="60"/>
      </w:pPr>
      <w:r>
        <w:rPr>
          <w:rFonts w:ascii="Arial" w:cs="Arial" w:eastAsia="Arial" w:hAnsi="Arial"/>
          <w:sz w:val="22"/>
          <w:szCs w:val="22"/>
        </w:rPr>
        <w:t xml:space="preserve">Harceler ou menacer d’autres utilisateurs</w:t>
      </w:r>
    </w:p>
    <w:p>
      <w:pPr>
        <w:pStyle w:val="ListParagraph"/>
        <w:numPr>
          <w:ilvl w:val="0"/>
          <w:numId w:val="2"/>
        </w:numPr>
        <w:spacing w:after="60" w:before="60"/>
      </w:pPr>
      <w:r>
        <w:rPr>
          <w:rFonts w:ascii="Arial" w:cs="Arial" w:eastAsia="Arial" w:hAnsi="Arial"/>
          <w:sz w:val="22"/>
          <w:szCs w:val="22"/>
        </w:rPr>
        <w:t xml:space="preserve">Toute utilisation frauduleuse de la plateforme</w:t>
      </w:r>
    </w:p>
    <w:p>
      <w:pPr>
        <w:pStyle w:val="Heading1"/>
        <w:pBdr>
          <w:bottom w:val="single" w:color="1B3C87" w:sz="4" w:space="4"/>
        </w:pBdr>
        <w:spacing w:after="160" w:before="400"/>
      </w:pPr>
      <w:r>
        <w:rPr>
          <w:rFonts w:ascii="Arial" w:cs="Arial" w:eastAsia="Arial" w:hAnsi="Arial"/>
          <w:b/>
          <w:bCs/>
          <w:color w:val="1B3C87"/>
          <w:sz w:val="28"/>
          <w:szCs w:val="28"/>
        </w:rPr>
        <w:t xml:space="preserve">ARTICLE 6 — RESPONSABILITÉ DE DRYVEA</w:t>
      </w:r>
    </w:p>
    <w:p>
      <w:pPr>
        <w:spacing w:after="80" w:before="80"/>
      </w:pPr>
      <w:r>
        <w:rPr>
          <w:rFonts w:ascii="Arial" w:cs="Arial" w:eastAsia="Arial" w:hAnsi="Arial"/>
          <w:sz w:val="22"/>
          <w:szCs w:val="22"/>
        </w:rPr>
        <w:t xml:space="preserve">Dryvea met tout en oeuvre pour assurer la disponibilité et la qualité de la plateforme, sans toutefois pouvoir garantir une disponibilité sans interruption.</w:t>
      </w:r>
    </w:p>
    <w:p>
      <w:pPr>
        <w:spacing w:after="80" w:before="80"/>
      </w:pPr>
      <w:r>
        <w:rPr>
          <w:rFonts w:ascii="Arial" w:cs="Arial" w:eastAsia="Arial" w:hAnsi="Arial"/>
          <w:sz w:val="22"/>
          <w:szCs w:val="22"/>
        </w:rPr>
        <w:t xml:space="preserve">Dryvea n’est pas responsable :</w:t>
      </w:r>
    </w:p>
    <w:p>
      <w:pPr>
        <w:pStyle w:val="ListParagraph"/>
        <w:numPr>
          <w:ilvl w:val="0"/>
          <w:numId w:val="2"/>
        </w:numPr>
        <w:spacing w:after="60" w:before="60"/>
      </w:pPr>
      <w:r>
        <w:rPr>
          <w:rFonts w:ascii="Arial" w:cs="Arial" w:eastAsia="Arial" w:hAnsi="Arial"/>
          <w:sz w:val="22"/>
          <w:szCs w:val="22"/>
        </w:rPr>
        <w:t xml:space="preserve">Des dommages matériels ou corporels survenus lors de la location</w:t>
      </w:r>
    </w:p>
    <w:p>
      <w:pPr>
        <w:pStyle w:val="ListParagraph"/>
        <w:numPr>
          <w:ilvl w:val="0"/>
          <w:numId w:val="2"/>
        </w:numPr>
        <w:spacing w:after="60" w:before="60"/>
      </w:pPr>
      <w:r>
        <w:rPr>
          <w:rFonts w:ascii="Arial" w:cs="Arial" w:eastAsia="Arial" w:hAnsi="Arial"/>
          <w:sz w:val="22"/>
          <w:szCs w:val="22"/>
        </w:rPr>
        <w:t xml:space="preserve">De l’inexactitude des informations publiées par les loueurs</w:t>
      </w:r>
    </w:p>
    <w:p>
      <w:pPr>
        <w:pStyle w:val="ListParagraph"/>
        <w:numPr>
          <w:ilvl w:val="0"/>
          <w:numId w:val="2"/>
        </w:numPr>
        <w:spacing w:after="60" w:before="60"/>
      </w:pPr>
      <w:r>
        <w:rPr>
          <w:rFonts w:ascii="Arial" w:cs="Arial" w:eastAsia="Arial" w:hAnsi="Arial"/>
          <w:sz w:val="22"/>
          <w:szCs w:val="22"/>
        </w:rPr>
        <w:t xml:space="preserve">Du comportement des utilisateurs pendant la location</w:t>
      </w:r>
    </w:p>
    <w:p>
      <w:pPr>
        <w:pStyle w:val="ListParagraph"/>
        <w:numPr>
          <w:ilvl w:val="0"/>
          <w:numId w:val="2"/>
        </w:numPr>
        <w:spacing w:after="60" w:before="60"/>
      </w:pPr>
      <w:r>
        <w:rPr>
          <w:rFonts w:ascii="Arial" w:cs="Arial" w:eastAsia="Arial" w:hAnsi="Arial"/>
          <w:sz w:val="22"/>
          <w:szCs w:val="22"/>
        </w:rPr>
        <w:t xml:space="preserve">Des litiges entre loueurs et locataires</w:t>
      </w:r>
    </w:p>
    <w:p>
      <w:pPr>
        <w:pStyle w:val="ListParagraph"/>
        <w:numPr>
          <w:ilvl w:val="0"/>
          <w:numId w:val="2"/>
        </w:numPr>
        <w:spacing w:after="60" w:before="60"/>
      </w:pPr>
      <w:r>
        <w:rPr>
          <w:rFonts w:ascii="Arial" w:cs="Arial" w:eastAsia="Arial" w:hAnsi="Arial"/>
          <w:sz w:val="22"/>
          <w:szCs w:val="22"/>
        </w:rPr>
        <w:t xml:space="preserve">De l’adéquation de l’assurance du loueur</w:t>
      </w:r>
    </w:p>
    <w:p>
      <w:pPr>
        <w:spacing w:after="80" w:before="80"/>
      </w:pPr>
      <w:r>
        <w:rPr>
          <w:rFonts w:ascii="Arial" w:cs="Arial" w:eastAsia="Arial" w:hAnsi="Arial"/>
          <w:sz w:val="22"/>
          <w:szCs w:val="22"/>
        </w:rPr>
        <w:t xml:space="preserve">La responsabilité de Dryvea est limitée aux frais de service effectivement perçus sur la transaction concernée.</w:t>
      </w:r>
    </w:p>
    <w:p>
      <w:pPr>
        <w:pStyle w:val="Heading1"/>
        <w:pBdr>
          <w:bottom w:val="single" w:color="1B3C87" w:sz="4" w:space="4"/>
        </w:pBdr>
        <w:spacing w:after="160" w:before="400"/>
      </w:pPr>
      <w:r>
        <w:rPr>
          <w:rFonts w:ascii="Arial" w:cs="Arial" w:eastAsia="Arial" w:hAnsi="Arial"/>
          <w:b/>
          <w:bCs/>
          <w:color w:val="1B3C87"/>
          <w:sz w:val="28"/>
          <w:szCs w:val="28"/>
        </w:rPr>
        <w:t xml:space="preserve">ARTICLE 7 — PAIEMENTS ET FACTURATION</w:t>
      </w:r>
    </w:p>
    <w:p>
      <w:pPr>
        <w:spacing w:after="80" w:before="80"/>
      </w:pPr>
      <w:r>
        <w:rPr>
          <w:rFonts w:ascii="Arial" w:cs="Arial" w:eastAsia="Arial" w:hAnsi="Arial"/>
          <w:sz w:val="22"/>
          <w:szCs w:val="22"/>
        </w:rPr>
        <w:t xml:space="preserve">Les paiements sont gérés via un prestataire de paiement sécurisé agréé (conformément à la Directive européenne DSP2). Dryvea ne stocke aucune donnée bancaire. Les virements aux loueurs sont effectués dans un délai de 2 à 5 jours ouvrés après la fin de la location, déduction faite des frais de service.</w:t>
      </w:r>
    </w:p>
    <w:p>
      <w:pPr>
        <w:spacing w:after="80" w:before="80"/>
      </w:pPr>
      <w:r>
        <w:rPr>
          <w:rFonts w:ascii="Arial" w:cs="Arial" w:eastAsia="Arial" w:hAnsi="Arial"/>
          <w:i/>
          <w:iCs/>
          <w:sz w:val="22"/>
          <w:szCs w:val="22"/>
        </w:rPr>
        <w:t xml:space="preserve">Conformité fiscale : Dryvea transmet aux autorités fiscales les informations relatives aux revenus des utilisateurs, conformément à l’article 242 bis du Code général des impôts. Les utilisateurs sont invités à déclarer leurs revenus générés via la plateforme.</w:t>
      </w:r>
    </w:p>
    <w:p>
      <w:pPr>
        <w:pStyle w:val="Heading1"/>
        <w:pBdr>
          <w:bottom w:val="single" w:color="1B3C87" w:sz="4" w:space="4"/>
        </w:pBdr>
        <w:spacing w:after="160" w:before="400"/>
      </w:pPr>
      <w:r>
        <w:rPr>
          <w:rFonts w:ascii="Arial" w:cs="Arial" w:eastAsia="Arial" w:hAnsi="Arial"/>
          <w:b/>
          <w:bCs/>
          <w:color w:val="1B3C87"/>
          <w:sz w:val="28"/>
          <w:szCs w:val="28"/>
        </w:rPr>
        <w:t xml:space="preserve">ARTICLE 8 — PROPRIÉTÉ INTELLECTUELLE</w:t>
      </w:r>
    </w:p>
    <w:p>
      <w:pPr>
        <w:spacing w:after="80" w:before="80"/>
      </w:pPr>
      <w:r>
        <w:rPr>
          <w:rFonts w:ascii="Arial" w:cs="Arial" w:eastAsia="Arial" w:hAnsi="Arial"/>
          <w:sz w:val="22"/>
          <w:szCs w:val="22"/>
        </w:rPr>
        <w:t xml:space="preserve">L’ensemble des éléments composant la plateforme Dryvea (logo, textes, interface, code source, base de données) est la propriété exclusive de Dryvea et est protégé par le droit de la propriété intellectuelle. Toute reproduction, représentation ou utilisation non autorisée est interdite et susceptible de constituer une contrefçaçon.</w:t>
      </w:r>
    </w:p>
    <w:p>
      <w:pPr>
        <w:pStyle w:val="Heading1"/>
        <w:pBdr>
          <w:bottom w:val="single" w:color="1B3C87" w:sz="4" w:space="4"/>
        </w:pBdr>
        <w:spacing w:after="160" w:before="400"/>
      </w:pPr>
      <w:r>
        <w:rPr>
          <w:rFonts w:ascii="Arial" w:cs="Arial" w:eastAsia="Arial" w:hAnsi="Arial"/>
          <w:b/>
          <w:bCs/>
          <w:color w:val="1B3C87"/>
          <w:sz w:val="28"/>
          <w:szCs w:val="28"/>
        </w:rPr>
        <w:t xml:space="preserve">ARTICLE 9 — PROTECTION DES DONNÉES PERSONNELLES</w:t>
      </w:r>
    </w:p>
    <w:p>
      <w:pPr>
        <w:spacing w:after="80" w:before="80"/>
      </w:pPr>
      <w:r>
        <w:rPr>
          <w:rFonts w:ascii="Arial" w:cs="Arial" w:eastAsia="Arial" w:hAnsi="Arial"/>
          <w:sz w:val="22"/>
          <w:szCs w:val="22"/>
        </w:rPr>
        <w:t xml:space="preserve">Le traitement des données personnelles des utilisateurs est régi par la Politique de Confidentialité de Dryvea, disponible sur la plateforme. Ce traitement est effectué en conformité avec le Règlement Général sur la Protection des Données (RGPD — Règlement (UE) 2016/679) et la loi Informatique et Libertés.</w:t>
      </w:r>
    </w:p>
    <w:p>
      <w:pPr>
        <w:pStyle w:val="Heading1"/>
        <w:pBdr>
          <w:bottom w:val="single" w:color="1B3C87" w:sz="4" w:space="4"/>
        </w:pBdr>
        <w:spacing w:after="160" w:before="400"/>
      </w:pPr>
      <w:r>
        <w:rPr>
          <w:rFonts w:ascii="Arial" w:cs="Arial" w:eastAsia="Arial" w:hAnsi="Arial"/>
          <w:b/>
          <w:bCs/>
          <w:color w:val="1B3C87"/>
          <w:sz w:val="28"/>
          <w:szCs w:val="28"/>
        </w:rPr>
        <w:t xml:space="preserve">ARTICLE 10 — MÉDIATION ET LITIGES</w:t>
      </w:r>
    </w:p>
    <w:p>
      <w:pPr>
        <w:spacing w:after="80" w:before="80"/>
      </w:pPr>
      <w:r>
        <w:rPr>
          <w:rFonts w:ascii="Arial" w:cs="Arial" w:eastAsia="Arial" w:hAnsi="Arial"/>
          <w:sz w:val="22"/>
          <w:szCs w:val="22"/>
        </w:rPr>
        <w:t xml:space="preserve">En cas de litige entre un utilisateur et Dryvea, les parties s’engagent à rechercher une solution amiable. À défaut, l’utilisateur peut saisir le médiateur de la consommation dont les coordonnées seront communiquées sur la plateforme, conformément à la Directive européenne 2013/11/UE.</w:t>
      </w:r>
    </w:p>
    <w:p>
      <w:pPr>
        <w:spacing w:after="80" w:before="80"/>
      </w:pPr>
      <w:r>
        <w:rPr>
          <w:rFonts w:ascii="Arial" w:cs="Arial" w:eastAsia="Arial" w:hAnsi="Arial"/>
          <w:sz w:val="22"/>
          <w:szCs w:val="22"/>
        </w:rPr>
        <w:t xml:space="preserve">Les présentes CGU/CGV sont soumises au droit français. Tout litige relève de la compétence des juridictions françaises.</w:t>
      </w:r>
    </w:p>
    <w:p>
      <w:pPr>
        <w:pStyle w:val="Heading1"/>
        <w:pBdr>
          <w:bottom w:val="single" w:color="1B3C87" w:sz="4" w:space="4"/>
        </w:pBdr>
        <w:spacing w:after="160" w:before="400"/>
      </w:pPr>
      <w:r>
        <w:rPr>
          <w:rFonts w:ascii="Arial" w:cs="Arial" w:eastAsia="Arial" w:hAnsi="Arial"/>
          <w:b/>
          <w:bCs/>
          <w:color w:val="1B3C87"/>
          <w:sz w:val="28"/>
          <w:szCs w:val="28"/>
        </w:rPr>
        <w:t xml:space="preserve">ARTICLE 11 — DROIT APPLICABLE</w:t>
      </w:r>
    </w:p>
    <w:p>
      <w:pPr>
        <w:spacing w:after="80" w:before="80"/>
      </w:pPr>
      <w:r>
        <w:rPr>
          <w:rFonts w:ascii="Arial" w:cs="Arial" w:eastAsia="Arial" w:hAnsi="Arial"/>
          <w:sz w:val="22"/>
          <w:szCs w:val="22"/>
        </w:rPr>
        <w:t xml:space="preserve">Les présentes conditions générales sont régies par le droit français, notamment le Code civil, le Code de la consommation, le Code des transports, la loi n° 78-17 du 6 janvier 1978 modifiée, le RGPD et tout texte législatif ou réglementaire applicable.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Dryvea CGU/CGV — Version 1.0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C87" w:sz="4" w:space="4"/>
      </w:pBdr>
    </w:pPr>
    <w:r>
      <w:rPr>
        <w:rFonts w:ascii="Arial" w:cs="Arial" w:eastAsia="Arial" w:hAnsi="Arial"/>
        <w:b/>
        <w:bCs/>
        <w:color w:val="1B3C87"/>
        <w:sz w:val="22"/>
        <w:szCs w:val="22"/>
      </w:rPr>
      <w:t xml:space="preserve">DRYVEA</w:t>
    </w:r>
    <w:r>
      <w:rPr>
        <w:rFonts w:ascii="Arial" w:cs="Arial" w:eastAsia="Arial" w:hAnsi="Arial"/>
        <w:color w:val="666666"/>
        <w:sz w:val="20"/>
        <w:szCs w:val="20"/>
      </w:rPr>
      <w:t xml:space="preserve">  |  Conditions Générales d’Utilisation et de Vente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C8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2026-06-24T07:35:19.689Z</dcterms:created>
  <dcterms:modified xsi:type="dcterms:W3CDTF">2026-06-24T07:35:19.689Z</dcterms:modified>
</cp:coreProperties>
</file>

<file path=docProps/custom.xml><?xml version="1.0" encoding="utf-8"?>
<Properties xmlns="http://schemas.openxmlformats.org/officeDocument/2006/custom-properties" xmlns:vt="http://schemas.openxmlformats.org/officeDocument/2006/docPropsVTypes"/>
</file>