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C87"/>
          <w:sz w:val="36"/>
          <w:szCs w:val="36"/>
        </w:rPr>
        <w:t xml:space="preserve">POLITIQUE DE CONFIDENTIALITÉ</w:t>
      </w:r>
    </w:p>
    <w:p>
      <w:pPr>
        <w:spacing w:after="60" w:before="0"/>
        <w:jc w:val="center"/>
      </w:pPr>
      <w:r>
        <w:rPr>
          <w:rFonts w:ascii="Arial" w:cs="Arial" w:eastAsia="Arial" w:hAnsi="Arial"/>
          <w:color w:val="444444"/>
          <w:sz w:val="22"/>
          <w:szCs w:val="22"/>
        </w:rPr>
        <w:t xml:space="preserve">Protection des données personnelles — Conforme RGPD (Règlement UE 2016/679)</w:t>
      </w:r>
    </w:p>
    <w:p>
      <w:pPr>
        <w:spacing w:after="200" w:before="0"/>
        <w:jc w:val="center"/>
      </w:pPr>
      <w:r>
        <w:rPr>
          <w:rFonts w:ascii="Arial" w:cs="Arial" w:eastAsia="Arial" w:hAnsi="Arial"/>
          <w:i/>
          <w:iCs/>
          <w:color w:val="888888"/>
          <w:sz w:val="20"/>
          <w:szCs w:val="20"/>
        </w:rPr>
        <w:t xml:space="preserve">Dernière mise à jour : ________________</w:t>
      </w:r>
    </w:p>
    <w:p>
      <w:pPr>
        <w:pStyle w:val="Heading1"/>
        <w:pBdr>
          <w:bottom w:val="single" w:color="1B3C87" w:sz="4" w:space="4"/>
        </w:pBdr>
        <w:spacing w:after="160" w:before="400"/>
      </w:pPr>
      <w:r>
        <w:rPr>
          <w:rFonts w:ascii="Arial" w:cs="Arial" w:eastAsia="Arial" w:hAnsi="Arial"/>
          <w:b/>
          <w:bCs/>
          <w:color w:val="1B3C87"/>
          <w:sz w:val="28"/>
          <w:szCs w:val="28"/>
        </w:rPr>
        <w:t xml:space="preserve">ARTICLE 1 — RESPONSABLE DU TRAITEMENT</w:t>
      </w:r>
    </w:p>
    <w:p>
      <w:pPr>
        <w:spacing w:after="80" w:before="80"/>
      </w:pPr>
      <w:r>
        <w:rPr>
          <w:rFonts w:ascii="Arial" w:cs="Arial" w:eastAsia="Arial" w:hAnsi="Arial"/>
          <w:sz w:val="22"/>
          <w:szCs w:val="22"/>
        </w:rPr>
        <w:t xml:space="preserve">Le responsable du traitement des données personnelles collectées via la plateforme Dryvea est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Société</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DRYVEA (forme juridique à définir)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Siège social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compléter après immatriculation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SIRET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compléter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DPO / Responsable RGPD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désigner — Email : dpo@dryvea.fr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rgpd@dryvea.fr</w:t>
            </w:r>
          </w:p>
        </w:tc>
      </w:tr>
    </w:tbl>
    <w:p>
      <w:pPr>
        <w:pStyle w:val="Heading1"/>
        <w:pBdr>
          <w:bottom w:val="single" w:color="1B3C87" w:sz="4" w:space="4"/>
        </w:pBdr>
        <w:spacing w:after="160" w:before="400"/>
      </w:pPr>
      <w:r>
        <w:rPr>
          <w:rFonts w:ascii="Arial" w:cs="Arial" w:eastAsia="Arial" w:hAnsi="Arial"/>
          <w:b/>
          <w:bCs/>
          <w:color w:val="1B3C87"/>
          <w:sz w:val="28"/>
          <w:szCs w:val="28"/>
        </w:rPr>
        <w:t xml:space="preserve">ARTICLE 2 — DONNÉES COLLECTÉES</w:t>
      </w:r>
    </w:p>
    <w:p>
      <w:pPr>
        <w:pStyle w:val="Heading2"/>
        <w:spacing w:after="100" w:before="240"/>
      </w:pPr>
      <w:r>
        <w:rPr>
          <w:rFonts w:ascii="Arial" w:cs="Arial" w:eastAsia="Arial" w:hAnsi="Arial"/>
          <w:b/>
          <w:bCs/>
          <w:color w:val="1A1A2E"/>
          <w:sz w:val="24"/>
          <w:szCs w:val="24"/>
        </w:rPr>
        <w:t xml:space="preserve">2.1 Données collectées directement</w:t>
      </w:r>
    </w:p>
    <w:p>
      <w:pPr>
        <w:spacing w:after="80" w:before="80"/>
      </w:pPr>
      <w:r>
        <w:rPr>
          <w:rFonts w:ascii="Arial" w:cs="Arial" w:eastAsia="Arial" w:hAnsi="Arial"/>
          <w:sz w:val="22"/>
          <w:szCs w:val="22"/>
        </w:rPr>
        <w:t xml:space="preserve">Lors de l’utilisation de la plateforme Dryvea, les données suivantes peuvent être collectées :</w:t>
      </w:r>
    </w:p>
    <w:p>
      <w:pPr>
        <w:pStyle w:val="ListParagraph"/>
        <w:numPr>
          <w:ilvl w:val="0"/>
          <w:numId w:val="2"/>
        </w:numPr>
        <w:spacing w:after="60" w:before="60"/>
      </w:pPr>
      <w:r>
        <w:rPr>
          <w:rFonts w:ascii="Arial" w:cs="Arial" w:eastAsia="Arial" w:hAnsi="Arial"/>
          <w:sz w:val="22"/>
          <w:szCs w:val="22"/>
        </w:rPr>
        <w:t xml:space="preserve">Données d’identification : nom, prénom, date de naissance, adresse postale</w:t>
      </w:r>
    </w:p>
    <w:p>
      <w:pPr>
        <w:pStyle w:val="ListParagraph"/>
        <w:numPr>
          <w:ilvl w:val="0"/>
          <w:numId w:val="2"/>
        </w:numPr>
        <w:spacing w:after="60" w:before="60"/>
      </w:pPr>
      <w:r>
        <w:rPr>
          <w:rFonts w:ascii="Arial" w:cs="Arial" w:eastAsia="Arial" w:hAnsi="Arial"/>
          <w:sz w:val="22"/>
          <w:szCs w:val="22"/>
        </w:rPr>
        <w:t xml:space="preserve">Données de contact : adresse e-mail, numéro de téléphone</w:t>
      </w:r>
    </w:p>
    <w:p>
      <w:pPr>
        <w:pStyle w:val="ListParagraph"/>
        <w:numPr>
          <w:ilvl w:val="0"/>
          <w:numId w:val="2"/>
        </w:numPr>
        <w:spacing w:after="60" w:before="60"/>
      </w:pPr>
      <w:r>
        <w:rPr>
          <w:rFonts w:ascii="Arial" w:cs="Arial" w:eastAsia="Arial" w:hAnsi="Arial"/>
          <w:sz w:val="22"/>
          <w:szCs w:val="22"/>
        </w:rPr>
        <w:t xml:space="preserve">Données de vérification d’identité (KYC) : copie de pièce d’identité, justificatif de domicile</w:t>
      </w:r>
    </w:p>
    <w:p>
      <w:pPr>
        <w:pStyle w:val="ListParagraph"/>
        <w:numPr>
          <w:ilvl w:val="0"/>
          <w:numId w:val="2"/>
        </w:numPr>
        <w:spacing w:after="60" w:before="60"/>
      </w:pPr>
      <w:r>
        <w:rPr>
          <w:rFonts w:ascii="Arial" w:cs="Arial" w:eastAsia="Arial" w:hAnsi="Arial"/>
          <w:sz w:val="22"/>
          <w:szCs w:val="22"/>
        </w:rPr>
        <w:t xml:space="preserve">Données bancaires (via prestataire de paiement) : IBAN pour les virements aux loueurs</w:t>
      </w:r>
    </w:p>
    <w:p>
      <w:pPr>
        <w:pStyle w:val="ListParagraph"/>
        <w:numPr>
          <w:ilvl w:val="0"/>
          <w:numId w:val="2"/>
        </w:numPr>
        <w:spacing w:after="60" w:before="60"/>
      </w:pPr>
      <w:r>
        <w:rPr>
          <w:rFonts w:ascii="Arial" w:cs="Arial" w:eastAsia="Arial" w:hAnsi="Arial"/>
          <w:sz w:val="22"/>
          <w:szCs w:val="22"/>
        </w:rPr>
        <w:t xml:space="preserve">Données relatives aux véhicules : immatriculation, photos, caractéristiques techniques</w:t>
      </w:r>
    </w:p>
    <w:p>
      <w:pPr>
        <w:pStyle w:val="ListParagraph"/>
        <w:numPr>
          <w:ilvl w:val="0"/>
          <w:numId w:val="2"/>
        </w:numPr>
        <w:spacing w:after="60" w:before="60"/>
      </w:pPr>
      <w:r>
        <w:rPr>
          <w:rFonts w:ascii="Arial" w:cs="Arial" w:eastAsia="Arial" w:hAnsi="Arial"/>
          <w:sz w:val="22"/>
          <w:szCs w:val="22"/>
        </w:rPr>
        <w:t xml:space="preserve">Données transactionnelles : historique des réservations, montants, évaluations</w:t>
      </w:r>
    </w:p>
    <w:p>
      <w:pPr>
        <w:pStyle w:val="ListParagraph"/>
        <w:numPr>
          <w:ilvl w:val="0"/>
          <w:numId w:val="2"/>
        </w:numPr>
        <w:spacing w:after="60" w:before="60"/>
      </w:pPr>
      <w:r>
        <w:rPr>
          <w:rFonts w:ascii="Arial" w:cs="Arial" w:eastAsia="Arial" w:hAnsi="Arial"/>
          <w:sz w:val="22"/>
          <w:szCs w:val="22"/>
        </w:rPr>
        <w:t xml:space="preserve">Données de navigation : adresse IP, cookies, logs de connexion</w:t>
      </w:r>
    </w:p>
    <w:p>
      <w:pPr>
        <w:pStyle w:val="Heading2"/>
        <w:spacing w:after="100" w:before="240"/>
      </w:pPr>
      <w:r>
        <w:rPr>
          <w:rFonts w:ascii="Arial" w:cs="Arial" w:eastAsia="Arial" w:hAnsi="Arial"/>
          <w:b/>
          <w:bCs/>
          <w:color w:val="1A1A2E"/>
          <w:sz w:val="24"/>
          <w:szCs w:val="24"/>
        </w:rPr>
        <w:t xml:space="preserve">2.2 Données collectées automatiquement</w:t>
      </w:r>
    </w:p>
    <w:p>
      <w:pPr>
        <w:pStyle w:val="ListParagraph"/>
        <w:numPr>
          <w:ilvl w:val="0"/>
          <w:numId w:val="2"/>
        </w:numPr>
        <w:spacing w:after="60" w:before="60"/>
      </w:pPr>
      <w:r>
        <w:rPr>
          <w:rFonts w:ascii="Arial" w:cs="Arial" w:eastAsia="Arial" w:hAnsi="Arial"/>
          <w:sz w:val="22"/>
          <w:szCs w:val="22"/>
        </w:rPr>
        <w:t xml:space="preserve">Données techniques : type de navigateur, système d’exploitation, langue</w:t>
      </w:r>
    </w:p>
    <w:p>
      <w:pPr>
        <w:pStyle w:val="ListParagraph"/>
        <w:numPr>
          <w:ilvl w:val="0"/>
          <w:numId w:val="2"/>
        </w:numPr>
        <w:spacing w:after="60" w:before="60"/>
      </w:pPr>
      <w:r>
        <w:rPr>
          <w:rFonts w:ascii="Arial" w:cs="Arial" w:eastAsia="Arial" w:hAnsi="Arial"/>
          <w:sz w:val="22"/>
          <w:szCs w:val="22"/>
        </w:rPr>
        <w:t xml:space="preserve">Données de localisation (avec consentement) pour faciliter la mise en relation</w:t>
      </w:r>
    </w:p>
    <w:p>
      <w:pPr>
        <w:pStyle w:val="Heading1"/>
        <w:pBdr>
          <w:bottom w:val="single" w:color="1B3C87" w:sz="4" w:space="4"/>
        </w:pBdr>
        <w:spacing w:after="160" w:before="400"/>
      </w:pPr>
      <w:r>
        <w:rPr>
          <w:rFonts w:ascii="Arial" w:cs="Arial" w:eastAsia="Arial" w:hAnsi="Arial"/>
          <w:b/>
          <w:bCs/>
          <w:color w:val="1B3C87"/>
          <w:sz w:val="28"/>
          <w:szCs w:val="28"/>
        </w:rPr>
        <w:t xml:space="preserve">ARTICLE 3 — FINALITÉS ET BASES LÉGALES</w:t>
      </w:r>
    </w:p>
    <w:p>
      <w:pPr>
        <w:spacing w:after="80" w:before="80"/>
      </w:pPr>
      <w:r>
        <w:rPr>
          <w:rFonts w:ascii="Arial" w:cs="Arial" w:eastAsia="Arial" w:hAnsi="Arial"/>
          <w:sz w:val="22"/>
          <w:szCs w:val="22"/>
        </w:rPr>
        <w:t xml:space="preserve">Tableau des traitements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26"/>
        <w:gridCol w:w="1500"/>
      </w:tblGrid>
      <w:tr>
        <w:tc>
          <w:tcPr>
            <w:tcW w:type="dxa" w:w="2500"/>
            <w:tcBorders>
              <w:top w:val="single" w:color="CCCCCC" w:sz="1"/>
              <w:left w:val="single" w:color="CCCCCC" w:sz="1"/>
              <w:bottom w:val="single" w:color="CCCCCC" w:sz="1"/>
              <w:right w:val="single" w:color="CCCCCC" w:sz="1"/>
            </w:tcBorders>
            <w:shd w:fill="1B3C87" w:val="clear"/>
            <w:tcMar>
              <w:top w:type="dxa" w:w="80"/>
              <w:left w:type="dxa" w:w="100"/>
              <w:bottom w:type="dxa" w:w="80"/>
              <w:right w:type="dxa" w:w="100"/>
            </w:tcMar>
          </w:tcPr>
          <w:p>
            <w:r>
              <w:rPr>
                <w:rFonts w:ascii="Arial" w:cs="Arial" w:eastAsia="Arial" w:hAnsi="Arial"/>
                <w:b/>
                <w:bCs/>
                <w:color w:val="FFFFFF"/>
                <w:sz w:val="20"/>
                <w:szCs w:val="20"/>
              </w:rPr>
              <w:t xml:space="preserve">Catégorie de données</w:t>
            </w:r>
          </w:p>
        </w:tc>
        <w:tc>
          <w:tcPr>
            <w:tcW w:type="dxa" w:w="2500"/>
            <w:tcBorders>
              <w:top w:val="single" w:color="CCCCCC" w:sz="1"/>
              <w:left w:val="single" w:color="CCCCCC" w:sz="1"/>
              <w:bottom w:val="single" w:color="CCCCCC" w:sz="1"/>
              <w:right w:val="single" w:color="CCCCCC" w:sz="1"/>
            </w:tcBorders>
            <w:shd w:fill="1B3C87" w:val="clear"/>
            <w:tcMar>
              <w:top w:type="dxa" w:w="80"/>
              <w:left w:type="dxa" w:w="100"/>
              <w:bottom w:type="dxa" w:w="80"/>
              <w:right w:type="dxa" w:w="100"/>
            </w:tcMar>
          </w:tcPr>
          <w:p>
            <w:r>
              <w:rPr>
                <w:rFonts w:ascii="Arial" w:cs="Arial" w:eastAsia="Arial" w:hAnsi="Arial"/>
                <w:b/>
                <w:bCs/>
                <w:color w:val="FFFFFF"/>
                <w:sz w:val="20"/>
                <w:szCs w:val="20"/>
              </w:rPr>
              <w:t xml:space="preserve">Finalité</w:t>
            </w:r>
          </w:p>
        </w:tc>
        <w:tc>
          <w:tcPr>
            <w:tcW w:type="dxa" w:w="2526"/>
            <w:tcBorders>
              <w:top w:val="single" w:color="CCCCCC" w:sz="1"/>
              <w:left w:val="single" w:color="CCCCCC" w:sz="1"/>
              <w:bottom w:val="single" w:color="CCCCCC" w:sz="1"/>
              <w:right w:val="single" w:color="CCCCCC" w:sz="1"/>
            </w:tcBorders>
            <w:shd w:fill="1B3C87" w:val="clear"/>
            <w:tcMar>
              <w:top w:type="dxa" w:w="80"/>
              <w:left w:type="dxa" w:w="100"/>
              <w:bottom w:type="dxa" w:w="80"/>
              <w:right w:type="dxa" w:w="100"/>
            </w:tcMar>
          </w:tcPr>
          <w:p>
            <w:r>
              <w:rPr>
                <w:rFonts w:ascii="Arial" w:cs="Arial" w:eastAsia="Arial" w:hAnsi="Arial"/>
                <w:b/>
                <w:bCs/>
                <w:color w:val="FFFFFF"/>
                <w:sz w:val="20"/>
                <w:szCs w:val="20"/>
              </w:rPr>
              <w:t xml:space="preserve">Base légale</w:t>
            </w:r>
          </w:p>
        </w:tc>
        <w:tc>
          <w:tcPr>
            <w:tcW w:type="dxa" w:w="1500"/>
            <w:tcBorders>
              <w:top w:val="single" w:color="CCCCCC" w:sz="1"/>
              <w:left w:val="single" w:color="CCCCCC" w:sz="1"/>
              <w:bottom w:val="single" w:color="CCCCCC" w:sz="1"/>
              <w:right w:val="single" w:color="CCCCCC" w:sz="1"/>
            </w:tcBorders>
            <w:shd w:fill="1B3C87" w:val="clear"/>
            <w:tcMar>
              <w:top w:type="dxa" w:w="80"/>
              <w:left w:type="dxa" w:w="100"/>
              <w:bottom w:type="dxa" w:w="80"/>
              <w:right w:type="dxa" w:w="100"/>
            </w:tcMar>
          </w:tcPr>
          <w:p>
            <w:r>
              <w:rPr>
                <w:rFonts w:ascii="Arial" w:cs="Arial" w:eastAsia="Arial" w:hAnsi="Arial"/>
                <w:b/>
                <w:bCs/>
                <w:color w:val="FFFFFF"/>
                <w:sz w:val="20"/>
                <w:szCs w:val="20"/>
              </w:rPr>
              <w:t xml:space="preserve">Durée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Gestion du compte</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Création et administration du compte utilisateur</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Exécution du contrat (art. 6.1.b)</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Durée du compte + 3 ans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KYC / Vérification ID</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Sécurité et lutte contre la fraude</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Obligation légale (art. 6.1.c)</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5 ans après clôture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Transactions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Gestion des paiements et remboursements</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Exécution du contrat (art. 6.1.b)</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10 ans (comptabilité)</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Mise en relation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Affichage des annonces, réservations</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Exécution du contrat (art. 6.1.b)</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Durée d’activité</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Communication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Emails transactionnels, notifications</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Exécution du contrat (art. 6.1.b)</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Durée du compte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Marketing</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Newsletters, offres commerciales</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Consentement (art. 6.1.a)</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3 ans ou retrait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Statistiques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Amélioration de la plateforme</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Intérêt légitime (art. 6.1.f)</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13 mois (cookies)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Litiges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Défense des droits en justice</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Intérêt légitime (art. 6.1.f)</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Durée de la procédure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Obligations fiscales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Déclaration revenus (art. 242 bis CGI)</w:t>
            </w:r>
          </w:p>
        </w:tc>
        <w:tc>
          <w:tcPr>
            <w:tcW w:type="dxa" w:w="25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Obligation légale (art. 6.1.c)</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10 ans</w:t>
            </w:r>
          </w:p>
        </w:tc>
      </w:tr>
    </w:tbl>
    <w:p>
      <w:pPr>
        <w:pStyle w:val="Heading1"/>
        <w:pBdr>
          <w:bottom w:val="single" w:color="1B3C87" w:sz="4" w:space="4"/>
        </w:pBdr>
        <w:spacing w:after="160" w:before="400"/>
      </w:pPr>
      <w:r>
        <w:rPr>
          <w:rFonts w:ascii="Arial" w:cs="Arial" w:eastAsia="Arial" w:hAnsi="Arial"/>
          <w:b/>
          <w:bCs/>
          <w:color w:val="1B3C87"/>
          <w:sz w:val="28"/>
          <w:szCs w:val="28"/>
        </w:rPr>
        <w:t xml:space="preserve">ARTICLE 4 — DESTINATAIRES DES DONNÉES</w:t>
      </w:r>
    </w:p>
    <w:p>
      <w:pPr>
        <w:spacing w:after="80" w:before="80"/>
      </w:pPr>
      <w:r>
        <w:rPr>
          <w:rFonts w:ascii="Arial" w:cs="Arial" w:eastAsia="Arial" w:hAnsi="Arial"/>
          <w:sz w:val="22"/>
          <w:szCs w:val="22"/>
        </w:rPr>
        <w:t xml:space="preserve">Les données personnelles peuvent être transmises aux catégories de destinataires suivantes :</w:t>
      </w:r>
    </w:p>
    <w:p>
      <w:pPr>
        <w:pStyle w:val="ListParagraph"/>
        <w:numPr>
          <w:ilvl w:val="0"/>
          <w:numId w:val="2"/>
        </w:numPr>
        <w:spacing w:after="60" w:before="60"/>
      </w:pPr>
      <w:r>
        <w:rPr>
          <w:rFonts w:ascii="Arial" w:cs="Arial" w:eastAsia="Arial" w:hAnsi="Arial"/>
          <w:sz w:val="22"/>
          <w:szCs w:val="22"/>
        </w:rPr>
        <w:t xml:space="preserve">Prestataires de paiement (ex. Stripe, Mangopay) : dans la stricte limite du traitement des paiements</w:t>
      </w:r>
    </w:p>
    <w:p>
      <w:pPr>
        <w:pStyle w:val="ListParagraph"/>
        <w:numPr>
          <w:ilvl w:val="0"/>
          <w:numId w:val="2"/>
        </w:numPr>
        <w:spacing w:after="60" w:before="60"/>
      </w:pPr>
      <w:r>
        <w:rPr>
          <w:rFonts w:ascii="Arial" w:cs="Arial" w:eastAsia="Arial" w:hAnsi="Arial"/>
          <w:sz w:val="22"/>
          <w:szCs w:val="22"/>
        </w:rPr>
        <w:t xml:space="preserve">Prestataires KYC (ex. Sumsub, Onfido) : pour la vérification d’identité</w:t>
      </w:r>
    </w:p>
    <w:p>
      <w:pPr>
        <w:pStyle w:val="ListParagraph"/>
        <w:numPr>
          <w:ilvl w:val="0"/>
          <w:numId w:val="2"/>
        </w:numPr>
        <w:spacing w:after="60" w:before="60"/>
      </w:pPr>
      <w:r>
        <w:rPr>
          <w:rFonts w:ascii="Arial" w:cs="Arial" w:eastAsia="Arial" w:hAnsi="Arial"/>
          <w:sz w:val="22"/>
          <w:szCs w:val="22"/>
        </w:rPr>
        <w:t xml:space="preserve">Hébergeurs et prestataires techniques : dans le cadre de l’exploitation de la plateforme</w:t>
      </w:r>
    </w:p>
    <w:p>
      <w:pPr>
        <w:pStyle w:val="ListParagraph"/>
        <w:numPr>
          <w:ilvl w:val="0"/>
          <w:numId w:val="2"/>
        </w:numPr>
        <w:spacing w:after="60" w:before="60"/>
      </w:pPr>
      <w:r>
        <w:rPr>
          <w:rFonts w:ascii="Arial" w:cs="Arial" w:eastAsia="Arial" w:hAnsi="Arial"/>
          <w:sz w:val="22"/>
          <w:szCs w:val="22"/>
        </w:rPr>
        <w:t xml:space="preserve">Autorités fiscales et administratives : sur réquisition légale</w:t>
      </w:r>
    </w:p>
    <w:p>
      <w:pPr>
        <w:pStyle w:val="ListParagraph"/>
        <w:numPr>
          <w:ilvl w:val="0"/>
          <w:numId w:val="2"/>
        </w:numPr>
        <w:spacing w:after="60" w:before="60"/>
      </w:pPr>
      <w:r>
        <w:rPr>
          <w:rFonts w:ascii="Arial" w:cs="Arial" w:eastAsia="Arial" w:hAnsi="Arial"/>
          <w:sz w:val="22"/>
          <w:szCs w:val="22"/>
        </w:rPr>
        <w:t xml:space="preserve">Autres utilisateurs : uniquement les informations nécessaires à la mise en relation (prénom, photo, évaluations)</w:t>
      </w:r>
    </w:p>
    <w:p>
      <w:pPr>
        <w:spacing w:after="60" w:before="60"/>
      </w:pPr>
      <w:r>
        <w:t xml:space="preserve"/>
      </w:r>
    </w:p>
    <w:p>
      <w:pPr>
        <w:spacing w:after="80" w:before="80"/>
      </w:pPr>
      <w:r>
        <w:rPr>
          <w:rFonts w:ascii="Arial" w:cs="Arial" w:eastAsia="Arial" w:hAnsi="Arial"/>
          <w:b/>
          <w:bCs/>
          <w:sz w:val="22"/>
          <w:szCs w:val="22"/>
        </w:rPr>
        <w:t xml:space="preserve">Aucune donnée n’est vendue à des tiers à des fins commerciales.</w:t>
      </w:r>
    </w:p>
    <w:p>
      <w:pPr>
        <w:pStyle w:val="Heading1"/>
        <w:pBdr>
          <w:bottom w:val="single" w:color="1B3C87" w:sz="4" w:space="4"/>
        </w:pBdr>
        <w:spacing w:after="160" w:before="400"/>
      </w:pPr>
      <w:r>
        <w:rPr>
          <w:rFonts w:ascii="Arial" w:cs="Arial" w:eastAsia="Arial" w:hAnsi="Arial"/>
          <w:b/>
          <w:bCs/>
          <w:color w:val="1B3C87"/>
          <w:sz w:val="28"/>
          <w:szCs w:val="28"/>
        </w:rPr>
        <w:t xml:space="preserve">ARTICLE 5 — TRANSFERTS HORS UE</w:t>
      </w:r>
    </w:p>
    <w:p>
      <w:pPr>
        <w:spacing w:after="80" w:before="80"/>
      </w:pPr>
      <w:r>
        <w:rPr>
          <w:rFonts w:ascii="Arial" w:cs="Arial" w:eastAsia="Arial" w:hAnsi="Arial"/>
          <w:sz w:val="22"/>
          <w:szCs w:val="22"/>
        </w:rPr>
        <w:t xml:space="preserve">Dryvea veille à ce que ses sous-traitants soient établis dans l’Union européenne ou dans des pays reconnus adéquats par la Commission européenne. En cas de transfert vers des pays tiers, des garanties appropriées sont mises en oeuvre (clauses contractuelles types de la Commission européenne).</w:t>
      </w:r>
    </w:p>
    <w:p>
      <w:pPr>
        <w:pStyle w:val="Heading1"/>
        <w:pBdr>
          <w:bottom w:val="single" w:color="1B3C87" w:sz="4" w:space="4"/>
        </w:pBdr>
        <w:spacing w:after="160" w:before="400"/>
      </w:pPr>
      <w:r>
        <w:rPr>
          <w:rFonts w:ascii="Arial" w:cs="Arial" w:eastAsia="Arial" w:hAnsi="Arial"/>
          <w:b/>
          <w:bCs/>
          <w:color w:val="1B3C87"/>
          <w:sz w:val="28"/>
          <w:szCs w:val="28"/>
        </w:rPr>
        <w:t xml:space="preserve">ARTICLE 6 — DROITS DES PERSONNES CONCERNÉES</w:t>
      </w:r>
    </w:p>
    <w:p>
      <w:pPr>
        <w:spacing w:after="80" w:before="80"/>
      </w:pPr>
      <w:r>
        <w:rPr>
          <w:rFonts w:ascii="Arial" w:cs="Arial" w:eastAsia="Arial" w:hAnsi="Arial"/>
          <w:sz w:val="22"/>
          <w:szCs w:val="22"/>
        </w:rPr>
        <w:t xml:space="preserve">Conformément au RGPD et à la loi Informatique et Libertés, vous disposez des droits suivants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d’accès (art. 15)</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Obtenir une copie des données vous concernant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de rectification (art. 16)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Corriger des données inexactes ou incomplètes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à l’effacement (art. 17)</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Demander la suppression de vos données (« droit à l’oubli »)</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à la limitation (art. 18)</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Suspendre temporairement un traitement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à la portabilité (art. 20)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Recevoir vos données dans un format structuré</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d’opposition (art. 21)</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S’opposer à certains traitements (prospection, profiling)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de retrait du consentement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Retirer votre consentement à tout moment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Droit de réclamation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Saisir la CNIL (www.cnil.fr) en cas de litige</w:t>
            </w:r>
          </w:p>
        </w:tc>
      </w:tr>
    </w:tbl>
    <w:p>
      <w:pPr>
        <w:spacing w:after="60" w:before="60"/>
      </w:pPr>
      <w:r>
        <w:t xml:space="preserve"/>
      </w:r>
    </w:p>
    <w:p>
      <w:pPr>
        <w:spacing w:after="80" w:before="80"/>
      </w:pPr>
      <w:r>
        <w:rPr>
          <w:rFonts w:ascii="Arial" w:cs="Arial" w:eastAsia="Arial" w:hAnsi="Arial"/>
          <w:sz w:val="22"/>
          <w:szCs w:val="22"/>
        </w:rPr>
        <w:t xml:space="preserve">Pour exercer vos droits : rgpd@dryvea.fr ou par courrier au siège social. Réponse sous 30 jours.</w:t>
      </w:r>
    </w:p>
    <w:p>
      <w:pPr>
        <w:pStyle w:val="Heading1"/>
        <w:pBdr>
          <w:bottom w:val="single" w:color="1B3C87" w:sz="4" w:space="4"/>
        </w:pBdr>
        <w:spacing w:after="160" w:before="400"/>
      </w:pPr>
      <w:r>
        <w:rPr>
          <w:rFonts w:ascii="Arial" w:cs="Arial" w:eastAsia="Arial" w:hAnsi="Arial"/>
          <w:b/>
          <w:bCs/>
          <w:color w:val="1B3C87"/>
          <w:sz w:val="28"/>
          <w:szCs w:val="28"/>
        </w:rPr>
        <w:t xml:space="preserve">ARTICLE 7 — COOKIES</w:t>
      </w:r>
    </w:p>
    <w:p>
      <w:pPr>
        <w:pStyle w:val="Heading2"/>
        <w:spacing w:after="100" w:before="240"/>
      </w:pPr>
      <w:r>
        <w:rPr>
          <w:rFonts w:ascii="Arial" w:cs="Arial" w:eastAsia="Arial" w:hAnsi="Arial"/>
          <w:b/>
          <w:bCs/>
          <w:color w:val="1A1A2E"/>
          <w:sz w:val="24"/>
          <w:szCs w:val="24"/>
        </w:rPr>
        <w:t xml:space="preserve">7.1 Types de cookies utilisés</w:t>
      </w:r>
    </w:p>
    <w:p>
      <w:pPr>
        <w:pStyle w:val="ListParagraph"/>
        <w:numPr>
          <w:ilvl w:val="0"/>
          <w:numId w:val="2"/>
        </w:numPr>
        <w:spacing w:after="60" w:before="60"/>
      </w:pPr>
      <w:r>
        <w:rPr>
          <w:rFonts w:ascii="Arial" w:cs="Arial" w:eastAsia="Arial" w:hAnsi="Arial"/>
          <w:sz w:val="22"/>
          <w:szCs w:val="22"/>
        </w:rPr>
        <w:t xml:space="preserve">Cookies essentiels : nécessaires au fonctionnement de la plateforme (pas de consentement requis)</w:t>
      </w:r>
    </w:p>
    <w:p>
      <w:pPr>
        <w:pStyle w:val="ListParagraph"/>
        <w:numPr>
          <w:ilvl w:val="0"/>
          <w:numId w:val="2"/>
        </w:numPr>
        <w:spacing w:after="60" w:before="60"/>
      </w:pPr>
      <w:r>
        <w:rPr>
          <w:rFonts w:ascii="Arial" w:cs="Arial" w:eastAsia="Arial" w:hAnsi="Arial"/>
          <w:sz w:val="22"/>
          <w:szCs w:val="22"/>
        </w:rPr>
        <w:t xml:space="preserve">Cookies analytiques : mesure d’audience, amélioration de l’expérience (consentement requis)</w:t>
      </w:r>
    </w:p>
    <w:p>
      <w:pPr>
        <w:pStyle w:val="ListParagraph"/>
        <w:numPr>
          <w:ilvl w:val="0"/>
          <w:numId w:val="2"/>
        </w:numPr>
        <w:spacing w:after="60" w:before="60"/>
      </w:pPr>
      <w:r>
        <w:rPr>
          <w:rFonts w:ascii="Arial" w:cs="Arial" w:eastAsia="Arial" w:hAnsi="Arial"/>
          <w:sz w:val="22"/>
          <w:szCs w:val="22"/>
        </w:rPr>
        <w:t xml:space="preserve">Cookies de préférences : sauvegarde de vos paramètres (consentement requis)</w:t>
      </w:r>
    </w:p>
    <w:p>
      <w:pPr>
        <w:pStyle w:val="Heading2"/>
        <w:spacing w:after="100" w:before="240"/>
      </w:pPr>
      <w:r>
        <w:rPr>
          <w:rFonts w:ascii="Arial" w:cs="Arial" w:eastAsia="Arial" w:hAnsi="Arial"/>
          <w:b/>
          <w:bCs/>
          <w:color w:val="1A1A2E"/>
          <w:sz w:val="24"/>
          <w:szCs w:val="24"/>
        </w:rPr>
        <w:t xml:space="preserve">7.2 Gestion des cookies</w:t>
      </w:r>
    </w:p>
    <w:p>
      <w:pPr>
        <w:spacing w:after="80" w:before="80"/>
      </w:pPr>
      <w:r>
        <w:rPr>
          <w:rFonts w:ascii="Arial" w:cs="Arial" w:eastAsia="Arial" w:hAnsi="Arial"/>
          <w:sz w:val="22"/>
          <w:szCs w:val="22"/>
        </w:rPr>
        <w:t xml:space="preserve">Un bandeau de consentement conforme aux recommandations de la CNIL est affiché lors de votre première visite. Vous pouvez modifier vos préférences à tout moment via le centre de gestion des cookies accessible depuis chaque page.</w:t>
      </w:r>
    </w:p>
    <w:p>
      <w:pPr>
        <w:pStyle w:val="Heading1"/>
        <w:pBdr>
          <w:bottom w:val="single" w:color="1B3C87" w:sz="4" w:space="4"/>
        </w:pBdr>
        <w:spacing w:after="160" w:before="400"/>
      </w:pPr>
      <w:r>
        <w:rPr>
          <w:rFonts w:ascii="Arial" w:cs="Arial" w:eastAsia="Arial" w:hAnsi="Arial"/>
          <w:b/>
          <w:bCs/>
          <w:color w:val="1B3C87"/>
          <w:sz w:val="28"/>
          <w:szCs w:val="28"/>
        </w:rPr>
        <w:t xml:space="preserve">ARTICLE 8 — SÉCURITÉ DES DONNÉES</w:t>
      </w:r>
    </w:p>
    <w:p>
      <w:pPr>
        <w:spacing w:after="80" w:before="80"/>
      </w:pPr>
      <w:r>
        <w:rPr>
          <w:rFonts w:ascii="Arial" w:cs="Arial" w:eastAsia="Arial" w:hAnsi="Arial"/>
          <w:sz w:val="22"/>
          <w:szCs w:val="22"/>
        </w:rPr>
        <w:t xml:space="preserve">Dryvea met en oeuvre des mesures techniques et organisationnelles appropriées pour protéger les données personnelles contre tout accès non autorisé, perte, destruction ou altération. En cas de violation de données à caractère personnel, Dryvea s’engage à notifier la CNIL dans les 72 heures (art. 33 RGPD) et les personnes concernées si le risque est élevé (art. 34 RGPD).</w:t>
      </w:r>
    </w:p>
    <w:p>
      <w:pPr>
        <w:pStyle w:val="Heading1"/>
        <w:pBdr>
          <w:bottom w:val="single" w:color="1B3C87" w:sz="4" w:space="4"/>
        </w:pBdr>
        <w:spacing w:after="160" w:before="400"/>
      </w:pPr>
      <w:r>
        <w:rPr>
          <w:rFonts w:ascii="Arial" w:cs="Arial" w:eastAsia="Arial" w:hAnsi="Arial"/>
          <w:b/>
          <w:bCs/>
          <w:color w:val="1B3C87"/>
          <w:sz w:val="28"/>
          <w:szCs w:val="28"/>
        </w:rPr>
        <w:t xml:space="preserve">ARTICLE 9 — MODIFICATION DE LA POLITIQUE</w:t>
      </w:r>
    </w:p>
    <w:p>
      <w:pPr>
        <w:spacing w:after="80" w:before="80"/>
      </w:pPr>
      <w:r>
        <w:rPr>
          <w:rFonts w:ascii="Arial" w:cs="Arial" w:eastAsia="Arial" w:hAnsi="Arial"/>
          <w:sz w:val="22"/>
          <w:szCs w:val="22"/>
        </w:rPr>
        <w:t xml:space="preserve">La présente politique de confidentialité peut être modifiée. La version en vigueur est toujours disponible sur la plateforme. En cas de modification substantielle, vous serez informé par e-mail au moins 30 jours avant son entrée en vigueur.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Dryvea — Politique de Confidentialité — Conforme RGPD (UE) 2016/679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C87" w:sz="4" w:space="4"/>
      </w:pBdr>
    </w:pPr>
    <w:r>
      <w:rPr>
        <w:rFonts w:ascii="Arial" w:cs="Arial" w:eastAsia="Arial" w:hAnsi="Arial"/>
        <w:b/>
        <w:bCs/>
        <w:color w:val="1B3C87"/>
        <w:sz w:val="22"/>
        <w:szCs w:val="22"/>
      </w:rPr>
      <w:t xml:space="preserve">DRYVEA</w:t>
    </w:r>
    <w:r>
      <w:rPr>
        <w:rFonts w:ascii="Arial" w:cs="Arial" w:eastAsia="Arial" w:hAnsi="Arial"/>
        <w:color w:val="666666"/>
        <w:sz w:val="20"/>
        <w:szCs w:val="20"/>
      </w:rPr>
      <w:t xml:space="preserve">  |  Politique de Confidentialité (RGPD)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C8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2026-06-24T07:36:28.595Z</dcterms:created>
  <dcterms:modified xsi:type="dcterms:W3CDTF">2026-06-24T07:36:28.595Z</dcterms:modified>
</cp:coreProperties>
</file>

<file path=docProps/custom.xml><?xml version="1.0" encoding="utf-8"?>
<Properties xmlns="http://schemas.openxmlformats.org/officeDocument/2006/custom-properties" xmlns:vt="http://schemas.openxmlformats.org/officeDocument/2006/docPropsVTypes"/>
</file>