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taxonomic-relationships-of-urban-tissues"/>
    <w:p>
      <w:pPr>
        <w:pStyle w:val="Heading1"/>
      </w:pPr>
      <w:r>
        <w:t xml:space="preserve">Taxonomic relationships of urban tissues</w:t>
      </w:r>
    </w:p>
    <w:p>
      <w:pPr>
        <w:pStyle w:val="FirstParagraph"/>
      </w:pPr>
      <w:r>
        <w:t xml:space="preserve">The previous chapters introduced the framework implementing</w:t>
      </w:r>
      <w:r>
        <w:t xml:space="preserve"> </w:t>
      </w:r>
      <w:r>
        <w:t xml:space="preserve">comprehensive urban morphometrics on a metropolitan scale. Based on the</w:t>
      </w:r>
      <w:r>
        <w:t xml:space="preserve"> </w:t>
      </w:r>
      <w:r>
        <w:t xml:space="preserve">selection of measurable characters, it established a method of a</w:t>
      </w:r>
      <w:r>
        <w:t xml:space="preserve"> </w:t>
      </w:r>
      <w:r>
        <w:t xml:space="preserve">complex description of urban form on the granularity of individual</w:t>
      </w:r>
      <w:r>
        <w:t xml:space="preserve"> </w:t>
      </w:r>
      <w:r>
        <w:t xml:space="preserve">buildings. As reported, derived information then enabled the</w:t>
      </w:r>
      <w:r>
        <w:t xml:space="preserve"> </w:t>
      </w:r>
      <w:r>
        <w:t xml:space="preserve">identification of urban tissue types within urban form. Consequent</w:t>
      </w:r>
      <w:r>
        <w:t xml:space="preserve"> </w:t>
      </w:r>
      <w:r>
        <w:t xml:space="preserve">results of the cluster analysis indicate the validity of the</w:t>
      </w:r>
      <w:r>
        <w:t xml:space="preserve"> </w:t>
      </w:r>
      <w:r>
        <w:t xml:space="preserve">morphometric method in recognition of urban form patterns and the</w:t>
      </w:r>
      <w:r>
        <w:t xml:space="preserve"> </w:t>
      </w:r>
      <w:r>
        <w:t xml:space="preserve">potential for both additional subdivision and upscaling of the model.</w:t>
      </w:r>
    </w:p>
    <w:p>
      <w:pPr>
        <w:pStyle w:val="BodyText"/>
      </w:pPr>
      <w:r>
        <w:t xml:space="preserve">In this chapter, therefore, the observed clusters are employed in the</w:t>
      </w:r>
      <w:r>
        <w:t xml:space="preserve"> </w:t>
      </w:r>
      <w:r>
        <w:t xml:space="preserve">role of input data and investigated from two perspectives - 1)</w:t>
      </w:r>
      <w:r>
        <w:t xml:space="preserve"> </w:t>
      </w:r>
      <w:r>
        <w:t xml:space="preserve">conceptualisation of clusters as</w:t>
      </w:r>
      <w:r>
        <w:t xml:space="preserve"> </w:t>
      </w:r>
      <w:r>
        <w:rPr>
          <w:iCs/>
          <w:i/>
        </w:rPr>
        <w:t xml:space="preserve">OTUs</w:t>
      </w:r>
      <w:r>
        <w:t xml:space="preserve">, leading to the taxonomic</w:t>
      </w:r>
      <w:r>
        <w:t xml:space="preserve"> </w:t>
      </w:r>
      <w:r>
        <w:t xml:space="preserve">classification, 2) validity of clusters as a proxy of urban tissues via</w:t>
      </w:r>
      <w:r>
        <w:t xml:space="preserve"> </w:t>
      </w:r>
      <w:r>
        <w:t xml:space="preserve">assessment of relation to additional data, the transferability of the</w:t>
      </w:r>
      <w:r>
        <w:t xml:space="preserve"> </w:t>
      </w:r>
      <w:r>
        <w:t xml:space="preserve">method to the different geographical context, and expandability of the</w:t>
      </w:r>
      <w:r>
        <w:t xml:space="preserve"> </w:t>
      </w:r>
      <w:r>
        <w:t xml:space="preserve">taxonomy.</w:t>
      </w:r>
    </w:p>
    <w:p>
      <w:pPr>
        <w:pStyle w:val="BodyText"/>
      </w:pPr>
      <w:r>
        <w:t xml:space="preserve">This chapter relates to chapter 3 and introduces numerical taxonomy of</w:t>
      </w:r>
      <w:r>
        <w:t xml:space="preserve"> </w:t>
      </w:r>
      <w:r>
        <w:t xml:space="preserve">urban tissues. The resulting classification is subsequently validated</w:t>
      </w:r>
      <w:r>
        <w:t xml:space="preserve"> </w:t>
      </w:r>
      <w:r>
        <w:t xml:space="preserve">together with initial clusters based on the study of its relationship</w:t>
      </w:r>
      <w:r>
        <w:t xml:space="preserve"> </w:t>
      </w:r>
      <w:r>
        <w:t xml:space="preserve">to the supplementary, non-morphological data known to be descriptive of</w:t>
      </w:r>
      <w:r>
        <w:t xml:space="preserve"> </w:t>
      </w:r>
      <w:r>
        <w:t xml:space="preserve">urban form. Finally, the case study of Amsterdam is included to examine</w:t>
      </w:r>
      <w:r>
        <w:t xml:space="preserve"> </w:t>
      </w:r>
      <w:r>
        <w:t xml:space="preserve">the ability of the proposed morphometric framework to identify urban</w:t>
      </w:r>
      <w:r>
        <w:t xml:space="preserve"> </w:t>
      </w:r>
      <w:r>
        <w:t xml:space="preserve">tissues in the context of another heterogeneous historical city,</w:t>
      </w:r>
      <w:r>
        <w:t xml:space="preserve"> </w:t>
      </w:r>
      <w:r>
        <w:t xml:space="preserve">although of different patterns of development.</w:t>
      </w:r>
    </w:p>
    <w:p>
      <w:pPr>
        <w:pStyle w:val="BodyText"/>
      </w:pPr>
      <w:r>
        <w:t xml:space="preserve">Structurally, this chapter is divided into two major parts. It first</w:t>
      </w:r>
      <w:r>
        <w:t xml:space="preserve"> </w:t>
      </w:r>
      <w:r>
        <w:t xml:space="preserve">outlines the need for a classification of urban tissues (section ) and</w:t>
      </w:r>
      <w:r>
        <w:t xml:space="preserve"> </w:t>
      </w:r>
      <w:r>
        <w:t xml:space="preserve">bridges the concept of numerical taxonomy from chapter 3 to the context</w:t>
      </w:r>
      <w:r>
        <w:t xml:space="preserve"> </w:t>
      </w:r>
      <w:r>
        <w:t xml:space="preserve">of morphometric tissue types (section ). Furthermore, it explains the</w:t>
      </w:r>
      <w:r>
        <w:t xml:space="preserve"> </w:t>
      </w:r>
      <w:r>
        <w:t xml:space="preserve">importance of validation and two validation models used within this</w:t>
      </w:r>
      <w:r>
        <w:t xml:space="preserve"> </w:t>
      </w:r>
      <w:r>
        <w:t xml:space="preserve">study (section ).</w:t>
      </w:r>
    </w:p>
    <w:p>
      <w:pPr>
        <w:pStyle w:val="BodyText"/>
      </w:pPr>
      <w:r>
        <w:t xml:space="preserve">The two major parts are Methodological proposition (section ) and Case</w:t>
      </w:r>
      <w:r>
        <w:t xml:space="preserve"> </w:t>
      </w:r>
      <w:r>
        <w:t xml:space="preserve">studies (section ). The structure of the methodological section is</w:t>
      </w:r>
      <w:r>
        <w:t xml:space="preserve"> </w:t>
      </w:r>
      <w:r>
        <w:t xml:space="preserve">reflected in the structure of case studies, having each part of the</w:t>
      </w:r>
      <w:r>
        <w:t xml:space="preserve"> </w:t>
      </w:r>
      <w:r>
        <w:t xml:space="preserve">proposed method tested in the relevant part of the associated case</w:t>
      </w:r>
      <w:r>
        <w:t xml:space="preserve"> </w:t>
      </w:r>
      <w:r>
        <w:t xml:space="preserve">studies section.</w:t>
      </w:r>
    </w:p>
    <w:p>
      <w:pPr>
        <w:pStyle w:val="BodyText"/>
      </w:pPr>
      <w:r>
        <w:t xml:space="preserve">Methodological propositions first introduce the method of hierarchical</w:t>
      </w:r>
      <w:r>
        <w:t xml:space="preserve"> </w:t>
      </w:r>
      <w:r>
        <w:t xml:space="preserve">clustering, leading to the taxonomy of urban tissues (section ).</w:t>
      </w:r>
      <w:r>
        <w:t xml:space="preserve"> </w:t>
      </w:r>
      <w:r>
        <w:t xml:space="preserve">Moreover, the results are utilised in the next section establishing the</w:t>
      </w:r>
      <w:r>
        <w:t xml:space="preserve"> </w:t>
      </w:r>
      <w:r>
        <w:t xml:space="preserve">method of validation of identified urban tissues and their taxonomy,</w:t>
      </w:r>
      <w:r>
        <w:t xml:space="preserve"> </w:t>
      </w:r>
      <w:r>
        <w:t xml:space="preserve">using data on historical origin, land-use patterns and qualitative</w:t>
      </w:r>
      <w:r>
        <w:t xml:space="preserve"> </w:t>
      </w:r>
      <w:r>
        <w:t xml:space="preserve">classification of urban areas. Finally, the second part of the section</w:t>
      </w:r>
      <w:r>
        <w:t xml:space="preserve"> </w:t>
      </w:r>
      <w:r>
        <w:t xml:space="preserve">brings in another case study (Amsterdam) and presents the method of</w:t>
      </w:r>
      <w:r>
        <w:t xml:space="preserve"> </w:t>
      </w:r>
      <w:r>
        <w:t xml:space="preserve">evaluation of transferability of the morphometric assessment. The</w:t>
      </w:r>
      <w:r>
        <w:t xml:space="preserve"> </w:t>
      </w:r>
      <w:r>
        <w:t xml:space="preserve">evaluation focuses on the identification of urban tissue types, their</w:t>
      </w:r>
      <w:r>
        <w:t xml:space="preserve"> </w:t>
      </w:r>
      <w:r>
        <w:t xml:space="preserve">hierarchical classification and combination of two geographically</w:t>
      </w:r>
      <w:r>
        <w:t xml:space="preserve"> </w:t>
      </w:r>
      <w:r>
        <w:t xml:space="preserve">distinct datasets to a single taxonomy, examining the expandability of</w:t>
      </w:r>
      <w:r>
        <w:t xml:space="preserve"> </w:t>
      </w:r>
      <w:r>
        <w:t xml:space="preserve">the method. Following section presents the results of the proposed</w:t>
      </w:r>
      <w:r>
        <w:t xml:space="preserve"> </w:t>
      </w:r>
      <w:r>
        <w:t xml:space="preserve">method applied to case studies in the same order and hierarchy of</w:t>
      </w:r>
      <w:r>
        <w:t xml:space="preserve"> </w:t>
      </w:r>
      <w:r>
        <w:t xml:space="preserve">sections.</w:t>
      </w:r>
    </w:p>
    <w:p>
      <w:pPr>
        <w:pStyle w:val="BodyText"/>
      </w:pPr>
      <w:r>
        <w:t xml:space="preserve">The final section () of the chapter summarises the findings and</w:t>
      </w:r>
      <w:r>
        <w:t xml:space="preserve"> </w:t>
      </w:r>
      <w:r>
        <w:t xml:space="preserve">prepares the foundation for chapter 9, synthesising and discussing the</w:t>
      </w:r>
      <w:r>
        <w:t xml:space="preserve"> </w:t>
      </w:r>
      <w:r>
        <w:t xml:space="preserve">whole research.</w:t>
      </w:r>
    </w:p>
    <w:bookmarkStart w:id="22" w:name="classification-and-validation"/>
    <w:p>
      <w:pPr>
        <w:pStyle w:val="Heading2"/>
      </w:pPr>
      <w:r>
        <w:t xml:space="preserve">Classification and validation</w:t>
      </w:r>
    </w:p>
    <w:p>
      <w:pPr>
        <w:pStyle w:val="FirstParagraph"/>
      </w:pPr>
      <w:r>
        <w:t xml:space="preserve">The urban tissue types presented in the previous chapter are all seen</w:t>
      </w:r>
      <w:r>
        <w:t xml:space="preserve"> </w:t>
      </w:r>
      <w:r>
        <w:t xml:space="preserve">as equal, meaning that there is no specified relationship between them</w:t>
      </w:r>
      <w:r>
        <w:t xml:space="preserve"> </w:t>
      </w:r>
      <w:r>
        <w:t xml:space="preserve">at this stage. However, the degree of similarity between individual</w:t>
      </w:r>
      <w:r>
        <w:t xml:space="preserve"> </w:t>
      </w:r>
      <w:r>
        <w:t xml:space="preserve">clusters varies and can be quantified. Therefore, a numerical</w:t>
      </w:r>
      <w:r>
        <w:t xml:space="preserve"> </w:t>
      </w:r>
      <w:r>
        <w:t xml:space="preserve">representation of similarity, based on already measured morphometric</w:t>
      </w:r>
      <w:r>
        <w:t xml:space="preserve"> </w:t>
      </w:r>
      <w:r>
        <w:t xml:space="preserve">characters, becomes a basis for the further classification of urban</w:t>
      </w:r>
      <w:r>
        <w:t xml:space="preserve"> </w:t>
      </w:r>
      <w:r>
        <w:t xml:space="preserve">tissues.</w:t>
      </w:r>
    </w:p>
    <w:p>
      <w:pPr>
        <w:pStyle w:val="BodyText"/>
      </w:pPr>
      <w:r>
        <w:t xml:space="preserve">As illustrated in chapter 2, there have been attempts to deliver</w:t>
      </w:r>
      <w:r>
        <w:t xml:space="preserve"> </w:t>
      </w:r>
      <w:r>
        <w:t xml:space="preserve">classification frameworks, some even taking hierarchical structure but</w:t>
      </w:r>
      <w:r>
        <w:t xml:space="preserve"> </w:t>
      </w:r>
      <w:r>
        <w:t xml:space="preserve">still deviating from the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. This section</w:t>
      </w:r>
      <w:r>
        <w:t xml:space="preserve"> </w:t>
      </w:r>
      <w:r>
        <w:t xml:space="preserve">proposes the application of the biological model of classification in</w:t>
      </w:r>
      <w:r>
        <w:t xml:space="preserve"> </w:t>
      </w:r>
      <w:r>
        <w:t xml:space="preserve">the form of a numerical taxonomy leading to the establishing</w:t>
      </w:r>
      <w:r>
        <w:t xml:space="preserve"> </w:t>
      </w:r>
      <w:r>
        <w:t xml:space="preserve">hierarchical classification as a conceptual basis for the</w:t>
      </w:r>
      <w:r>
        <w:t xml:space="preserve"> </w:t>
      </w:r>
      <w:r>
        <w:rPr>
          <w:iCs/>
          <w:i/>
        </w:rPr>
        <w:t xml:space="preserve">atlas of</w:t>
      </w:r>
      <w:r>
        <w:rPr>
          <w:iCs/>
          <w:i/>
        </w:rPr>
        <w:t xml:space="preserve"> </w:t>
      </w:r>
      <w:r>
        <w:rPr>
          <w:iCs/>
          <w:i/>
        </w:rPr>
        <w:t xml:space="preserve">urban form.</w:t>
      </w:r>
    </w:p>
    <w:p>
      <w:pPr>
        <w:pStyle w:val="BodyText"/>
      </w:pPr>
      <w:r>
        <w:t xml:space="preserve">However, the model of identification of urban tissues and their</w:t>
      </w:r>
      <w:r>
        <w:t xml:space="preserve"> </w:t>
      </w:r>
      <w:r>
        <w:t xml:space="preserve">classification needs to be validated. There are two critical questions</w:t>
      </w:r>
      <w:r>
        <w:t xml:space="preserve"> </w:t>
      </w:r>
      <w:r>
        <w:t xml:space="preserve">regarding the validity which needs to be answered:</w:t>
      </w:r>
    </w:p>
    <w:p>
      <w:pPr>
        <w:numPr>
          <w:ilvl w:val="0"/>
          <w:numId w:val="1001"/>
        </w:numPr>
        <w:pStyle w:val="Compact"/>
      </w:pPr>
      <w:r>
        <w:t xml:space="preserve">Are morphometric clusters a valid proxy of urban tissue types?</w:t>
      </w:r>
    </w:p>
    <w:p>
      <w:pPr>
        <w:numPr>
          <w:ilvl w:val="0"/>
          <w:numId w:val="1001"/>
        </w:numPr>
        <w:pStyle w:val="Compact"/>
      </w:pPr>
      <w:r>
        <w:t xml:space="preserve">Is the method transferable outside of the context of the initial</w:t>
      </w:r>
      <w:r>
        <w:t xml:space="preserve"> </w:t>
      </w:r>
      <w:r>
        <w:t xml:space="preserve">case study?</w:t>
      </w:r>
    </w:p>
    <w:p>
      <w:pPr>
        <w:pStyle w:val="FirstParagraph"/>
      </w:pPr>
      <w:r>
        <w:t xml:space="preserve">To answer the first question, this chapter introduces a validation as</w:t>
      </w:r>
      <w:r>
        <w:t xml:space="preserve"> </w:t>
      </w:r>
      <w:r>
        <w:t xml:space="preserve">an assessment of the relation of the tissue types and their taxonomy to</w:t>
      </w:r>
      <w:r>
        <w:t xml:space="preserve"> </w:t>
      </w:r>
      <w:r>
        <w:t xml:space="preserve">additional data, which are known to be linked to the form of cities.</w:t>
      </w:r>
      <w:r>
        <w:t xml:space="preserve"> </w:t>
      </w:r>
      <w:r>
        <w:t xml:space="preserve">The significant relationship between them and proposed clustering and</w:t>
      </w:r>
      <w:r>
        <w:t xml:space="preserve"> </w:t>
      </w:r>
      <w:r>
        <w:t xml:space="preserve">therefore, the classification would indicate their validity and the</w:t>
      </w:r>
      <w:r>
        <w:t xml:space="preserve"> </w:t>
      </w:r>
      <w:r>
        <w:t xml:space="preserve">validity of the proposed method. The second question requires the</w:t>
      </w:r>
      <w:r>
        <w:t xml:space="preserve"> </w:t>
      </w:r>
      <w:r>
        <w:t xml:space="preserve">inclusion of another case study from a different geographical and</w:t>
      </w:r>
      <w:r>
        <w:t xml:space="preserve"> </w:t>
      </w:r>
      <w:r>
        <w:t xml:space="preserve">historical context. Clusters identified in that case study should be</w:t>
      </w:r>
      <w:r>
        <w:t xml:space="preserve"> </w:t>
      </w:r>
      <w:r>
        <w:t xml:space="preserve">internally valid and comparable with those identified in Prague.</w:t>
      </w:r>
    </w:p>
    <w:bookmarkStart w:id="20" w:name="taxonomy-of-tissue-types"/>
    <w:p>
      <w:pPr>
        <w:pStyle w:val="Heading3"/>
      </w:pPr>
      <w:r>
        <w:t xml:space="preserve">Taxonomy of tissue types</w:t>
      </w:r>
    </w:p>
    <w:p>
      <w:pPr>
        <w:pStyle w:val="FirstParagraph"/>
      </w:pPr>
      <w:r>
        <w:t xml:space="preserve">Resulting clusters can be theoretically interpreted, in a conceptual</w:t>
      </w:r>
      <w:r>
        <w:t xml:space="preserve"> </w:t>
      </w:r>
      <w:r>
        <w:t xml:space="preserve">sense, as populations and studied as such. Based on the propositions</w:t>
      </w:r>
      <w:r>
        <w:t xml:space="preserve"> </w:t>
      </w:r>
      <w:r>
        <w:t xml:space="preserve">outlined in chapter 3, the biological analogy is taken further in this</w:t>
      </w:r>
      <w:r>
        <w:t xml:space="preserve"> </w:t>
      </w:r>
      <w:r>
        <w:t xml:space="preserve">chapter, to propose a numerical taxonomy of urban form. The operational</w:t>
      </w:r>
      <w:r>
        <w:t xml:space="preserve"> </w:t>
      </w:r>
      <w:r>
        <w:t xml:space="preserve">taxonomic unit (OTU) in this case is a morphometric urban tissue type.</w:t>
      </w:r>
      <w:r>
        <w:t xml:space="preserve"> </w:t>
      </w:r>
      <w:r>
        <w:t xml:space="preserve">Each cluster as a whole is considered as a unit for the classification,</w:t>
      </w:r>
      <w:r>
        <w:t xml:space="preserve"> </w:t>
      </w:r>
      <w:r>
        <w:t xml:space="preserve">conceptually mirroring classification on the level of populations,</w:t>
      </w:r>
      <w:r>
        <w:t xml:space="preserve"> </w:t>
      </w:r>
      <w:r>
        <w:t xml:space="preserve">following the principles of numerical taxonomy [@sneath1973] with</w:t>
      </w:r>
      <w:r>
        <w:t xml:space="preserve"> </w:t>
      </w:r>
      <w:r>
        <w:t xml:space="preserve">only minor adaptations related to the specificity of urban form.</w:t>
      </w:r>
    </w:p>
    <w:p>
      <w:pPr>
        <w:pStyle w:val="BodyText"/>
      </w:pPr>
      <w:r>
        <w:t xml:space="preserve">Urban form is traditionally classified not in a taxonomic, but in a</w:t>
      </w:r>
      <w:r>
        <w:t xml:space="preserve"> </w:t>
      </w:r>
      <w:r>
        <w:t xml:space="preserve">typologic way [@kropf2017]. Where taxonomy is based on quantitative</w:t>
      </w:r>
      <w:r>
        <w:t xml:space="preserve"> </w:t>
      </w:r>
      <w:r>
        <w:t xml:space="preserve">relations between its elements, typology follows conceptual division</w:t>
      </w:r>
      <w:r>
        <w:t xml:space="preserve"> </w:t>
      </w:r>
      <w:r>
        <w:t xml:space="preserve">[@bailey1994]. Both approaches are valid as they assess the same</w:t>
      </w:r>
      <w:r>
        <w:t xml:space="preserve"> </w:t>
      </w:r>
      <w:r>
        <w:t xml:space="preserve">entity (urban form) from a different perspective. Moreover, if the</w:t>
      </w:r>
      <w:r>
        <w:t xml:space="preserve"> </w:t>
      </w:r>
      <w:r>
        <w:t xml:space="preserve">classification results coincide, the method can validate each other.</w:t>
      </w:r>
      <w:r>
        <w:t xml:space="preserve"> </w:t>
      </w:r>
      <w:r>
        <w:t xml:space="preserve">This study aims to explore the potential of quantitative description of</w:t>
      </w:r>
      <w:r>
        <w:t xml:space="preserve"> </w:t>
      </w:r>
      <w:r>
        <w:t xml:space="preserve">urban form. Hence it is natural that it chooses the path of taxonomy.</w:t>
      </w:r>
    </w:p>
    <w:p>
      <w:pPr>
        <w:pStyle w:val="BodyText"/>
      </w:pPr>
      <w:r>
        <w:t xml:space="preserve">The taxonomy results in the hierarchical tree capturing the</w:t>
      </w:r>
      <w:r>
        <w:t xml:space="preserve"> </w:t>
      </w:r>
      <w:r>
        <w:t xml:space="preserve">relationship of clusters, or</w:t>
      </w:r>
      <w:r>
        <w:t xml:space="preserve"> </w:t>
      </w:r>
      <w:r>
        <w:rPr>
          <w:iCs/>
          <w:i/>
        </w:rPr>
        <w:t xml:space="preserve">taxa</w:t>
      </w:r>
      <w:r>
        <w:t xml:space="preserve">. That allows agglomeration of the</w:t>
      </w:r>
      <w:r>
        <w:t xml:space="preserve"> </w:t>
      </w:r>
      <w:r>
        <w:t xml:space="preserve">lowest-level taxa into higher-level ones, adaptively changing the</w:t>
      </w:r>
      <w:r>
        <w:t xml:space="preserve"> </w:t>
      </w:r>
      <w:r>
        <w:t xml:space="preserve">resolution of classification. That is especially helpful for studies</w:t>
      </w:r>
      <w:r>
        <w:t xml:space="preserve"> </w:t>
      </w:r>
      <w:r>
        <w:t xml:space="preserve">assessing the effect of urban form on socio-economic aspects as it can</w:t>
      </w:r>
      <w:r>
        <w:t xml:space="preserve"> </w:t>
      </w:r>
      <w:r>
        <w:t xml:space="preserve">adapt to coarser data.</w:t>
      </w:r>
    </w:p>
    <w:bookmarkEnd w:id="20"/>
    <w:bookmarkStart w:id="21" w:name="validation-and-applicability"/>
    <w:p>
      <w:pPr>
        <w:pStyle w:val="Heading3"/>
      </w:pPr>
      <w:r>
        <w:t xml:space="preserve">Validation and applicability</w:t>
      </w:r>
    </w:p>
    <w:p>
      <w:pPr>
        <w:pStyle w:val="FirstParagraph"/>
      </w:pPr>
      <w:r>
        <w:t xml:space="preserve">Validation is an assessment of the correctness of a result. In the</w:t>
      </w:r>
      <w:r>
        <w:t xml:space="preserve"> </w:t>
      </w:r>
      <w:r>
        <w:t xml:space="preserve">context of this work, validation should mainly focus on understanding</w:t>
      </w:r>
      <w:r>
        <w:t xml:space="preserve"> </w:t>
      </w:r>
      <w:r>
        <w:t xml:space="preserve">whether the identification of urban tissue types works as intended and</w:t>
      </w:r>
      <w:r>
        <w:t xml:space="preserve"> </w:t>
      </w:r>
      <w:r>
        <w:t xml:space="preserve">whether the method is transferable to other contexts and eventually</w:t>
      </w:r>
      <w:r>
        <w:t xml:space="preserve"> </w:t>
      </w:r>
      <w:r>
        <w:t xml:space="preserve">extensible.</w:t>
      </w:r>
    </w:p>
    <w:p>
      <w:pPr>
        <w:pStyle w:val="BodyText"/>
      </w:pPr>
      <w:r>
        <w:t xml:space="preserve">The validation of a clustering method which does not have a ground</w:t>
      </w:r>
      <w:r>
        <w:t xml:space="preserve"> </w:t>
      </w:r>
      <w:r>
        <w:t xml:space="preserve">truth data is always indirect. That means that any validation procedure</w:t>
      </w:r>
      <w:r>
        <w:t xml:space="preserve"> </w:t>
      </w:r>
      <w:r>
        <w:t xml:space="preserve">can give only an indication of the method’s performance, not a</w:t>
      </w:r>
      <w:r>
        <w:t xml:space="preserve"> </w:t>
      </w:r>
      <w:r>
        <w:t xml:space="preserve">precision estimate. To make the validation more robust, it is better to</w:t>
      </w:r>
      <w:r>
        <w:t xml:space="preserve"> </w:t>
      </w:r>
      <w:r>
        <w:t xml:space="preserve">compare results to more than one validation layer. Furthermore, it is</w:t>
      </w:r>
      <w:r>
        <w:t xml:space="preserve"> </w:t>
      </w:r>
      <w:r>
        <w:t xml:space="preserve">critical to ensure that the literature identifies that there is an</w:t>
      </w:r>
      <w:r>
        <w:t xml:space="preserve"> </w:t>
      </w:r>
      <w:r>
        <w:t xml:space="preserve">expected relation between the concept validation layers capture and</w:t>
      </w:r>
      <w:r>
        <w:t xml:space="preserve"> </w:t>
      </w:r>
      <w:r>
        <w:t xml:space="preserve">urban form patterns.</w:t>
      </w:r>
    </w:p>
    <w:p>
      <w:pPr>
        <w:pStyle w:val="BodyText"/>
      </w:pPr>
      <w:r>
        <w:t xml:space="preserve">Transferability of the proposed method should be tested by its</w:t>
      </w:r>
      <w:r>
        <w:t xml:space="preserve"> </w:t>
      </w:r>
      <w:r>
        <w:t xml:space="preserve">application on other case studies and validating the results</w:t>
      </w:r>
      <w:r>
        <w:t xml:space="preserve"> </w:t>
      </w:r>
      <w:r>
        <w:t xml:space="preserve">independently of the first one. If the method produces reasonable</w:t>
      </w:r>
      <w:r>
        <w:t xml:space="preserve"> </w:t>
      </w:r>
      <w:r>
        <w:t xml:space="preserve">results and validation via proxy layers indicates statistical relation,</w:t>
      </w:r>
      <w:r>
        <w:t xml:space="preserve"> </w:t>
      </w:r>
      <w:r>
        <w:t xml:space="preserve">we can assume that the method is transferable to contexts in which it</w:t>
      </w:r>
      <w:r>
        <w:t xml:space="preserve"> </w:t>
      </w:r>
      <w:r>
        <w:t xml:space="preserve">was tested.</w:t>
      </w:r>
    </w:p>
    <w:p>
      <w:pPr>
        <w:pStyle w:val="BodyText"/>
      </w:pPr>
      <w:r>
        <w:t xml:space="preserve">Finally, expandability of hierarchical classification (i.e. taxonomy)</w:t>
      </w:r>
      <w:r>
        <w:t xml:space="preserve"> </w:t>
      </w:r>
      <w:r>
        <w:t xml:space="preserve">is critical for the future development of a taxonomy of urban form. The</w:t>
      </w:r>
      <w:r>
        <w:t xml:space="preserve"> </w:t>
      </w:r>
      <w:r>
        <w:t xml:space="preserve">method is extensible if the results of tissue type identification from</w:t>
      </w:r>
      <w:r>
        <w:t xml:space="preserve"> </w:t>
      </w:r>
      <w:r>
        <w:t xml:space="preserve">one case can be successfully linked to tissue types from the other case</w:t>
      </w:r>
      <w:r>
        <w:t xml:space="preserve"> </w:t>
      </w:r>
      <w:r>
        <w:t xml:space="preserve">to build a common taxonomy.</w:t>
      </w:r>
    </w:p>
    <w:p>
      <w:pPr>
        <w:pStyle w:val="BodyText"/>
      </w:pPr>
      <w:r>
        <w:t xml:space="preserve">The following section first proposes a method of hierarchical</w:t>
      </w:r>
      <w:r>
        <w:t xml:space="preserve"> </w:t>
      </w:r>
      <w:r>
        <w:t xml:space="preserve">clustering to derive the basis for a taxonomy of urban form. Then it</w:t>
      </w:r>
      <w:r>
        <w:t xml:space="preserve"> </w:t>
      </w:r>
      <w:r>
        <w:t xml:space="preserve">outlines methods of validation using the test of relation to proxy</w:t>
      </w:r>
      <w:r>
        <w:t xml:space="preserve"> </w:t>
      </w:r>
      <w:r>
        <w:t xml:space="preserve">layers, transferability to a different context and finally,</w:t>
      </w:r>
      <w:r>
        <w:t xml:space="preserve"> </w:t>
      </w:r>
      <w:r>
        <w:t xml:space="preserve">expandability as an attempt to merge two cases into a single</w:t>
      </w:r>
      <w:r>
        <w:t xml:space="preserve"> </w:t>
      </w:r>
      <w:r>
        <w:t xml:space="preserve">classification.</w:t>
      </w:r>
    </w:p>
    <w:bookmarkEnd w:id="21"/>
    <w:bookmarkEnd w:id="22"/>
    <w:bookmarkStart w:id="39" w:name="methodological-proposition"/>
    <w:p>
      <w:pPr>
        <w:pStyle w:val="Heading2"/>
      </w:pPr>
      <w:r>
        <w:t xml:space="preserve">Methodological proposition</w:t>
      </w:r>
    </w:p>
    <w:p>
      <w:pPr>
        <w:pStyle w:val="FirstParagraph"/>
      </w:pPr>
      <w:r>
        <w:t xml:space="preserve">Methodological propositions of this chapter focus on two distinct</w:t>
      </w:r>
      <w:r>
        <w:t xml:space="preserve"> </w:t>
      </w:r>
      <w:r>
        <w:t xml:space="preserve">questions. The first one has been defined in chapter 5 as one of the</w:t>
      </w:r>
      <w:r>
        <w:t xml:space="preserve"> </w:t>
      </w:r>
      <w:r>
        <w:t xml:space="preserve">supplementary research questions:</w:t>
      </w:r>
    </w:p>
    <w:p>
      <w:pPr>
        <w:numPr>
          <w:ilvl w:val="0"/>
          <w:numId w:val="1002"/>
        </w:numPr>
        <w:pStyle w:val="Compact"/>
      </w:pPr>
      <w:r>
        <w:t xml:space="preserve">How to determine the taxonomic relationship between OTUs to derive</w:t>
      </w:r>
      <w:r>
        <w:t xml:space="preserve"> </w:t>
      </w:r>
      <w:r>
        <w:t xml:space="preserve">taxa of urban form?</w:t>
      </w:r>
    </w:p>
    <w:p>
      <w:pPr>
        <w:pStyle w:val="FirstParagraph"/>
      </w:pPr>
      <w:r>
        <w:t xml:space="preserve">To answer that, this section proposes the application of hierarchical</w:t>
      </w:r>
      <w:r>
        <w:t xml:space="preserve"> </w:t>
      </w:r>
      <w:r>
        <w:t xml:space="preserve">clustering method outlined below.</w:t>
      </w:r>
    </w:p>
    <w:p>
      <w:pPr>
        <w:pStyle w:val="BodyText"/>
      </w:pPr>
      <w:r>
        <w:t xml:space="preserve">The second question is related to both results of the previous chapter</w:t>
      </w:r>
      <w:r>
        <w:t xml:space="preserve"> </w:t>
      </w:r>
      <w:r>
        <w:t xml:space="preserve">7 and hierarchical clustering proposed in this chapter:</w:t>
      </w:r>
    </w:p>
    <w:p>
      <w:pPr>
        <w:numPr>
          <w:ilvl w:val="0"/>
          <w:numId w:val="1003"/>
        </w:numPr>
        <w:pStyle w:val="Compact"/>
      </w:pPr>
      <w:r>
        <w:t xml:space="preserve">Is the overall method valid for classification of urban form?</w:t>
      </w:r>
    </w:p>
    <w:p>
      <w:pPr>
        <w:pStyle w:val="FirstParagraph"/>
      </w:pPr>
      <w:r>
        <w:t xml:space="preserve">That is a question which is critical but at the same time hard to</w:t>
      </w:r>
      <w:r>
        <w:t xml:space="preserve"> </w:t>
      </w:r>
      <w:r>
        <w:t xml:space="preserve">answer. Therefore, this section proposes a series of tests to get a</w:t>
      </w:r>
      <w:r>
        <w:t xml:space="preserve"> </w:t>
      </w:r>
      <w:r>
        <w:t xml:space="preserve">reliable indication of what the answer could be.</w:t>
      </w:r>
    </w:p>
    <w:bookmarkStart w:id="23" w:name="hierarchical-clustering"/>
    <w:p>
      <w:pPr>
        <w:pStyle w:val="Heading3"/>
      </w:pPr>
      <w:r>
        <w:t xml:space="preserve">Hierarchical clustering</w:t>
      </w:r>
    </w:p>
    <w:p>
      <w:pPr>
        <w:pStyle w:val="FirstParagraph"/>
      </w:pPr>
      <w:r>
        <w:t xml:space="preserve">Hierarchical clustering, in case of urban tissues, aims to develop a</w:t>
      </w:r>
      <w:r>
        <w:t xml:space="preserve"> </w:t>
      </w:r>
      <w:r>
        <w:t xml:space="preserve">hierarchy of similarities between observations based on their</w:t>
      </w:r>
      <w:r>
        <w:t xml:space="preserve"> </w:t>
      </w:r>
      <w:r>
        <w:t xml:space="preserve">morphometric profiles. We can generally distinguish two main</w:t>
      </w:r>
      <w:r>
        <w:t xml:space="preserve"> </w:t>
      </w:r>
      <w:r>
        <w:t xml:space="preserve">principles, agglomerative and divisive. The former starts with the pool</w:t>
      </w:r>
      <w:r>
        <w:t xml:space="preserve"> </w:t>
      </w:r>
      <w:r>
        <w:t xml:space="preserve">of observations, each with its own cluster and identifies pairs of</w:t>
      </w:r>
      <w:r>
        <w:t xml:space="preserve"> </w:t>
      </w:r>
      <w:r>
        <w:t xml:space="preserve">clusters while moving up the hierarchy. The latter does the opposite as</w:t>
      </w:r>
      <w:r>
        <w:t xml:space="preserve"> </w:t>
      </w:r>
      <w:r>
        <w:t xml:space="preserve">it starts with a single cluster and iteratively divides it while moving</w:t>
      </w:r>
      <w:r>
        <w:t xml:space="preserve"> </w:t>
      </w:r>
      <w:r>
        <w:t xml:space="preserve">down the hierarchy. Statistics offer a wide range of procedures for</w:t>
      </w:r>
      <w:r>
        <w:t xml:space="preserve"> </w:t>
      </w:r>
      <w:r>
        <w:t xml:space="preserve">both principles, which description is out of the scope of this</w:t>
      </w:r>
      <w:r>
        <w:t xml:space="preserve"> </w:t>
      </w:r>
      <w:r>
        <w:t xml:space="preserve">research. This research employs Ward’s minimum variance hierarchical</w:t>
      </w:r>
      <w:r>
        <w:t xml:space="preserve"> </w:t>
      </w:r>
      <w:r>
        <w:t xml:space="preserve">clustering, as the method with a long lineage in academic use</w:t>
      </w:r>
      <w:r>
        <w:t xml:space="preserve"> </w:t>
      </w:r>
      <w:r>
        <w:t xml:space="preserve">[@singleton2009] and recent application in urban morphology</w:t>
      </w:r>
      <w:r>
        <w:t xml:space="preserve"> </w:t>
      </w:r>
      <w:r>
        <w:t xml:space="preserve">[@serra2018a; @dibble2017]. Each tissue type is represented by its</w:t>
      </w:r>
      <w:r>
        <w:t xml:space="preserve"> </w:t>
      </w:r>
      <w:r>
        <w:t xml:space="preserve">centroid (mean of each character) within the hyperspace and Ward’s</w:t>
      </w:r>
      <w:r>
        <w:t xml:space="preserve"> </w:t>
      </w:r>
      <w:r>
        <w:t xml:space="preserve">algorithm agglomeratively links observations together in a way, which</w:t>
      </w:r>
      <w:r>
        <w:t xml:space="preserve"> </w:t>
      </w:r>
      <w:r>
        <w:t xml:space="preserve">minimises an increase in total within-cluster variance</w:t>
      </w:r>
      <w:r>
        <w:t xml:space="preserve"> </w:t>
      </w:r>
      <w:r>
        <w:t xml:space="preserve">[@ward1963hierarchical]. The classification has a form of a</w:t>
      </w:r>
      <w:r>
        <w:t xml:space="preserve"> </w:t>
      </w:r>
      <w:r>
        <w:t xml:space="preserve">dendrogram capturing a cophenetic relationship between observations</w:t>
      </w:r>
      <w:r>
        <w:t xml:space="preserve"> </w:t>
      </w:r>
      <w:r>
        <w:t xml:space="preserve">(i.e., morphometric similarity).</w:t>
      </w:r>
    </w:p>
    <w:p>
      <w:pPr>
        <w:pStyle w:val="BodyText"/>
      </w:pPr>
      <w:r>
        <w:t xml:space="preserve">Resulting dendrogram can be further interpreted and initial OTUs</w:t>
      </w:r>
      <w:r>
        <w:t xml:space="preserve"> </w:t>
      </w:r>
      <w:r>
        <w:t xml:space="preserve">flexibly clustered together based on the branching of the diagram. That</w:t>
      </w:r>
      <w:r>
        <w:t xml:space="preserve"> </w:t>
      </w:r>
      <w:r>
        <w:t xml:space="preserve">can, in turn, be mapped, and the spatial distribution of branches can</w:t>
      </w:r>
      <w:r>
        <w:t xml:space="preserve"> </w:t>
      </w:r>
      <w:r>
        <w:t xml:space="preserve">be visually assessed. Furthermore, branching enables focused analysis</w:t>
      </w:r>
      <w:r>
        <w:t xml:space="preserve"> </w:t>
      </w:r>
      <w:r>
        <w:t xml:space="preserve">of individual macro clusters, if that is of interested in one’s</w:t>
      </w:r>
      <w:r>
        <w:t xml:space="preserve"> </w:t>
      </w:r>
      <w:r>
        <w:t xml:space="preserve">particular study.</w:t>
      </w:r>
    </w:p>
    <w:bookmarkEnd w:id="23"/>
    <w:bookmarkStart w:id="38" w:name="validation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Validation of identification of tissue types and consequent</w:t>
      </w:r>
      <w:r>
        <w:t xml:space="preserve"> </w:t>
      </w:r>
      <w:r>
        <w:t xml:space="preserve">hierarchical clustering is done in two ways. The first one studies the</w:t>
      </w:r>
      <w:r>
        <w:t xml:space="preserve"> </w:t>
      </w:r>
      <w:r>
        <w:t xml:space="preserve">relationship of resulting classification to additional non-morphometric</w:t>
      </w:r>
      <w:r>
        <w:t xml:space="preserve"> </w:t>
      </w:r>
      <w:r>
        <w:t xml:space="preserve">data to verify whether the expected link between morphology and other</w:t>
      </w:r>
      <w:r>
        <w:t xml:space="preserve"> </w:t>
      </w:r>
      <w:r>
        <w:t xml:space="preserve">aspects is present in the data. The second approach tests the</w:t>
      </w:r>
      <w:r>
        <w:t xml:space="preserve"> </w:t>
      </w:r>
      <w:r>
        <w:t xml:space="preserve">applicability of the method outside of the initial case study. As the</w:t>
      </w:r>
      <w:r>
        <w:t xml:space="preserve"> </w:t>
      </w:r>
      <w:r>
        <w:t xml:space="preserve">design and decision making behind it were based on the Prague dataset,</w:t>
      </w:r>
      <w:r>
        <w:t xml:space="preserve"> </w:t>
      </w:r>
      <w:r>
        <w:t xml:space="preserve">it may have incurred context-specific features which limits the</w:t>
      </w:r>
      <w:r>
        <w:t xml:space="preserve"> </w:t>
      </w:r>
      <w:r>
        <w:t xml:space="preserve">applicability of the method elsewhere. To ensure that this did not</w:t>
      </w:r>
      <w:r>
        <w:t xml:space="preserve"> </w:t>
      </w:r>
      <w:r>
        <w:t xml:space="preserve">happen, the method should be applied to unrelated data, and resulting</w:t>
      </w:r>
      <w:r>
        <w:t xml:space="preserve"> </w:t>
      </w:r>
      <w:r>
        <w:t xml:space="preserve">classification should be examined to ensure that the results are</w:t>
      </w:r>
      <w:r>
        <w:t xml:space="preserve"> </w:t>
      </w:r>
      <w:r>
        <w:t xml:space="preserve">comparable.</w:t>
      </w:r>
    </w:p>
    <w:bookmarkStart w:id="33" w:name="relation-to-non-morpohological-data"/>
    <w:p>
      <w:pPr>
        <w:pStyle w:val="Heading4"/>
      </w:pPr>
      <w:r>
        <w:t xml:space="preserve">Relation to non-morpohological data</w:t>
      </w:r>
    </w:p>
    <w:p>
      <w:pPr>
        <w:pStyle w:val="FirstParagraph"/>
      </w:pPr>
      <w:r>
        <w:t xml:space="preserve">Capturing the relation of proposed classification to additional data is</w:t>
      </w:r>
      <w:r>
        <w:t xml:space="preserve"> </w:t>
      </w:r>
      <w:r>
        <w:t xml:space="preserve">an indirect validation method. There are theoretical grounds on which</w:t>
      </w:r>
      <w:r>
        <w:t xml:space="preserve"> </w:t>
      </w:r>
      <w:r>
        <w:t xml:space="preserve">we can expect that the relation between urban form and other data exist</w:t>
      </w:r>
      <w:r>
        <w:t xml:space="preserve"> </w:t>
      </w:r>
      <w:r>
        <w:t xml:space="preserve">and hence should be present in the classification. It is well known</w:t>
      </w:r>
      <w:r>
        <w:t xml:space="preserve"> </w:t>
      </w:r>
      <w:r>
        <w:t xml:space="preserve">that urban patterns change based on the era in which they are built,</w:t>
      </w:r>
      <w:r>
        <w:t xml:space="preserve"> </w:t>
      </w:r>
      <w:r>
        <w:t xml:space="preserve">meaning that there is a significant relation between urban types and</w:t>
      </w:r>
      <w:r>
        <w:t xml:space="preserve"> </w:t>
      </w:r>
      <w:r>
        <w:t xml:space="preserve">their historical origin [@dibble2017; @panerai2004]. Similar</w:t>
      </w:r>
      <w:r>
        <w:t xml:space="preserve"> </w:t>
      </w:r>
      <w:r>
        <w:t xml:space="preserve">relation could be found with land-use patterns [@castro2019] and</w:t>
      </w:r>
      <w:r>
        <w:t xml:space="preserve"> </w:t>
      </w:r>
      <w:r>
        <w:t xml:space="preserve">some other data.</w:t>
      </w:r>
    </w:p>
    <w:p>
      <w:pPr>
        <w:pStyle w:val="BodyText"/>
      </w:pPr>
      <w:r>
        <w:t xml:space="preserve">However, such additional data should not be seen as ground truth for</w:t>
      </w:r>
      <w:r>
        <w:t xml:space="preserve"> </w:t>
      </w:r>
      <w:r>
        <w:t xml:space="preserve">classification as it does not reflect the same concepts. The relation</w:t>
      </w:r>
      <w:r>
        <w:t xml:space="preserve"> </w:t>
      </w:r>
      <w:r>
        <w:t xml:space="preserve">should be seen as indicative.</w:t>
      </w:r>
    </w:p>
    <w:p>
      <w:pPr>
        <w:pStyle w:val="BodyText"/>
      </w:pPr>
      <w:r>
        <w:t xml:space="preserve">In this research, the proposed classification will be compared to three</w:t>
      </w:r>
      <w:r>
        <w:t xml:space="preserve"> </w:t>
      </w:r>
      <w:r>
        <w:t xml:space="preserve">datasets - 1) the period of the historical origin of a place, 2)</w:t>
      </w:r>
      <w:r>
        <w:t xml:space="preserve"> </w:t>
      </w:r>
      <w:r>
        <w:t xml:space="preserve">predominant land-use patterns, and 3) qualitative typology of urban</w:t>
      </w:r>
      <w:r>
        <w:t xml:space="preserve"> </w:t>
      </w:r>
      <w:r>
        <w:t xml:space="preserve">form. All three will use the method of validation, based on</w:t>
      </w:r>
      <w:r>
        <w:t xml:space="preserve"> </w:t>
      </w:r>
      <w:r>
        <w:t xml:space="preserve">cross-tabulation, using a) statistical analysis using chi-square</w:t>
      </w:r>
      <w:r>
        <w:t xml:space="preserve"> </w:t>
      </w:r>
      <w:r>
        <w:t xml:space="preserve">statistic and related Cramér’s V, further interpreted based on b)</w:t>
      </w:r>
      <w:r>
        <w:t xml:space="preserve"> </w:t>
      </w:r>
      <w:r>
        <w:t xml:space="preserve">compositional analysis focusing on the composition of each cluster in</w:t>
      </w:r>
      <w:r>
        <w:t xml:space="preserve"> </w:t>
      </w:r>
      <w:r>
        <w:t xml:space="preserve">relation to the tested data, and c) visual assessment of spatial</w:t>
      </w:r>
      <w:r>
        <w:t xml:space="preserve"> </w:t>
      </w:r>
      <w:r>
        <w:t xml:space="preserve">distribution to illustrate the behaviour of both compared data in space.</w:t>
      </w:r>
    </w:p>
    <w:bookmarkStart w:id="28" w:name="analytical-tools"/>
    <w:p>
      <w:pPr>
        <w:pStyle w:val="Heading5"/>
      </w:pPr>
      <w:r>
        <w:t xml:space="preserve">Analytical tools</w:t>
      </w:r>
    </w:p>
    <w:p>
      <w:pPr>
        <w:pStyle w:val="FirstParagraph"/>
      </w:pPr>
      <w:r>
        <w:t xml:space="preserve">Validation is using cross-tabulation (contingency table) as an input</w:t>
      </w:r>
      <w:r>
        <w:t xml:space="preserve"> </w:t>
      </w:r>
      <w:r>
        <w:t xml:space="preserve">for all Chi-square test, Cramér’s V and compositional analysis.</w:t>
      </w:r>
      <w:r>
        <w:t xml:space="preserve"> </w:t>
      </w:r>
      <w:r>
        <w:t xml:space="preserve">Cross-tabulation measures the number of observations within each</w:t>
      </w:r>
      <w:r>
        <w:t xml:space="preserve"> </w:t>
      </w:r>
      <w:r>
        <w:t xml:space="preserve">cluster-category pairs, where categories are reflecting the different</w:t>
      </w:r>
      <w:r>
        <w:t xml:space="preserve"> </w:t>
      </w:r>
      <w:r>
        <w:t xml:space="preserve">classes of used proxy data (e.g. land use types).</w:t>
      </w:r>
    </w:p>
    <w:p>
      <w:pPr>
        <w:pStyle w:val="BodyText"/>
      </w:pPr>
      <w:r>
        <w:t xml:space="preserve">The detailed method of application of selected analytical tools is</w:t>
      </w:r>
      <w:r>
        <w:t xml:space="preserve"> </w:t>
      </w:r>
      <w:r>
        <w:t xml:space="preserve">proposed below.</w:t>
      </w:r>
    </w:p>
    <w:bookmarkStart w:id="24" w:name="chi-square-test-of-independence"/>
    <w:p>
      <w:pPr>
        <w:pStyle w:val="Heading6"/>
      </w:pPr>
      <w:r>
        <w:t xml:space="preserve">Chi-square test of independence</w:t>
      </w:r>
    </w:p>
    <w:p>
      <w:pPr>
        <w:pStyle w:val="FirstParagraph"/>
      </w:pPr>
      <w:r>
        <w:t xml:space="preserve">The proposed classification, as well as proposed additional data, are</w:t>
      </w:r>
      <w:r>
        <w:t xml:space="preserve"> </w:t>
      </w:r>
      <w:r>
        <w:t xml:space="preserve">categorical variables, including the historical origin which is</w:t>
      </w:r>
      <w:r>
        <w:t xml:space="preserve"> </w:t>
      </w:r>
      <w:r>
        <w:t xml:space="preserve">presented as unevenly distributed eras rather than age. The chi-square</w:t>
      </w:r>
      <w:r>
        <w:t xml:space="preserve"> </w:t>
      </w:r>
      <w:r>
        <w:t xml:space="preserve">test of independence of variables determines whether there is a</w:t>
      </w:r>
      <w:r>
        <w:t xml:space="preserve"> </w:t>
      </w:r>
      <w:r>
        <w:t xml:space="preserve">significant relationship between two categorical variables based on a</w:t>
      </w:r>
      <w:r>
        <w:t xml:space="preserve"> </w:t>
      </w:r>
      <w:r>
        <w:t xml:space="preserve">contingency table [@agresti2018introduction]. The null hypothesis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and the 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of the analysis states</w:t>
      </w:r>
      <w:r>
        <w:t xml:space="preserve"> </w:t>
      </w:r>
      <w:r>
        <w:t xml:space="preserve">that</w:t>
      </w:r>
    </w:p>
    <w:p>
      <w:pPr>
        <w:pStyle w:val="Block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Morphometric classification of urban tissues is independent of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.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Morphometric classification of urban tissues is not</w:t>
      </w:r>
      <w:r>
        <w:t xml:space="preserve"> </w:t>
      </w:r>
      <w:r>
        <w:t xml:space="preserve">independent of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.</w:t>
      </w:r>
    </w:p>
    <w:p>
      <w:pPr>
        <w:pStyle w:val="FirstParagraph"/>
      </w:pPr>
      <w:r>
        <w:t xml:space="preserve">The statistic itself is denoted as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∑</m:t>
        </m:r>
        <m:sSubSup>
          <m:e>
            <m:r>
              <m:t>χ</m:t>
            </m:r>
          </m:e>
          <m:sub>
            <m:r>
              <m:t>i</m:t>
            </m:r>
            <m:r>
              <m:t>j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O</m:t>
            </m:r>
            <m:r>
              <m:rPr>
                <m:sty m:val="p"/>
              </m:rPr>
              <m:t>−</m:t>
            </m:r>
            <m:r>
              <m:t>E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is the actual observed count,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the expected value,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cell Chi-square value. The expected value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calculated as</w:t>
      </w:r>
    </w:p>
    <w:p>
      <w:pPr>
        <w:numPr>
          <w:ilvl w:val="0"/>
          <w:numId w:val="1005"/>
        </w:numPr>
        <w:pStyle w:val="Compact"/>
      </w:pPr>
      <m:oMath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×</m:t>
            </m:r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r>
              <m:t>n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M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row marginal (sum of the row) for the cell,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column marginal (sum of the column) for the cell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sample size [@agresti2018introduction].</w:t>
      </w:r>
    </w:p>
    <w:p>
      <w:pPr>
        <w:pStyle w:val="BodyText"/>
      </w:pPr>
      <w:r>
        <w:t xml:space="preserve">The chosen alpha level of significance is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</w:t>
      </w:r>
    </w:p>
    <w:p>
      <w:pPr>
        <w:pStyle w:val="BodyText"/>
      </w:pPr>
      <w:r>
        <w:t xml:space="preserve">The actual implementation is based on</w:t>
      </w:r>
      <w:r>
        <w:t xml:space="preserve"> </w:t>
      </w:r>
      <w:r>
        <w:rPr>
          <w:rStyle w:val="VerbatimChar"/>
        </w:rPr>
        <w:t xml:space="preserve">scipy.stats.chi2_contingency</w:t>
      </w:r>
      <w:r>
        <w:t xml:space="preserve"> </w:t>
      </w:r>
      <w:r>
        <w:t xml:space="preserve">function from open-source toolkit SciPy [@jones2001].</w:t>
      </w:r>
    </w:p>
    <w:bookmarkEnd w:id="24"/>
    <w:bookmarkStart w:id="25" w:name="cramérs-v"/>
    <w:p>
      <w:pPr>
        <w:pStyle w:val="Heading6"/>
      </w:pPr>
      <w:r>
        <w:t xml:space="preserve">Cramér’s V</w:t>
      </w:r>
    </w:p>
    <w:p>
      <w:pPr>
        <w:pStyle w:val="FirstParagraph"/>
      </w:pPr>
      <w:r>
        <w:t xml:space="preserve">The chi-squared statistic does indicate whether there is an association</w:t>
      </w:r>
      <w:r>
        <w:t xml:space="preserve"> </w:t>
      </w:r>
      <w:r>
        <w:t xml:space="preserve">or not but does not tell how strong it is. Cramér’s V coefficient is</w:t>
      </w:r>
      <w:r>
        <w:t xml:space="preserve"> </w:t>
      </w:r>
      <w:r>
        <w:t xml:space="preserve">based on chi-squared statistic but extends it to provide a value</w:t>
      </w:r>
      <w:r>
        <w:t xml:space="preserve"> </w:t>
      </w:r>
      <w:r>
        <w:t xml:space="preserve">between 0 and 1, reflecting the level of association similarly as</w:t>
      </w:r>
      <w:r>
        <w:t xml:space="preserve"> </w:t>
      </w:r>
      <w:r>
        <w:t xml:space="preserve">Pearson’s correlation does. Value 0 corresponds to no association while</w:t>
      </w:r>
      <w:r>
        <w:t xml:space="preserve"> </w:t>
      </w:r>
      <w:r>
        <w:t xml:space="preserve">1 to perfect association [@crewson2006applied].</w:t>
      </w:r>
    </w:p>
    <w:p>
      <w:pPr>
        <w:pStyle w:val="BodyText"/>
      </w:pPr>
      <w:r>
        <w:t xml:space="preserve">Cramér’s V coefficient is denoted as</w:t>
      </w:r>
    </w:p>
    <w:p>
      <w:pPr>
        <w:numPr>
          <w:ilvl w:val="0"/>
          <w:numId w:val="1006"/>
        </w:numPr>
        <w:pStyle w:val="Compact"/>
      </w:pPr>
      <m:oMath>
        <m:r>
          <m:t>V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  <m:r>
                  <m:rPr>
                    <m:sty m:val="p"/>
                  </m:rPr>
                  <m:t>(</m:t>
                </m:r>
                <m:r>
                  <m:t>q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</m:den>
            </m:f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the smaller number of either rows or columns. The strength</w:t>
      </w:r>
      <w:r>
        <w:t xml:space="preserve"> </w:t>
      </w:r>
      <w:r>
        <w:t xml:space="preserve">of association described by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illustrated in table .</w:t>
      </w:r>
    </w:p>
    <w:p>
      <w:pPr>
        <w:pStyle w:val="BodyText"/>
      </w:pPr>
      <w:r>
        <w:t xml:space="preserve">Strength of association of two categorical variables based on Cramér’s</w:t>
      </w:r>
      <w:r>
        <w:t xml:space="preserve"> </w:t>
      </w:r>
      <w:r>
        <w:t xml:space="preserve">V coefficient. Reproduced from</w:t>
      </w:r>
      <w:r>
        <w:t xml:space="preserve"> </w:t>
      </w:r>
      <w:r>
        <w:t xml:space="preserve">[@crewson2006applied]</w:t>
      </w:r>
      <w:r>
        <w:t xml:space="preserve">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association</w:t>
      </w:r>
    </w:p>
    <w:p>
      <w:pPr>
        <w:pStyle w:val="BodyText"/>
      </w:pPr>
      <w:r>
        <w:t xml:space="preserve">&gt;.5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.3 to .5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.1 to .3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0 to .1</w:t>
      </w:r>
    </w:p>
    <w:p>
      <w:pPr>
        <w:pStyle w:val="BodyText"/>
      </w:pPr>
      <w:r>
        <w:t xml:space="preserve">little if any</w:t>
      </w:r>
    </w:p>
    <w:p>
      <w:pPr>
        <w:pStyle w:val="BodyText"/>
      </w:pPr>
      <w:r>
        <w:t xml:space="preserve">: Strength of association of two categorical variables based on</w:t>
      </w:r>
      <w:r>
        <w:t xml:space="preserve"> </w:t>
      </w:r>
      <w:r>
        <w:t xml:space="preserve">Cramér’s V coefficient. Reproduced from [@crewson2006applied].</w:t>
      </w:r>
    </w:p>
    <w:bookmarkEnd w:id="25"/>
    <w:bookmarkStart w:id="26" w:name="cross-tabulation-compositional-analysis"/>
    <w:p>
      <w:pPr>
        <w:pStyle w:val="Heading6"/>
      </w:pPr>
      <w:r>
        <w:t xml:space="preserve">Cross-tabulation compositional analysis</w:t>
      </w:r>
    </w:p>
    <w:p>
      <w:pPr>
        <w:pStyle w:val="FirstParagraph"/>
      </w:pPr>
      <w:r>
        <w:t xml:space="preserve">Each of the clusters and each of the branches is then studied</w:t>
      </w:r>
      <w:r>
        <w:t xml:space="preserve"> </w:t>
      </w:r>
      <w:r>
        <w:t xml:space="preserve">independently to understand what is its composition in relation to the</w:t>
      </w:r>
      <w:r>
        <w:t xml:space="preserve"> </w:t>
      </w:r>
      <w:r>
        <w:t xml:space="preserve">validation data, focusing on individual rows of a contingency table.</w:t>
      </w:r>
      <w:r>
        <w:t xml:space="preserve"> </w:t>
      </w:r>
      <w:r>
        <w:t xml:space="preserve">The perfect relation would show all observations of a single class</w:t>
      </w:r>
      <w:r>
        <w:t xml:space="preserve"> </w:t>
      </w:r>
      <w:r>
        <w:t xml:space="preserve">within a single cluster and none within any other. An equal count would</w:t>
      </w:r>
      <w:r>
        <w:t xml:space="preserve"> </w:t>
      </w:r>
      <w:r>
        <w:t xml:space="preserve">reflect no relation among the classes. The compositional analysis is</w:t>
      </w:r>
      <w:r>
        <w:t xml:space="preserve"> </w:t>
      </w:r>
      <w:r>
        <w:t xml:space="preserve">aimed to provide more in-depth interpretative values that chi-square</w:t>
      </w:r>
      <w:r>
        <w:t xml:space="preserve"> </w:t>
      </w:r>
      <w:r>
        <w:t xml:space="preserve">and Cramer’s-V, but it does not state any significance level.</w:t>
      </w:r>
    </w:p>
    <w:bookmarkEnd w:id="26"/>
    <w:bookmarkStart w:id="27" w:name="X63ebdd5577f8cb5f8afbda954ac4be75e3c7715"/>
    <w:p>
      <w:pPr>
        <w:pStyle w:val="Heading6"/>
      </w:pPr>
      <w:r>
        <w:t xml:space="preserve">Visual assessment of spatial distribution</w:t>
      </w:r>
    </w:p>
    <w:p>
      <w:pPr>
        <w:pStyle w:val="FirstParagraph"/>
      </w:pPr>
      <w:r>
        <w:t xml:space="preserve">The visual assessment of spatial distribution overlays the boundaries</w:t>
      </w:r>
      <w:r>
        <w:t xml:space="preserve"> </w:t>
      </w:r>
      <w:r>
        <w:t xml:space="preserve">defined by morphometric classification over the validation classes to</w:t>
      </w:r>
      <w:r>
        <w:t xml:space="preserve"> </w:t>
      </w:r>
      <w:r>
        <w:t xml:space="preserve">determine spatial relationship visually. Alongside the compositional</w:t>
      </w:r>
      <w:r>
        <w:t xml:space="preserve"> </w:t>
      </w:r>
      <w:r>
        <w:t xml:space="preserve">analysis, the visual assessment is meant to provide interpretative</w:t>
      </w:r>
      <w:r>
        <w:t xml:space="preserve"> </w:t>
      </w:r>
      <w:r>
        <w:t xml:space="preserve">information, allowing a better understanding of the relation between</w:t>
      </w:r>
      <w:r>
        <w:t xml:space="preserve"> </w:t>
      </w:r>
      <w:r>
        <w:t xml:space="preserve">tested data. It does not provide any numerical results as it only links</w:t>
      </w:r>
      <w:r>
        <w:t xml:space="preserve"> </w:t>
      </w:r>
      <w:r>
        <w:t xml:space="preserve">compositional analysis with the geographical context.</w:t>
      </w:r>
    </w:p>
    <w:bookmarkEnd w:id="27"/>
    <w:bookmarkEnd w:id="28"/>
    <w:bookmarkStart w:id="32" w:name="validation-data"/>
    <w:p>
      <w:pPr>
        <w:pStyle w:val="Heading5"/>
      </w:pPr>
      <w:r>
        <w:t xml:space="preserve">Validation data</w:t>
      </w:r>
    </w:p>
    <w:p>
      <w:pPr>
        <w:pStyle w:val="FirstParagraph"/>
      </w:pPr>
      <w:r>
        <w:t xml:space="preserve">Three datasets are used within the validation framework - historical</w:t>
      </w:r>
      <w:r>
        <w:t xml:space="preserve"> </w:t>
      </w:r>
      <w:r>
        <w:t xml:space="preserve">origin, land use patterns and qualitative typology of urban form linked</w:t>
      </w:r>
      <w:r>
        <w:t xml:space="preserve"> </w:t>
      </w:r>
      <w:r>
        <w:t xml:space="preserve">to the predefined boundaries.</w:t>
      </w:r>
    </w:p>
    <w:bookmarkStart w:id="29" w:name="historical-origin"/>
    <w:p>
      <w:pPr>
        <w:pStyle w:val="Heading6"/>
      </w:pPr>
      <w:r>
        <w:t xml:space="preserve">Historical origin</w:t>
      </w:r>
    </w:p>
    <w:p>
      <w:pPr>
        <w:pStyle w:val="FirstParagraph"/>
      </w:pPr>
      <w:r>
        <w:t xml:space="preserve">The link between the historical origin and the patterns of urban form</w:t>
      </w:r>
      <w:r>
        <w:t xml:space="preserve"> </w:t>
      </w:r>
      <w:r>
        <w:t xml:space="preserve">is well established in the literature [@panerai2004] and has been</w:t>
      </w:r>
      <w:r>
        <w:t xml:space="preserve"> </w:t>
      </w:r>
      <w:r>
        <w:t xml:space="preserve">recently studied using morphometric tools, from the composition and</w:t>
      </w:r>
      <w:r>
        <w:t xml:space="preserve"> </w:t>
      </w:r>
      <w:r>
        <w:t xml:space="preserve">configuration of street networks [@porta2014a; @boeing2020off] to</w:t>
      </w:r>
      <w:r>
        <w:t xml:space="preserve"> </w:t>
      </w:r>
      <w:r>
        <w:t xml:space="preserve">the complex morphometric assessment of sanctuary areas</w:t>
      </w:r>
      <w:r>
        <w:t xml:space="preserve"> </w:t>
      </w:r>
      <w:r>
        <w:t xml:space="preserve">[@dibble2017]. The relation, which is described in the literature,</w:t>
      </w:r>
      <w:r>
        <w:t xml:space="preserve"> </w:t>
      </w:r>
      <w:r>
        <w:t xml:space="preserve">should be present in the data studied in this research. The existence</w:t>
      </w:r>
      <w:r>
        <w:t xml:space="preserve"> </w:t>
      </w:r>
      <w:r>
        <w:t xml:space="preserve">of the significant relationship between the historical origin and</w:t>
      </w:r>
      <w:r>
        <w:t xml:space="preserve"> </w:t>
      </w:r>
      <w:r>
        <w:t xml:space="preserve">results of morphometric classification would indicate the validity of</w:t>
      </w:r>
      <w:r>
        <w:t xml:space="preserve"> </w:t>
      </w:r>
      <w:r>
        <w:t xml:space="preserve">the proposed classification.</w:t>
      </w:r>
    </w:p>
    <w:p>
      <w:pPr>
        <w:pStyle w:val="BodyText"/>
      </w:pPr>
      <w:r>
        <w:t xml:space="preserve">The data on historical origin provided by the Institute for Planning</w:t>
      </w:r>
      <w:r>
        <w:t xml:space="preserve"> </w:t>
      </w:r>
      <w:r>
        <w:t xml:space="preserve">and Development Prague denotes the time frame in which was each part of</w:t>
      </w:r>
      <w:r>
        <w:t xml:space="preserve"> </w:t>
      </w:r>
      <w:r>
        <w:t xml:space="preserve">the city first built-up. However, the data do not provide a single</w:t>
      </w:r>
      <w:r>
        <w:t xml:space="preserve"> </w:t>
      </w:r>
      <w:r>
        <w:t xml:space="preserve">year, but a specific range, presenting what would be a continuous</w:t>
      </w:r>
      <w:r>
        <w:t xml:space="preserve"> </w:t>
      </w:r>
      <w:r>
        <w:t xml:space="preserve">variable of age as ordered categorical one. Moreover, the categories</w:t>
      </w:r>
      <w:r>
        <w:t xml:space="preserve"> </w:t>
      </w:r>
      <w:r>
        <w:t xml:space="preserve">are not equally distributed in time, with maximums within each category</w:t>
      </w:r>
      <w:r>
        <w:t xml:space="preserve"> </w:t>
      </w:r>
      <w:r>
        <w:t xml:space="preserve">being 1840, 1880, 1920, 1950, 1970, 1990, and 2012. That may lead to</w:t>
      </w:r>
      <w:r>
        <w:t xml:space="preserve"> </w:t>
      </w:r>
      <w:r>
        <w:t xml:space="preserve">the situation where three adjacent buildings, built in years 1878, 1879</w:t>
      </w:r>
      <w:r>
        <w:t xml:space="preserve"> </w:t>
      </w:r>
      <w:r>
        <w:t xml:space="preserve">and 1881 are not seen as of the (almost) same age. The first two are in</w:t>
      </w:r>
      <w:r>
        <w:t xml:space="preserve"> </w:t>
      </w:r>
      <w:r>
        <w:t xml:space="preserve">the second category, being treated as equal while the last is in the</w:t>
      </w:r>
      <w:r>
        <w:t xml:space="preserve"> </w:t>
      </w:r>
      <w:r>
        <w:t xml:space="preserve">third category being treated as different. Moreover, its difference</w:t>
      </w:r>
      <w:r>
        <w:t xml:space="preserve"> </w:t>
      </w:r>
      <w:r>
        <w:t xml:space="preserve">from 1841 is the same as the difference from 1949.</w:t>
      </w:r>
    </w:p>
    <w:p>
      <w:pPr>
        <w:pStyle w:val="BodyText"/>
      </w:pPr>
      <w:r>
        <w:t xml:space="preserve">These data ignore the redevelopment of parts of the city which happened</w:t>
      </w:r>
      <w:r>
        <w:t xml:space="preserve"> </w:t>
      </w:r>
      <w:r>
        <w:t xml:space="preserve">later. Newly built areas, which are built in the area of previously</w:t>
      </w:r>
      <w:r>
        <w:t xml:space="preserve"> </w:t>
      </w:r>
      <w:r>
        <w:t xml:space="preserve">demolished urban form are not reflected and should be interpreted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However, even with these limitations, the dataset does represent the</w:t>
      </w:r>
      <w:r>
        <w:t xml:space="preserve"> </w:t>
      </w:r>
      <w:r>
        <w:t xml:space="preserve">different periods of Prague’s development, and there should be a</w:t>
      </w:r>
      <w:r>
        <w:t xml:space="preserve"> </w:t>
      </w:r>
      <w:r>
        <w:t xml:space="preserve">significant relation.</w:t>
      </w:r>
    </w:p>
    <w:p>
      <w:pPr>
        <w:pStyle w:val="BodyText"/>
      </w:pPr>
      <w:r>
        <w:t xml:space="preserve">Before doing the analysis itself, data on historic origin were</w:t>
      </w:r>
      <w:r>
        <w:t xml:space="preserve"> </w:t>
      </w:r>
      <w:r>
        <w:t xml:space="preserve">spatially linked to the building layer. Each building got assigned a</w:t>
      </w:r>
      <w:r>
        <w:t xml:space="preserve"> </w:t>
      </w:r>
      <w:r>
        <w:t xml:space="preserve">single category of origin denoting not its own period of origin, but</w:t>
      </w:r>
      <w:r>
        <w:t xml:space="preserve"> </w:t>
      </w:r>
      <w:r>
        <w:t xml:space="preserve">the first moment of the development of the area it sits in.</w:t>
      </w:r>
    </w:p>
    <w:bookmarkEnd w:id="29"/>
    <w:bookmarkStart w:id="30" w:name="land-use-patterns"/>
    <w:p>
      <w:pPr>
        <w:pStyle w:val="Heading6"/>
      </w:pPr>
      <w:r>
        <w:t xml:space="preserve">Land use patterns</w:t>
      </w:r>
    </w:p>
    <w:p>
      <w:pPr>
        <w:pStyle w:val="FirstParagraph"/>
      </w:pPr>
      <w:r>
        <w:t xml:space="preserve">Land use is determining building typology, which is partially reflected</w:t>
      </w:r>
      <w:r>
        <w:t xml:space="preserve"> </w:t>
      </w:r>
      <w:r>
        <w:t xml:space="preserve">in the patterns of urban form. Single-family housing is always</w:t>
      </w:r>
      <w:r>
        <w:t xml:space="preserve"> </w:t>
      </w:r>
      <w:r>
        <w:t xml:space="preserve">different from industrial or commercial areas, while multi-family</w:t>
      </w:r>
      <w:r>
        <w:t xml:space="preserve"> </w:t>
      </w:r>
      <w:r>
        <w:t xml:space="preserve">housing can be developed in a plethora of ways, but still different</w:t>
      </w:r>
      <w:r>
        <w:t xml:space="preserve"> </w:t>
      </w:r>
      <w:r>
        <w:t xml:space="preserve">from other uses. That gives us theoretical grounds for validation of</w:t>
      </w:r>
      <w:r>
        <w:t xml:space="preserve"> </w:t>
      </w:r>
      <w:r>
        <w:t xml:space="preserve">proposed morphometric taxonomy using land-use patterns. However, it has</w:t>
      </w:r>
      <w:r>
        <w:t xml:space="preserve"> </w:t>
      </w:r>
      <w:r>
        <w:t xml:space="preserve">to be noted that such a relation will likely not be perfect, as there</w:t>
      </w:r>
      <w:r>
        <w:t xml:space="preserve"> </w:t>
      </w:r>
      <w:r>
        <w:t xml:space="preserve">are mixed uses in many places.</w:t>
      </w:r>
    </w:p>
    <w:p>
      <w:pPr>
        <w:pStyle w:val="BodyText"/>
      </w:pPr>
      <w:r>
        <w:t xml:space="preserve">The data on land use in Prague capture land use to the level of</w:t>
      </w:r>
      <w:r>
        <w:t xml:space="preserve"> </w:t>
      </w:r>
      <w:r>
        <w:t xml:space="preserve">individual building and plot and divides it into 123 categories.</w:t>
      </w:r>
      <w:r>
        <w:t xml:space="preserve"> </w:t>
      </w:r>
      <w:r>
        <w:t xml:space="preserve">However, only 15 of them contain more than 1,000 buildings. Categories</w:t>
      </w:r>
      <w:r>
        <w:t xml:space="preserve"> </w:t>
      </w:r>
      <w:r>
        <w:t xml:space="preserve">are providing detailed classification, but that does not reflect the</w:t>
      </w:r>
      <w:r>
        <w:t xml:space="preserve"> </w:t>
      </w:r>
      <w:r>
        <w:t xml:space="preserve">predominant tendency of land use within the area but the individual</w:t>
      </w:r>
      <w:r>
        <w:t xml:space="preserve"> </w:t>
      </w:r>
      <w:r>
        <w:t xml:space="preserve">buildings. For that reason, the initial data are used to compute</w:t>
      </w:r>
      <w:r>
        <w:t xml:space="preserve"> </w:t>
      </w:r>
      <w:r>
        <w:t xml:space="preserve">predominant land-use patterns within three topological steps on</w:t>
      </w:r>
      <w:r>
        <w:t xml:space="preserve"> </w:t>
      </w:r>
      <w:r>
        <w:t xml:space="preserve">morphological tessellation. As predominant land-use is seen the one</w:t>
      </w:r>
      <w:r>
        <w:t xml:space="preserve"> </w:t>
      </w:r>
      <w:r>
        <w:t xml:space="preserve">with the highest frequency within the</w:t>
      </w:r>
      <w:r>
        <w:t xml:space="preserve"> </w:t>
      </w:r>
      <w:r>
        <w:rPr>
          <w:iCs/>
          <w:i/>
        </w:rPr>
        <w:t xml:space="preserve">context.</w:t>
      </w:r>
    </w:p>
    <w:p>
      <w:pPr>
        <w:pStyle w:val="BodyText"/>
      </w:pPr>
      <w:r>
        <w:t xml:space="preserve">Initial land-use data are spatially linked to buildings layers to have</w:t>
      </w:r>
      <w:r>
        <w:t xml:space="preserve"> </w:t>
      </w:r>
      <w:r>
        <w:t xml:space="preserve">a single value representing category per building. Then the predominant</w:t>
      </w:r>
      <w:r>
        <w:t xml:space="preserve"> </w:t>
      </w:r>
      <w:r>
        <w:t xml:space="preserve">land-use is calculated based on the context. Out of resulting</w:t>
      </w:r>
      <w:r>
        <w:t xml:space="preserve"> </w:t>
      </w:r>
      <w:r>
        <w:t xml:space="preserve">categories, only 5 (</w:t>
      </w:r>
      <w:r>
        <w:rPr>
          <w:iCs/>
          <w:i/>
        </w:rPr>
        <w:t xml:space="preserve">Multi-family housing, Single-family housing,</w:t>
      </w:r>
      <w:r>
        <w:rPr>
          <w:iCs/>
          <w:i/>
        </w:rPr>
        <w:t xml:space="preserve"> </w:t>
      </w:r>
      <w:r>
        <w:rPr>
          <w:iCs/>
          <w:i/>
        </w:rPr>
        <w:t xml:space="preserve">Villas, Industry small, Industry large</w:t>
      </w:r>
      <w:r>
        <w:t xml:space="preserve">) contain more than 1% of the</w:t>
      </w:r>
      <w:r>
        <w:t xml:space="preserve"> </w:t>
      </w:r>
      <w:r>
        <w:t xml:space="preserve">dataset. For that reason, these five are used, and the rest is denoted</w:t>
      </w:r>
      <w:r>
        <w:t xml:space="preserve"> </w:t>
      </w:r>
      <w:r>
        <w:t xml:space="preserve">as</w:t>
      </w:r>
      <w:r>
        <w:t xml:space="preserve"> </w:t>
      </w:r>
      <w:r>
        <w:rPr>
          <w:iCs/>
          <w:i/>
        </w:rPr>
        <w:t xml:space="preserve">Other</w:t>
      </w:r>
      <w:r>
        <w:t xml:space="preserve">.</w:t>
      </w:r>
    </w:p>
    <w:bookmarkEnd w:id="30"/>
    <w:bookmarkStart w:id="31" w:name="municipal-typology"/>
    <w:p>
      <w:pPr>
        <w:pStyle w:val="Heading6"/>
      </w:pPr>
      <w:r>
        <w:t xml:space="preserve">Municipal typology</w:t>
      </w:r>
    </w:p>
    <w:p>
      <w:pPr>
        <w:pStyle w:val="FirstParagraph"/>
      </w:pPr>
      <w:r>
        <w:t xml:space="preserve">Planning system of Prague is based on the concept of</w:t>
      </w:r>
      <w:r>
        <w:t xml:space="preserve"> </w:t>
      </w:r>
      <w:r>
        <w:rPr>
          <w:iCs/>
          <w:i/>
        </w:rPr>
        <w:t xml:space="preserve">localities</w:t>
      </w:r>
      <w:r>
        <w:t xml:space="preserve">,</w:t>
      </w:r>
      <w:r>
        <w:t xml:space="preserve"> </w:t>
      </w:r>
      <w:r>
        <w:t xml:space="preserve">small neighbourhoods</w:t>
      </w:r>
      <w:r>
        <w:t xml:space="preserve"> </w:t>
      </w:r>
      <w:r>
        <w:t xml:space="preserve">[@institutplanovaniarozvojehlavnihomestaprahy2018]. Each</w:t>
      </w:r>
      <w:r>
        <w:t xml:space="preserve"> </w:t>
      </w:r>
      <w:r>
        <w:t xml:space="preserve">neighbourhood has specified boundaries partially based on its</w:t>
      </w:r>
      <w:r>
        <w:t xml:space="preserve"> </w:t>
      </w:r>
      <w:r>
        <w:t xml:space="preserve">morphology and partially on other aspects, from historical origin to</w:t>
      </w:r>
      <w:r>
        <w:t xml:space="preserve"> </w:t>
      </w:r>
      <w:r>
        <w:t xml:space="preserve">social perception of the area. Furthermore, these neighbourhoods were</w:t>
      </w:r>
      <w:r>
        <w:t xml:space="preserve"> </w:t>
      </w:r>
      <w:r>
        <w:t xml:space="preserve">qualitatively classified into one of the 10</w:t>
      </w:r>
      <w:r>
        <w:t xml:space="preserve"> </w:t>
      </w:r>
      <w:r>
        <w:rPr>
          <w:iCs/>
          <w:i/>
        </w:rPr>
        <w:t xml:space="preserve">structural types</w:t>
      </w:r>
      <w:r>
        <w:t xml:space="preserve">. This</w:t>
      </w:r>
      <w:r>
        <w:t xml:space="preserve"> </w:t>
      </w:r>
      <w:r>
        <w:t xml:space="preserve">municipal typology tends to capture morphology and as such, could be</w:t>
      </w:r>
      <w:r>
        <w:t xml:space="preserve"> </w:t>
      </w:r>
      <w:r>
        <w:t xml:space="preserve">used as a validation method. In the ideal world, this layer would</w:t>
      </w:r>
      <w:r>
        <w:t xml:space="preserve"> </w:t>
      </w:r>
      <w:r>
        <w:t xml:space="preserve">become a ground truth for the morphometric classification. However,</w:t>
      </w:r>
      <w:r>
        <w:t xml:space="preserve"> </w:t>
      </w:r>
      <w:r>
        <w:t xml:space="preserve">that is not possible due to methodological flaws embedded in the</w:t>
      </w:r>
      <w:r>
        <w:t xml:space="preserve"> </w:t>
      </w:r>
      <w:r>
        <w:t xml:space="preserve">typology.</w:t>
      </w:r>
    </w:p>
    <w:p>
      <w:pPr>
        <w:pStyle w:val="BodyText"/>
      </w:pPr>
      <w:r>
        <w:t xml:space="preserve">The typology consists of the following 10 types (loosely translated</w:t>
      </w:r>
      <w:r>
        <w:t xml:space="preserve"> </w:t>
      </w:r>
      <w:r>
        <w:t xml:space="preserve">into English):</w:t>
      </w:r>
    </w:p>
    <w:p>
      <w:pPr>
        <w:numPr>
          <w:ilvl w:val="0"/>
          <w:numId w:val="1007"/>
        </w:numPr>
        <w:pStyle w:val="Compact"/>
      </w:pPr>
      <w:r>
        <w:t xml:space="preserve">organic structure</w:t>
      </w:r>
    </w:p>
    <w:p>
      <w:pPr>
        <w:numPr>
          <w:ilvl w:val="0"/>
          <w:numId w:val="1007"/>
        </w:numPr>
        <w:pStyle w:val="Compact"/>
      </w:pPr>
      <w:r>
        <w:t xml:space="preserve">perimeter block structure</w:t>
      </w:r>
    </w:p>
    <w:p>
      <w:pPr>
        <w:numPr>
          <w:ilvl w:val="0"/>
          <w:numId w:val="1007"/>
        </w:numPr>
        <w:pStyle w:val="Compact"/>
      </w:pPr>
      <w:r>
        <w:t xml:space="preserve">hybrid structure</w:t>
      </w:r>
    </w:p>
    <w:p>
      <w:pPr>
        <w:numPr>
          <w:ilvl w:val="0"/>
          <w:numId w:val="1007"/>
        </w:numPr>
        <w:pStyle w:val="Compact"/>
      </w:pPr>
      <w:r>
        <w:t xml:space="preserve">heterogenous structure</w:t>
      </w:r>
    </w:p>
    <w:p>
      <w:pPr>
        <w:numPr>
          <w:ilvl w:val="0"/>
          <w:numId w:val="1007"/>
        </w:numPr>
        <w:pStyle w:val="Compact"/>
      </w:pPr>
      <w:r>
        <w:t xml:space="preserve">village structure</w:t>
      </w:r>
    </w:p>
    <w:p>
      <w:pPr>
        <w:numPr>
          <w:ilvl w:val="0"/>
          <w:numId w:val="1007"/>
        </w:numPr>
        <w:pStyle w:val="Compact"/>
      </w:pPr>
      <w:r>
        <w:t xml:space="preserve">garden city structure</w:t>
      </w:r>
    </w:p>
    <w:p>
      <w:pPr>
        <w:numPr>
          <w:ilvl w:val="0"/>
          <w:numId w:val="1007"/>
        </w:numPr>
        <w:pStyle w:val="Compact"/>
      </w:pPr>
      <w:r>
        <w:t xml:space="preserve">modernist structure</w:t>
      </w:r>
    </w:p>
    <w:p>
      <w:pPr>
        <w:numPr>
          <w:ilvl w:val="0"/>
          <w:numId w:val="1007"/>
        </w:numPr>
        <w:pStyle w:val="Compact"/>
      </w:pPr>
      <w:r>
        <w:t xml:space="preserve">production area</w:t>
      </w:r>
    </w:p>
    <w:p>
      <w:pPr>
        <w:numPr>
          <w:ilvl w:val="0"/>
          <w:numId w:val="1007"/>
        </w:numPr>
        <w:pStyle w:val="Compact"/>
      </w:pPr>
      <w:r>
        <w:t xml:space="preserve">services area</w:t>
      </w:r>
    </w:p>
    <w:p>
      <w:pPr>
        <w:numPr>
          <w:ilvl w:val="0"/>
          <w:numId w:val="1007"/>
        </w:numPr>
        <w:pStyle w:val="Compact"/>
      </w:pPr>
      <w:r>
        <w:t xml:space="preserve">linear structure</w:t>
      </w:r>
    </w:p>
    <w:p>
      <w:pPr>
        <w:pStyle w:val="FirstParagraph"/>
      </w:pPr>
      <w:r>
        <w:t xml:space="preserve">While these types might work for planning purposes, they are</w:t>
      </w:r>
      <w:r>
        <w:t xml:space="preserve"> </w:t>
      </w:r>
      <w:r>
        <w:t xml:space="preserve">conceptually incoherent mixing types based on morphology (organic,</w:t>
      </w:r>
      <w:r>
        <w:t xml:space="preserve"> </w:t>
      </w:r>
      <w:r>
        <w:t xml:space="preserve">perimeter block) with those based on planning ideology (garden city,</w:t>
      </w:r>
      <w:r>
        <w:t xml:space="preserve"> </w:t>
      </w:r>
      <w:r>
        <w:t xml:space="preserve">modernist), or those based on land use (production, services).</w:t>
      </w:r>
      <w:r>
        <w:t xml:space="preserve"> </w:t>
      </w:r>
      <w:r>
        <w:t xml:space="preserve">Moreover, the fixation of the typology to</w:t>
      </w:r>
      <w:r>
        <w:t xml:space="preserve"> </w:t>
      </w:r>
      <w:r>
        <w:rPr>
          <w:iCs/>
          <w:i/>
        </w:rPr>
        <w:t xml:space="preserve">localities</w:t>
      </w:r>
      <w:r>
        <w:t xml:space="preserve"> </w:t>
      </w:r>
      <w:r>
        <w:t xml:space="preserve">comes with</w:t>
      </w:r>
      <w:r>
        <w:t xml:space="preserve"> </w:t>
      </w:r>
      <w:r>
        <w:t xml:space="preserve">Modifiable Aerial Unit Problem [@openshaw1984], leading to the</w:t>
      </w:r>
      <w:r>
        <w:t xml:space="preserve"> </w:t>
      </w:r>
      <w:r>
        <w:t xml:space="preserve">inclusion of ambiguous loosely defined hybrid and heterogeneous types.</w:t>
      </w:r>
    </w:p>
    <w:p>
      <w:pPr>
        <w:pStyle w:val="BodyText"/>
      </w:pPr>
      <w:r>
        <w:t xml:space="preserve">However, the typology itself, considering above mentioned limitations,</w:t>
      </w:r>
      <w:r>
        <w:t xml:space="preserve"> </w:t>
      </w:r>
      <w:r>
        <w:t xml:space="preserve">reflects what the planning authority thinks Prague is composed of, and</w:t>
      </w:r>
      <w:r>
        <w:t xml:space="preserve"> </w:t>
      </w:r>
      <w:r>
        <w:t xml:space="preserve">it is worth studying the relation of this qualitative typology to the</w:t>
      </w:r>
      <w:r>
        <w:t xml:space="preserve"> </w:t>
      </w:r>
      <w:r>
        <w:t xml:space="preserve">proposed quantitative classification. The only adaptation which needs</w:t>
      </w:r>
      <w:r>
        <w:t xml:space="preserve"> </w:t>
      </w:r>
      <w:r>
        <w:t xml:space="preserve">to be done is the exclusion of hybrid and heterogenous types from the</w:t>
      </w:r>
      <w:r>
        <w:t xml:space="preserve"> </w:t>
      </w:r>
      <w:r>
        <w:t xml:space="preserve">analysis due to their MAUP-based origin and of linear structure</w:t>
      </w:r>
      <w:r>
        <w:t xml:space="preserve"> </w:t>
      </w:r>
      <w:r>
        <w:t xml:space="preserve">capturing railway structures only.</w:t>
      </w:r>
    </w:p>
    <w:p>
      <w:pPr>
        <w:pStyle w:val="BodyText"/>
      </w:pPr>
      <w:r>
        <w:t xml:space="preserve">The data provided as polygons represented localities are spatially</w:t>
      </w:r>
      <w:r>
        <w:t xml:space="preserve"> </w:t>
      </w:r>
      <w:r>
        <w:t xml:space="preserve">joined to buildings layer, and features containing excluded types are</w:t>
      </w:r>
      <w:r>
        <w:t xml:space="preserve"> </w:t>
      </w:r>
      <w:r>
        <w:t xml:space="preserve">removed from the data.</w:t>
      </w:r>
    </w:p>
    <w:bookmarkEnd w:id="31"/>
    <w:bookmarkEnd w:id="32"/>
    <w:bookmarkEnd w:id="33"/>
    <w:bookmarkStart w:id="36" w:name="transferability-of-the-method"/>
    <w:p>
      <w:pPr>
        <w:pStyle w:val="Heading4"/>
      </w:pPr>
      <w:r>
        <w:t xml:space="preserve">Transferability of the method</w:t>
      </w:r>
    </w:p>
    <w:p>
      <w:pPr>
        <w:pStyle w:val="FirstParagraph"/>
      </w:pPr>
      <w:r>
        <w:t xml:space="preserve">The proposed method of identification of urban tissues is validated in</w:t>
      </w:r>
      <w:r>
        <w:t xml:space="preserve"> </w:t>
      </w:r>
      <w:r>
        <w:t xml:space="preserve">the context of Prague using the methods above. However, that by itself</w:t>
      </w:r>
      <w:r>
        <w:t xml:space="preserve"> </w:t>
      </w:r>
      <w:r>
        <w:t xml:space="preserve">does not ensure that the method is transferable and applicable</w:t>
      </w:r>
      <w:r>
        <w:t xml:space="preserve"> </w:t>
      </w:r>
      <w:r>
        <w:t xml:space="preserve">elsewhere. Different geographical contexts, bringing various types of</w:t>
      </w:r>
      <w:r>
        <w:t xml:space="preserve"> </w:t>
      </w:r>
      <w:r>
        <w:t xml:space="preserve">urban tissues, and their underlying spatial logic may be challenging</w:t>
      </w:r>
      <w:r>
        <w:t xml:space="preserve"> </w:t>
      </w:r>
      <w:r>
        <w:t xml:space="preserve">for a method tested in a single, no matter how heterogenous, case. The</w:t>
      </w:r>
      <w:r>
        <w:t xml:space="preserve"> </w:t>
      </w:r>
      <w:r>
        <w:t xml:space="preserve">transferability of the method is a critical feature for its robustness</w:t>
      </w:r>
      <w:r>
        <w:t xml:space="preserve"> </w:t>
      </w:r>
      <w:r>
        <w:t xml:space="preserve">and applicability. The method should show similar performance, in terms</w:t>
      </w:r>
      <w:r>
        <w:t xml:space="preserve"> </w:t>
      </w:r>
      <w:r>
        <w:t xml:space="preserve">of identification of tissue types and a consequent taxonomy, in</w:t>
      </w:r>
      <w:r>
        <w:t xml:space="preserve"> </w:t>
      </w:r>
      <w:r>
        <w:t xml:space="preserve">additional case studies.</w:t>
      </w:r>
    </w:p>
    <w:p>
      <w:pPr>
        <w:pStyle w:val="BodyText"/>
      </w:pPr>
      <w:r>
        <w:t xml:space="preserve">Therefore, the method as it stands is tested on the case of Amsterdam,</w:t>
      </w:r>
      <w:r>
        <w:t xml:space="preserve"> </w:t>
      </w:r>
      <w:r>
        <w:t xml:space="preserve">NL. Both Amsterdam and Prague are heterogeneous cities with several</w:t>
      </w:r>
      <w:r>
        <w:t xml:space="preserve"> </w:t>
      </w:r>
      <w:r>
        <w:t xml:space="preserve">historical layers, but of different planning context during their</w:t>
      </w:r>
      <w:r>
        <w:t xml:space="preserve"> </w:t>
      </w:r>
      <w:r>
        <w:t xml:space="preserve">respective developments.</w:t>
      </w:r>
    </w:p>
    <w:bookmarkStart w:id="34" w:name="urban-tissues-of-amsterdam"/>
    <w:p>
      <w:pPr>
        <w:pStyle w:val="Heading5"/>
      </w:pPr>
      <w:r>
        <w:t xml:space="preserve">Urban tissues of Amsterdam</w:t>
      </w:r>
    </w:p>
    <w:p>
      <w:pPr>
        <w:pStyle w:val="FirstParagraph"/>
      </w:pPr>
      <w:r>
        <w:t xml:space="preserve">The first part of the analysis of Amsterdam is the identification of</w:t>
      </w:r>
      <w:r>
        <w:t xml:space="preserve"> </w:t>
      </w:r>
      <w:r>
        <w:t xml:space="preserve">urban tissue types using the method proposed in chapter 7. Precisely</w:t>
      </w:r>
      <w:r>
        <w:t xml:space="preserve"> </w:t>
      </w:r>
      <w:r>
        <w:t xml:space="preserve">the same set of primary and contextual characters is used within</w:t>
      </w:r>
      <w:r>
        <w:t xml:space="preserve"> </w:t>
      </w:r>
      <w:r>
        <w:t xml:space="preserve">Gaussian Mixture Model clustering and related BIC analysis of the</w:t>
      </w:r>
      <w:r>
        <w:t xml:space="preserve"> </w:t>
      </w:r>
      <w:r>
        <w:t xml:space="preserve">number of components. For the details of the method, refer to the</w:t>
      </w:r>
      <w:r>
        <w:t xml:space="preserve"> </w:t>
      </w:r>
      <w:r>
        <w:t xml:space="preserve">previous chapter. Similarly, the method of hierarchical clustering</w:t>
      </w:r>
      <w:r>
        <w:t xml:space="preserve"> </w:t>
      </w:r>
      <w:r>
        <w:t xml:space="preserve">proposed in section 8.2.1 is applied to the resulting tissue types.</w:t>
      </w:r>
    </w:p>
    <w:p>
      <w:pPr>
        <w:pStyle w:val="BodyText"/>
      </w:pPr>
      <w:r>
        <w:t xml:space="preserve">Both results will be assessed visually on a map to understand whether</w:t>
      </w:r>
      <w:r>
        <w:t xml:space="preserve"> </w:t>
      </w:r>
      <w:r>
        <w:t xml:space="preserve">the clusters alone and within their branches are interpretable and</w:t>
      </w:r>
      <w:r>
        <w:t xml:space="preserve"> </w:t>
      </w:r>
      <w:r>
        <w:t xml:space="preserve">contiguous.</w:t>
      </w:r>
    </w:p>
    <w:bookmarkEnd w:id="34"/>
    <w:bookmarkStart w:id="35" w:name="validation-of-clustering-in-amsterdam"/>
    <w:p>
      <w:pPr>
        <w:pStyle w:val="Heading5"/>
      </w:pPr>
      <w:r>
        <w:t xml:space="preserve">Validation of clustering in Amsterdam</w:t>
      </w:r>
    </w:p>
    <w:p>
      <w:pPr>
        <w:pStyle w:val="FirstParagraph"/>
      </w:pPr>
      <w:r>
        <w:t xml:space="preserve">The resulting clusters in Amsterdam are validated using the method</w:t>
      </w:r>
      <w:r>
        <w:t xml:space="preserve"> </w:t>
      </w:r>
      <w:r>
        <w:t xml:space="preserve">proposed in section above, using data on the historical origin of each</w:t>
      </w:r>
      <w:r>
        <w:t xml:space="preserve"> </w:t>
      </w:r>
      <w:r>
        <w:t xml:space="preserve">building. In the case of the datasets obtained from @dukai2020, each</w:t>
      </w:r>
      <w:r>
        <w:t xml:space="preserve"> </w:t>
      </w:r>
      <w:r>
        <w:t xml:space="preserve">building has assigned a year of its construction. Unlike in Prague, the</w:t>
      </w:r>
      <w:r>
        <w:t xml:space="preserve"> </w:t>
      </w:r>
      <w:r>
        <w:t xml:space="preserve">year does not represent the data when the area/plot was first built-up,</w:t>
      </w:r>
      <w:r>
        <w:t xml:space="preserve"> </w:t>
      </w:r>
      <w:r>
        <w:t xml:space="preserve">but the latest construction. Even though the data are not initially</w:t>
      </w:r>
      <w:r>
        <w:t xml:space="preserve"> </w:t>
      </w:r>
      <w:r>
        <w:t xml:space="preserve">binned, only buildings constructed after the year 1800 have a specific</w:t>
      </w:r>
      <w:r>
        <w:t xml:space="preserve"> </w:t>
      </w:r>
      <w:r>
        <w:t xml:space="preserve">year. To ensure the compatibility of the data with those used in Prague</w:t>
      </w:r>
      <w:r>
        <w:t xml:space="preserve"> </w:t>
      </w:r>
      <w:r>
        <w:t xml:space="preserve">and to avoid issues with pre-1800 periods, the origin dates are</w:t>
      </w:r>
      <w:r>
        <w:t xml:space="preserve"> </w:t>
      </w:r>
      <w:r>
        <w:t xml:space="preserve">therefore binned into 11 groups following the classification of</w:t>
      </w:r>
      <w:r>
        <w:t xml:space="preserve"> </w:t>
      </w:r>
      <w:r>
        <w:t xml:space="preserve">@spaan2015. The rest of the validation follows the method outlined in .</w:t>
      </w:r>
    </w:p>
    <w:bookmarkEnd w:id="35"/>
    <w:bookmarkEnd w:id="36"/>
    <w:bookmarkStart w:id="37" w:name="expandability-of-the-classification"/>
    <w:p>
      <w:pPr>
        <w:pStyle w:val="Heading4"/>
      </w:pPr>
      <w:r>
        <w:t xml:space="preserve">Expandability of the classification</w:t>
      </w:r>
    </w:p>
    <w:p>
      <w:pPr>
        <w:pStyle w:val="FirstParagraph"/>
      </w:pPr>
      <w:r>
        <w:t xml:space="preserve">The study of expandability of hierarchical classification is the last</w:t>
      </w:r>
      <w:r>
        <w:t xml:space="preserve"> </w:t>
      </w:r>
      <w:r>
        <w:t xml:space="preserve">methodological step in the whole thesis, and its role is to understand</w:t>
      </w:r>
      <w:r>
        <w:t xml:space="preserve"> </w:t>
      </w:r>
      <w:r>
        <w:t xml:space="preserve">whether results of the morphometric study from one case study can be</w:t>
      </w:r>
      <w:r>
        <w:t xml:space="preserve"> </w:t>
      </w:r>
      <w:r>
        <w:t xml:space="preserve">related to another case study. Expandability of the classification is</w:t>
      </w:r>
      <w:r>
        <w:t xml:space="preserve"> </w:t>
      </w:r>
      <w:r>
        <w:t xml:space="preserve">crucial for further expansion of the database of urban tissue types.</w:t>
      </w:r>
      <w:r>
        <w:t xml:space="preserve"> </w:t>
      </w:r>
      <w:r>
        <w:t xml:space="preserve">Even though clusters and hierarchical classification may work in</w:t>
      </w:r>
      <w:r>
        <w:t xml:space="preserve"> </w:t>
      </w:r>
      <w:r>
        <w:t xml:space="preserve">individual cases, the question is whether we can combine the results to</w:t>
      </w:r>
      <w:r>
        <w:t xml:space="preserve"> </w:t>
      </w:r>
      <w:r>
        <w:t xml:space="preserve">a single taxonomy. It tests the compatibility of results and a</w:t>
      </w:r>
      <w:r>
        <w:t xml:space="preserve"> </w:t>
      </w:r>
      <w:r>
        <w:t xml:space="preserve">potential issue of clustering being tied to a single context. The</w:t>
      </w:r>
      <w:r>
        <w:t xml:space="preserve"> </w:t>
      </w:r>
      <w:r>
        <w:t xml:space="preserve">optimal situation would mirror the biological world, where a newly</w:t>
      </w:r>
      <w:r>
        <w:t xml:space="preserve"> </w:t>
      </w:r>
      <w:r>
        <w:t xml:space="preserve">discovered species can be usually embedded into an existing taxonomy.</w:t>
      </w:r>
      <w:r>
        <w:t xml:space="preserve"> </w:t>
      </w:r>
      <w:r>
        <w:t xml:space="preserve">However, to get to the stabilised situation where taxonomy is not</w:t>
      </w:r>
      <w:r>
        <w:t xml:space="preserve"> </w:t>
      </w:r>
      <w:r>
        <w:t xml:space="preserve">substantially changed by the discovery of a new species, we first need</w:t>
      </w:r>
      <w:r>
        <w:t xml:space="preserve"> </w:t>
      </w:r>
      <w:r>
        <w:t xml:space="preserve">a critical mass of species to be included. That is certainly not the</w:t>
      </w:r>
      <w:r>
        <w:t xml:space="preserve"> </w:t>
      </w:r>
      <w:r>
        <w:t xml:space="preserve">case in newly built taxonomy of urban form, and it is expected that it</w:t>
      </w:r>
      <w:r>
        <w:t xml:space="preserve"> </w:t>
      </w:r>
      <w:r>
        <w:t xml:space="preserve">could be relatively unstable in the beginning and stabilise by the</w:t>
      </w:r>
      <w:r>
        <w:t xml:space="preserve"> </w:t>
      </w:r>
      <w:r>
        <w:t xml:space="preserve">inclusion of more cases.</w:t>
      </w:r>
    </w:p>
    <w:p>
      <w:pPr>
        <w:pStyle w:val="BodyText"/>
      </w:pPr>
      <w:r>
        <w:t xml:space="preserve">The method can be considered extensible if the taxonomy of tissue types</w:t>
      </w:r>
      <w:r>
        <w:t xml:space="preserve"> </w:t>
      </w:r>
      <w:r>
        <w:t xml:space="preserve">from Prague and Amsterdam combined does not substantially change the</w:t>
      </w:r>
      <w:r>
        <w:t xml:space="preserve"> </w:t>
      </w:r>
      <w:r>
        <w:t xml:space="preserve">interpretative value of dendrograms.</w:t>
      </w:r>
    </w:p>
    <w:p>
      <w:pPr>
        <w:pStyle w:val="BodyText"/>
      </w:pPr>
      <w:r>
        <w:t xml:space="preserve">The generation of the combined taxonomy is a straightforward process.</w:t>
      </w:r>
      <w:r>
        <w:t xml:space="preserve"> </w:t>
      </w:r>
      <w:r>
        <w:t xml:space="preserve">All clusters from both cases are combined into a single pool and used</w:t>
      </w:r>
      <w:r>
        <w:t xml:space="preserve"> </w:t>
      </w:r>
      <w:r>
        <w:t xml:space="preserve">as an input of Ward’s hierarchical clustering. The resulting dendrogram</w:t>
      </w:r>
      <w:r>
        <w:t xml:space="preserve"> </w:t>
      </w:r>
      <w:r>
        <w:t xml:space="preserve">is then compared to the initial individual dendrograms, and their</w:t>
      </w:r>
      <w:r>
        <w:t xml:space="preserve"> </w:t>
      </w:r>
      <w:r>
        <w:t xml:space="preserve">structures are compared. That reflects whether resulting branches</w:t>
      </w:r>
      <w:r>
        <w:t xml:space="preserve"> </w:t>
      </w:r>
      <w:r>
        <w:t xml:space="preserve">capture similar tissues in both contexts. The results are then visually</w:t>
      </w:r>
      <w:r>
        <w:t xml:space="preserve"> </w:t>
      </w:r>
      <w:r>
        <w:t xml:space="preserve">assessed using branches mapped on to the urban form of both cities</w:t>
      </w:r>
      <w:r>
        <w:t xml:space="preserve"> </w:t>
      </w:r>
      <w:r>
        <w:t xml:space="preserve">alongside.</w:t>
      </w:r>
    </w:p>
    <w:p>
      <w:pPr>
        <w:pStyle w:val="BodyText"/>
      </w:pPr>
      <w:r>
        <w:t xml:space="preserve">The final step is an interpretative analysis of the reshuffle of</w:t>
      </w:r>
      <w:r>
        <w:t xml:space="preserve"> </w:t>
      </w:r>
      <w:r>
        <w:t xml:space="preserve">clusters between individual dendrograms and a combined one. In the</w:t>
      </w:r>
      <w:r>
        <w:t xml:space="preserve"> </w:t>
      </w:r>
      <w:r>
        <w:t xml:space="preserve">ideal case, tissue types which are in a single branch in an individual</w:t>
      </w:r>
      <w:r>
        <w:t xml:space="preserve"> </w:t>
      </w:r>
      <w:r>
        <w:t xml:space="preserve">tree should stay within a single branch in a combined one. However, as</w:t>
      </w:r>
      <w:r>
        <w:t xml:space="preserve"> </w:t>
      </w:r>
      <w:r>
        <w:t xml:space="preserve">mentioned above, it is expected that some degree of reshuffle may</w:t>
      </w:r>
      <w:r>
        <w:t xml:space="preserve"> </w:t>
      </w:r>
      <w:r>
        <w:t xml:space="preserve">happen when a classification structure is not yet saturated.</w:t>
      </w:r>
    </w:p>
    <w:p>
      <w:pPr>
        <w:pStyle w:val="BodyText"/>
      </w:pPr>
      <w:r>
        <w:t xml:space="preserve">The following section applies the methods and presents their results.</w:t>
      </w:r>
    </w:p>
    <w:bookmarkEnd w:id="37"/>
    <w:bookmarkEnd w:id="38"/>
    <w:bookmarkEnd w:id="39"/>
    <w:bookmarkStart w:id="51" w:name="X5893fe8ad24c1c84854302fbaf2c14e9d2b3b26"/>
    <w:p>
      <w:pPr>
        <w:pStyle w:val="Heading2"/>
      </w:pPr>
      <w:r>
        <w:t xml:space="preserve">Case studies - continuation of Prague, Amsterdam</w:t>
      </w:r>
    </w:p>
    <w:p>
      <w:pPr>
        <w:pStyle w:val="FirstParagraph"/>
      </w:pPr>
      <w:r>
        <w:t xml:space="preserve">This section presents the results of the methods proposed in the</w:t>
      </w:r>
      <w:r>
        <w:t xml:space="preserve"> </w:t>
      </w:r>
      <w:r>
        <w:t xml:space="preserve">previous one. It starts with the continuation of the work on Prague</w:t>
      </w:r>
      <w:r>
        <w:t xml:space="preserve"> </w:t>
      </w:r>
      <w:r>
        <w:t xml:space="preserve">presented in the previous chapter, developing hierarchical clustering</w:t>
      </w:r>
      <w:r>
        <w:t xml:space="preserve"> </w:t>
      </w:r>
      <w:r>
        <w:t xml:space="preserve">of initially identified urban tissue types. Further, it presents the</w:t>
      </w:r>
      <w:r>
        <w:t xml:space="preserve"> </w:t>
      </w:r>
      <w:r>
        <w:t xml:space="preserve">indirect validation of the results using non-morphological data. The</w:t>
      </w:r>
      <w:r>
        <w:t xml:space="preserve"> </w:t>
      </w:r>
      <w:r>
        <w:t xml:space="preserve">second part presents an inclusion of Amsterdam case study, as the</w:t>
      </w:r>
      <w:r>
        <w:t xml:space="preserve"> </w:t>
      </w:r>
      <w:r>
        <w:t xml:space="preserve">delineation of tissue types, taxonomy and validation using historical</w:t>
      </w:r>
      <w:r>
        <w:t xml:space="preserve"> </w:t>
      </w:r>
      <w:r>
        <w:t xml:space="preserve">origin. The final section discusses expandability of the proposed</w:t>
      </w:r>
      <w:r>
        <w:t xml:space="preserve"> </w:t>
      </w:r>
      <w:r>
        <w:t xml:space="preserve">method testing its ability to form a methodological foundation of a</w:t>
      </w:r>
      <w:r>
        <w:t xml:space="preserve"> </w:t>
      </w:r>
      <w:r>
        <w:t xml:space="preserve">general atlas of urban form.</w:t>
      </w:r>
    </w:p>
    <w:bookmarkStart w:id="40" w:name="hierarchical-clustering-1"/>
    <w:p>
      <w:pPr>
        <w:pStyle w:val="Heading3"/>
      </w:pPr>
      <w:r>
        <w:t xml:space="preserve">Hierarchical clustering</w:t>
      </w:r>
    </w:p>
    <w:p>
      <w:pPr>
        <w:pStyle w:val="FirstParagraph"/>
      </w:pPr>
      <w:r>
        <w:t xml:space="preserve">The centroid values of each cluster, obtained as a mean value of each</w:t>
      </w:r>
      <w:r>
        <w:t xml:space="preserve"> </w:t>
      </w:r>
      <w:r>
        <w:t xml:space="preserve">morphometric character, are used taxonomic characters within Ward’s</w:t>
      </w:r>
      <w:r>
        <w:t xml:space="preserve"> </w:t>
      </w:r>
      <w:r>
        <w:t xml:space="preserve">hierarchical clustering. The resulting relationship between centroids,</w:t>
      </w:r>
      <w:r>
        <w:t xml:space="preserve"> </w:t>
      </w:r>
      <w:r>
        <w:t xml:space="preserve">representing the relationship between identified urban tissues, is</w:t>
      </w:r>
      <w:r>
        <w:t xml:space="preserve"> </w:t>
      </w:r>
      <w:r>
        <w:t xml:space="preserve">illustrated on the dendrogram on figure . The horizontal axis</w:t>
      </w:r>
      <w:r>
        <w:t xml:space="preserve"> </w:t>
      </w:r>
      <w:r>
        <w:t xml:space="preserve">represents each individual cluster, while the vertical axis captures</w:t>
      </w:r>
      <w:r>
        <w:t xml:space="preserve"> </w:t>
      </w:r>
      <w:r>
        <w:t xml:space="preserve">the cophenetic distance, i.e. the similarity between observations. The</w:t>
      </w:r>
      <w:r>
        <w:t xml:space="preserve"> </w:t>
      </w:r>
      <w:r>
        <w:t xml:space="preserve">lower the connection between two branches is, the more similar the</w:t>
      </w:r>
      <w:r>
        <w:t xml:space="preserve"> </w:t>
      </w:r>
      <w:r>
        <w:t xml:space="preserve">tissues represented by these branches tend to be. The values under each</w:t>
      </w:r>
      <w:r>
        <w:t xml:space="preserve"> </w:t>
      </w:r>
      <w:r>
        <w:t xml:space="preserve">connection represent the actual cophenetic distance of a connection and</w:t>
      </w:r>
      <w:r>
        <w:t xml:space="preserve"> </w:t>
      </w:r>
      <w:r>
        <w:t xml:space="preserve">number of observations which belong to the link. The different branches</w:t>
      </w:r>
      <w:r>
        <w:t xml:space="preserve"> </w:t>
      </w:r>
      <w:r>
        <w:t xml:space="preserve">of the tree are coloured to ease the interpretation of the tree itself</w:t>
      </w:r>
      <w:r>
        <w:t xml:space="preserve"> </w:t>
      </w:r>
      <w:r>
        <w:t xml:space="preserve">and to provide the visual link between the dendrogram and the resulting</w:t>
      </w:r>
      <w:r>
        <w:t xml:space="preserve"> </w:t>
      </w:r>
      <w:r>
        <w:t xml:space="preserve">spatial distribution of branches.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in Prague. The y-axis shows a cophenetic distance</w:t>
      </w:r>
      <w:r>
        <w:t xml:space="preserve"> </w:t>
      </w:r>
      <w:r>
        <w:t xml:space="preserve">between individual clusters, i.e. their morphometric similarity.</w:t>
      </w:r>
      <w:r>
        <w:t xml:space="preserve"> </w:t>
      </w:r>
      <w:r>
        <w:t xml:space="preserve">Branches are interpretative coloured - the colours are then used on</w:t>
      </w:r>
      <w:r>
        <w:t xml:space="preserve"> </w:t>
      </w:r>
      <w:r>
        <w:t xml:space="preserve">maps illustrating spatial distribution of these branches.</w:t>
      </w:r>
    </w:p>
    <w:p>
      <w:pPr>
        <w:pStyle w:val="BodyText"/>
      </w:pPr>
      <w:r>
        <w:t xml:space="preserve">The dendrogram shows several major bifurcations on different levels of</w:t>
      </w:r>
      <w:r>
        <w:t xml:space="preserve"> </w:t>
      </w:r>
      <w:r>
        <w:t xml:space="preserve">cophenetic distance, indicating several distinct groups of urban</w:t>
      </w:r>
      <w:r>
        <w:t xml:space="preserve"> </w:t>
      </w:r>
      <w:r>
        <w:t xml:space="preserve">tissues. However, the exploration and interpretation of each branch</w:t>
      </w:r>
      <w:r>
        <w:t xml:space="preserve"> </w:t>
      </w:r>
      <w:r>
        <w:t xml:space="preserve">require the projection of the results into the geographical space. To</w:t>
      </w:r>
      <w:r>
        <w:t xml:space="preserve"> </w:t>
      </w:r>
      <w:r>
        <w:t xml:space="preserve">allow that, each cluster is coloured according to the branch of the</w:t>
      </w:r>
      <w:r>
        <w:t xml:space="preserve"> </w:t>
      </w:r>
      <w:r>
        <w:t xml:space="preserve">dendrogram it belongs to, using different lightness of the same hue to</w:t>
      </w:r>
      <w:r>
        <w:t xml:space="preserve"> </w:t>
      </w:r>
      <w:r>
        <w:t xml:space="preserve">distinguish between individual clusters. The spatial distribution of</w:t>
      </w:r>
      <w:r>
        <w:t xml:space="preserve"> </w:t>
      </w:r>
      <w:r>
        <w:t xml:space="preserve">hierarchically represented cluster in the whole Prague is illustrated</w:t>
      </w:r>
      <w:r>
        <w:t xml:space="preserve"> </w:t>
      </w:r>
      <w:r>
        <w:t xml:space="preserve">on the figure , and the detail of the city centre is shown on the</w:t>
      </w:r>
      <w:r>
        <w:t xml:space="preserve"> </w:t>
      </w:r>
      <w:r>
        <w:t xml:space="preserve">figure .</w:t>
      </w:r>
    </w:p>
    <w:p>
      <w:pPr>
        <w:pStyle w:val="BodyText"/>
      </w:pPr>
    </w:p>
    <w:p>
      <w:pPr>
        <w:pStyle w:val="BodyText"/>
      </w:pPr>
      <w:r>
        <w:t xml:space="preserve">Spatial distribution of different branches of the dendrogram. Each</w:t>
      </w:r>
      <w:r>
        <w:t xml:space="preserve"> </w:t>
      </w:r>
      <w:r>
        <w:t xml:space="preserve">tissue type is coloured according to a branch it belongs to, with a</w:t>
      </w:r>
      <w:r>
        <w:t xml:space="preserve"> </w:t>
      </w:r>
      <w:r>
        <w:t xml:space="preserve">minor differences in colour intensity to allow for distinguishing of</w:t>
      </w:r>
      <w:r>
        <w:t xml:space="preserve"> </w:t>
      </w:r>
      <w:r>
        <w:t xml:space="preserve">individual clusters.</w:t>
      </w:r>
    </w:p>
    <w:p>
      <w:pPr>
        <w:pStyle w:val="BodyText"/>
      </w:pPr>
      <w:r>
        <w:t xml:space="preserve">Spatial distribution of different branches of dendrogram zoomed to the</w:t>
      </w:r>
      <w:r>
        <w:t xml:space="preserve"> </w:t>
      </w:r>
      <w:r>
        <w:t xml:space="preserve">central area of Prague. Each tissue type is coloured according to a</w:t>
      </w:r>
      <w:r>
        <w:t xml:space="preserve"> </w:t>
      </w:r>
      <w:r>
        <w:t xml:space="preserve">branch it belongs to, with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  <w:r>
        <w:t xml:space="preserve">Examining the dendrogram, we can highlight the different branches to</w:t>
      </w:r>
      <w:r>
        <w:t xml:space="preserve"> </w:t>
      </w:r>
      <w:r>
        <w:t xml:space="preserve">understand their spatial distribution. Starting from the top of the</w:t>
      </w:r>
      <w:r>
        <w:t xml:space="preserve"> </w:t>
      </w:r>
      <w:r>
        <w:t xml:space="preserve">dendrogram, from the bifurcation with the higher cophenetic distance</w:t>
      </w:r>
      <w:r>
        <w:t xml:space="preserve"> </w:t>
      </w:r>
      <w:r>
        <w:t xml:space="preserve">(43.53), we can divide Prague’s urban form into two major taxa. The</w:t>
      </w:r>
      <w:r>
        <w:t xml:space="preserve"> </w:t>
      </w:r>
      <w:r>
        <w:t xml:space="preserve">right side of the tree represent urban form we could call</w:t>
      </w:r>
      <w:r>
        <w:t xml:space="preserve"> </w:t>
      </w:r>
      <w:r>
        <w:rPr>
          <w:iCs/>
          <w:i/>
        </w:rPr>
        <w:t xml:space="preserve">organised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 </w:t>
      </w:r>
      <w:r>
        <w:t xml:space="preserve">and is illustrated in figure . It consists of areas of mixed</w:t>
      </w:r>
      <w:r>
        <w:t xml:space="preserve"> </w:t>
      </w:r>
      <w:r>
        <w:t xml:space="preserve">origin, spanning from the historical core to modernist and contemporary</w:t>
      </w:r>
      <w:r>
        <w:t xml:space="preserve"> </w:t>
      </w:r>
      <w:r>
        <w:t xml:space="preserve">developments. The common characteristic is predominantly residential</w:t>
      </w:r>
      <w:r>
        <w:t xml:space="preserve"> </w:t>
      </w:r>
      <w:r>
        <w:t xml:space="preserve">nature of all tissues.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city. We can see a relative contiguity in the city centre but scattered</w:t>
      </w:r>
      <w:r>
        <w:t xml:space="preserve"> </w:t>
      </w:r>
      <w:r>
        <w:t xml:space="preserve">discontinuous areas in the periphery.</w:t>
      </w:r>
    </w:p>
    <w:p>
      <w:pPr>
        <w:pStyle w:val="BodyText"/>
      </w:pPr>
      <w:r>
        <w:t xml:space="preserve">On the other side lies an</w:t>
      </w:r>
      <w:r>
        <w:t xml:space="preserve"> </w:t>
      </w:r>
      <w:r>
        <w:rPr>
          <w:iCs/>
          <w:i/>
        </w:rPr>
        <w:t xml:space="preserve">unorganised city</w:t>
      </w:r>
      <w:r>
        <w:t xml:space="preserve">. It contains both</w:t>
      </w:r>
      <w:r>
        <w:t xml:space="preserve"> </w:t>
      </w:r>
      <w:r>
        <w:t xml:space="preserve">industrial and fringe areas as well as contemporary office parks. The</w:t>
      </w:r>
      <w:r>
        <w:t xml:space="preserve"> </w:t>
      </w:r>
      <w:r>
        <w:t xml:space="preserve">apparent shared logic is a relative disorder of patterns and high</w:t>
      </w:r>
      <w:r>
        <w:t xml:space="preserve"> </w:t>
      </w:r>
      <w:r>
        <w:t xml:space="preserve">heterogeneity.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city, located mostly on the outer ring of the city.</w:t>
      </w:r>
    </w:p>
    <w:p>
      <w:pPr>
        <w:pStyle w:val="BodyText"/>
      </w:pPr>
      <w:r>
        <w:t xml:space="preserve">Going deeper into the right side of the dendrogram, we reach another</w:t>
      </w:r>
      <w:r>
        <w:t xml:space="preserve"> </w:t>
      </w:r>
      <w:r>
        <w:t xml:space="preserve">major bifurcation happening at a distance 30.40 dividing the branch</w:t>
      </w:r>
      <w:r>
        <w:t xml:space="preserve"> </w:t>
      </w:r>
      <w:r>
        <w:t xml:space="preserve">into two, representing mostly the intensity of the development. Left</w:t>
      </w:r>
      <w:r>
        <w:t xml:space="preserve"> </w:t>
      </w:r>
      <w:r>
        <w:t xml:space="preserve">side, illustrated on figure captures urban tissues which could be</w:t>
      </w:r>
      <w:r>
        <w:t xml:space="preserve"> </w:t>
      </w:r>
      <w:r>
        <w:t xml:space="preserve">characterised by single-family housing of all sorts, spanning from</w:t>
      </w:r>
      <w:r>
        <w:t xml:space="preserve"> </w:t>
      </w:r>
      <w:r>
        <w:t xml:space="preserve">villages to garden city-like neighbourhoods. To illustrate the density,</w:t>
      </w:r>
      <w:r>
        <w:t xml:space="preserve"> </w:t>
      </w:r>
      <w:r>
        <w:t xml:space="preserve">the mean floor area ratio of the branch is 0.38.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low</w:t>
      </w:r>
      <w:r>
        <w:t xml:space="preserve"> </w:t>
      </w:r>
      <w:r>
        <w:t xml:space="preserve">density, organised development.</w:t>
      </w:r>
    </w:p>
    <w:p>
      <w:pPr>
        <w:pStyle w:val="BodyText"/>
      </w:pPr>
      <w:r>
        <w:t xml:space="preserve">The other side of this branch represents the</w:t>
      </w:r>
      <w:r>
        <w:t xml:space="preserve"> </w:t>
      </w:r>
      <w:r>
        <w:rPr>
          <w:iCs/>
          <w:i/>
        </w:rPr>
        <w:t xml:space="preserve">dense city</w:t>
      </w:r>
      <w:r>
        <w:t xml:space="preserve"> </w:t>
      </w:r>
      <w:r>
        <w:t xml:space="preserve">of all sorts</w:t>
      </w:r>
      <w:r>
        <w:t xml:space="preserve"> </w:t>
      </w:r>
      <w:r>
        <w:t xml:space="preserve">(figure ), from the medieval core, through historical perimeter block</w:t>
      </w:r>
      <w:r>
        <w:t xml:space="preserve"> </w:t>
      </w:r>
      <w:r>
        <w:t xml:space="preserve">tissues to modernist housing estates. All these share the high</w:t>
      </w:r>
      <w:r>
        <w:t xml:space="preserve"> </w:t>
      </w:r>
      <w:r>
        <w:t xml:space="preserve">volumetric density (mean floor area ratio of the branch is 1.76).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organised development. It is capturing two distinct phases of</w:t>
      </w:r>
      <w:r>
        <w:t xml:space="preserve"> </w:t>
      </w:r>
      <w:r>
        <w:t xml:space="preserve">development of Prague - the historical period in the central areas and</w:t>
      </w:r>
      <w:r>
        <w:t xml:space="preserve"> </w:t>
      </w:r>
      <w:r>
        <w:t xml:space="preserve">modernist development (mostly) in the periphery.</w:t>
      </w:r>
    </w:p>
    <w:p>
      <w:pPr>
        <w:pStyle w:val="BodyText"/>
      </w:pPr>
      <w:r>
        <w:t xml:space="preserve">Further reading of the branching shows the bifurcation dividing the</w:t>
      </w:r>
      <w:r>
        <w:t xml:space="preserve"> </w:t>
      </w:r>
      <w:r>
        <w:t xml:space="preserve">medieval city from the rest (c.d. 25.84) and further one splitting</w:t>
      </w:r>
      <w:r>
        <w:t xml:space="preserve"> </w:t>
      </w:r>
      <w:r>
        <w:rPr>
          <w:iCs/>
          <w:i/>
        </w:rPr>
        <w:t xml:space="preserve">ordered grid-like city</w:t>
      </w:r>
      <w:r>
        <w:t xml:space="preserve"> </w:t>
      </w:r>
      <w:r>
        <w:t xml:space="preserve">from disordered one (figure ), composed of</w:t>
      </w:r>
      <w:r>
        <w:t xml:space="preserve"> </w:t>
      </w:r>
      <w:r>
        <w:t xml:space="preserve">fringe areas adjacent to</w:t>
      </w:r>
      <w:r>
        <w:t xml:space="preserve"> </w:t>
      </w:r>
      <w:r>
        <w:rPr>
          <w:iCs/>
          <w:i/>
        </w:rPr>
        <w:t xml:space="preserve">ordered city</w:t>
      </w:r>
      <w:r>
        <w:t xml:space="preserve"> </w:t>
      </w:r>
      <w:r>
        <w:t xml:space="preserve">and modernist housing estates.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organised development with a fringe-like disorder in their</w:t>
      </w:r>
      <w:r>
        <w:t xml:space="preserve"> </w:t>
      </w:r>
      <w:r>
        <w:t xml:space="preserve">patterns.</w:t>
      </w:r>
    </w:p>
    <w:p>
      <w:pPr>
        <w:pStyle w:val="BodyText"/>
      </w:pPr>
      <w:r>
        <w:t xml:space="preserve">This basic description of branching shows that the top-level structure</w:t>
      </w:r>
      <w:r>
        <w:t xml:space="preserve"> </w:t>
      </w:r>
      <w:r>
        <w:t xml:space="preserve">of the taxonomy reflects the spatial logic of the structure of Prague</w:t>
      </w:r>
      <w:r>
        <w:t xml:space="preserve"> </w:t>
      </w:r>
      <w:r>
        <w:t xml:space="preserve">to a high degree of interpretability. As the key aim of this study is</w:t>
      </w:r>
      <w:r>
        <w:t xml:space="preserve"> </w:t>
      </w:r>
      <w:r>
        <w:t xml:space="preserve">not to provide deep insight into Prague’s structure but to develop the</w:t>
      </w:r>
      <w:r>
        <w:t xml:space="preserve"> </w:t>
      </w:r>
      <w:r>
        <w:t xml:space="preserve">method itself, this section does not go into further detail. However,</w:t>
      </w:r>
      <w:r>
        <w:t xml:space="preserve"> </w:t>
      </w:r>
      <w:r>
        <w:t xml:space="preserve">the rest of the maps of individual branches is available as an Appendix</w:t>
      </w:r>
      <w:r>
        <w:t xml:space="preserve"> </w:t>
      </w:r>
      <w:r>
        <w:t xml:space="preserve">8.1.</w:t>
      </w:r>
    </w:p>
    <w:bookmarkEnd w:id="40"/>
    <w:bookmarkStart w:id="50" w:name="validation-1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Validation results are divided into several sections. The first one</w:t>
      </w:r>
      <w:r>
        <w:t xml:space="preserve"> </w:t>
      </w:r>
      <w:r>
        <w:t xml:space="preserve">focuses on the relation of delineation of urban tissue types and their</w:t>
      </w:r>
      <w:r>
        <w:t xml:space="preserve"> </w:t>
      </w:r>
      <w:r>
        <w:t xml:space="preserve">taxonomic branches, and additional data, which should have the ability</w:t>
      </w:r>
      <w:r>
        <w:t xml:space="preserve"> </w:t>
      </w:r>
      <w:r>
        <w:t xml:space="preserve">to reflect the differences in built-up patterns. That entails</w:t>
      </w:r>
      <w:r>
        <w:t xml:space="preserve"> </w:t>
      </w:r>
      <w:r>
        <w:t xml:space="preserve">historical origin, land use patterns and municipal typology of urban</w:t>
      </w:r>
      <w:r>
        <w:t xml:space="preserve"> </w:t>
      </w:r>
      <w:r>
        <w:t xml:space="preserve">form, all in the context of Prague. The second section outlines the</w:t>
      </w:r>
      <w:r>
        <w:t xml:space="preserve"> </w:t>
      </w:r>
      <w:r>
        <w:t xml:space="preserve">results of cluster analysis and subsequent hierarchical classification</w:t>
      </w:r>
      <w:r>
        <w:t xml:space="preserve"> </w:t>
      </w:r>
      <w:r>
        <w:t xml:space="preserve">of Amsterdam. To validate the Amsterdam case itself, local tissue types</w:t>
      </w:r>
      <w:r>
        <w:t xml:space="preserve"> </w:t>
      </w:r>
      <w:r>
        <w:t xml:space="preserve">are assessed against data of historical origin. The third and last</w:t>
      </w:r>
      <w:r>
        <w:t xml:space="preserve"> </w:t>
      </w:r>
      <w:r>
        <w:t xml:space="preserve">section focuses on results of combined taxonomy and potential of the</w:t>
      </w:r>
      <w:r>
        <w:t xml:space="preserve"> </w:t>
      </w:r>
      <w:r>
        <w:t xml:space="preserve">expandability of the method and potential future development of the</w:t>
      </w:r>
      <w:r>
        <w:t xml:space="preserve"> </w:t>
      </w:r>
      <w:r>
        <w:t xml:space="preserve">taxonomy of urban form.</w:t>
      </w:r>
    </w:p>
    <w:bookmarkStart w:id="44" w:name="relation-to-additional-data"/>
    <w:p>
      <w:pPr>
        <w:pStyle w:val="Heading4"/>
      </w:pPr>
      <w:r>
        <w:t xml:space="preserve">Relation to additional data</w:t>
      </w:r>
    </w:p>
    <w:p>
      <w:pPr>
        <w:pStyle w:val="FirstParagraph"/>
      </w:pPr>
      <w:r>
        <w:t xml:space="preserve">Relation to additional data reflects the results of clustering and</w:t>
      </w:r>
      <w:r>
        <w:t xml:space="preserve"> </w:t>
      </w:r>
      <w:r>
        <w:t xml:space="preserve">hierarchical classification compared to the historical origin, land use</w:t>
      </w:r>
      <w:r>
        <w:t xml:space="preserve"> </w:t>
      </w:r>
      <w:r>
        <w:t xml:space="preserve">patterns and qualitative municipal typology of urban form. All these</w:t>
      </w:r>
      <w:r>
        <w:t xml:space="preserve"> </w:t>
      </w:r>
      <w:r>
        <w:t xml:space="preserve">are assessed based on the contingency table and visual assessment of</w:t>
      </w:r>
      <w:r>
        <w:t xml:space="preserve"> </w:t>
      </w:r>
      <w:r>
        <w:t xml:space="preserve">spatial distributions. The contingency table is used to calculate</w:t>
      </w:r>
      <w:r>
        <w:t xml:space="preserve"> </w:t>
      </w:r>
      <w:r>
        <w:t xml:space="preserve">Chi-square statistic and Cramer’s V, and to examine the composition of</w:t>
      </w:r>
      <w:r>
        <w:t xml:space="preserve"> </w:t>
      </w:r>
      <w:r>
        <w:t xml:space="preserve">each cluster.</w:t>
      </w:r>
    </w:p>
    <w:bookmarkStart w:id="41" w:name="origin"/>
    <w:p>
      <w:pPr>
        <w:pStyle w:val="Heading5"/>
      </w:pPr>
      <w:r>
        <w:t xml:space="preserve">Origin</w:t>
      </w:r>
    </w:p>
    <w:p>
      <w:pPr>
        <w:pStyle w:val="FirstParagraph"/>
      </w:pPr>
      <w:r>
        <w:t xml:space="preserve">Data for historical origin are illustrated in figure . There are some</w:t>
      </w:r>
      <w:r>
        <w:t xml:space="preserve"> </w:t>
      </w:r>
      <w:r>
        <w:t xml:space="preserve">significant patterns which should be reflected in the clustering,</w:t>
      </w:r>
      <w:r>
        <w:t xml:space="preserve"> </w:t>
      </w:r>
      <w:r>
        <w:t xml:space="preserve">notably historical core and modernist belt. However, not all</w:t>
      </w:r>
      <w:r>
        <w:t xml:space="preserve"> </w:t>
      </w:r>
      <w:r>
        <w:t xml:space="preserve">differences in origin have their counterparts in differences in</w:t>
      </w:r>
      <w:r>
        <w:t xml:space="preserve"> </w:t>
      </w:r>
      <w:r>
        <w:t xml:space="preserve">clustering, as there are patterns which are consistently built across</w:t>
      </w:r>
      <w:r>
        <w:t xml:space="preserve"> </w:t>
      </w:r>
      <w:r>
        <w:t xml:space="preserve">time frames (e.g., low-density single-family housing).</w:t>
      </w:r>
    </w:p>
    <w:p>
      <w:pPr>
        <w:pStyle w:val="BodyText"/>
      </w:pPr>
    </w:p>
    <w:p>
      <w:pPr>
        <w:pStyle w:val="BodyText"/>
      </w:pPr>
      <w:r>
        <w:t xml:space="preserve">Spatial distribution of different periods of historical origin.</w:t>
      </w:r>
    </w:p>
    <w:p>
      <w:pPr>
        <w:pStyle w:val="BodyText"/>
      </w:pPr>
      <w:r>
        <w:t xml:space="preserve">Contingency table shows the distribution of buildings within clusters</w:t>
      </w:r>
      <w:r>
        <w:t xml:space="preserve"> </w:t>
      </w:r>
      <w:r>
        <w:t xml:space="preserve">and time periods. Obviously, there is a relation, especially when it</w:t>
      </w:r>
      <w:r>
        <w:t xml:space="preserve"> </w:t>
      </w:r>
      <w:r>
        <w:t xml:space="preserve">comes to the larger historical grouping into pre-WW2 and post-WW2 macro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Contingency table showing the counts of features per historical origin</w:t>
      </w:r>
      <w:r>
        <w:t xml:space="preserve"> </w:t>
      </w:r>
      <w:r>
        <w:t xml:space="preserve">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1840</w:t>
      </w:r>
    </w:p>
    <w:p>
      <w:pPr>
        <w:pStyle w:val="BodyText"/>
      </w:pPr>
      <w:r>
        <w:t xml:space="preserve">1880</w:t>
      </w:r>
    </w:p>
    <w:p>
      <w:pPr>
        <w:pStyle w:val="BodyText"/>
      </w:pPr>
      <w:r>
        <w:t xml:space="preserve">1920</w:t>
      </w:r>
    </w:p>
    <w:p>
      <w:pPr>
        <w:pStyle w:val="BodyText"/>
      </w:pPr>
      <w:r>
        <w:t xml:space="preserve">1950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9310</w:t>
      </w:r>
    </w:p>
    <w:p>
      <w:pPr>
        <w:pStyle w:val="BodyText"/>
      </w:pPr>
      <w:r>
        <w:t xml:space="preserve">2602</w:t>
      </w:r>
    </w:p>
    <w:p>
      <w:pPr>
        <w:pStyle w:val="BodyText"/>
      </w:pPr>
      <w:r>
        <w:t xml:space="preserve">542</w:t>
      </w:r>
    </w:p>
    <w:p>
      <w:pPr>
        <w:pStyle w:val="BodyText"/>
      </w:pPr>
      <w:r>
        <w:t xml:space="preserve">501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425</w:t>
      </w:r>
    </w:p>
    <w:p>
      <w:pPr>
        <w:pStyle w:val="BodyText"/>
      </w:pPr>
      <w:r>
        <w:t xml:space="preserve">523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233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461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952</w:t>
      </w:r>
    </w:p>
    <w:p>
      <w:pPr>
        <w:pStyle w:val="BodyText"/>
      </w:pPr>
      <w:r>
        <w:t xml:space="preserve">4585</w:t>
      </w:r>
    </w:p>
    <w:p>
      <w:pPr>
        <w:pStyle w:val="BodyText"/>
      </w:pPr>
      <w:r>
        <w:t xml:space="preserve">3668</w:t>
      </w:r>
    </w:p>
    <w:p>
      <w:pPr>
        <w:pStyle w:val="BodyText"/>
      </w:pPr>
      <w:r>
        <w:t xml:space="preserve">1816</w:t>
      </w:r>
    </w:p>
    <w:p>
      <w:pPr>
        <w:pStyle w:val="BodyText"/>
      </w:pPr>
      <w:r>
        <w:t xml:space="preserve">224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1625</w:t>
      </w:r>
    </w:p>
    <w:p>
      <w:pPr>
        <w:pStyle w:val="BodyText"/>
      </w:pPr>
      <w:r>
        <w:t xml:space="preserve">439</w:t>
      </w:r>
    </w:p>
    <w:p>
      <w:pPr>
        <w:pStyle w:val="BodyText"/>
      </w:pPr>
      <w:r>
        <w:t xml:space="preserve">1217</w:t>
      </w:r>
    </w:p>
    <w:p>
      <w:pPr>
        <w:pStyle w:val="BodyText"/>
      </w:pPr>
      <w:r>
        <w:t xml:space="preserve">749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208</w:t>
      </w:r>
    </w:p>
    <w:p>
      <w:pPr>
        <w:pStyle w:val="BodyText"/>
      </w:pPr>
      <w:r>
        <w:t xml:space="preserve">728</w:t>
      </w:r>
    </w:p>
    <w:p>
      <w:pPr>
        <w:pStyle w:val="BodyText"/>
      </w:pPr>
      <w:r>
        <w:t xml:space="preserve">1332</w:t>
      </w:r>
    </w:p>
    <w:p>
      <w:pPr>
        <w:pStyle w:val="BodyText"/>
      </w:pPr>
      <w:r>
        <w:t xml:space="preserve">1359</w:t>
      </w:r>
    </w:p>
    <w:p>
      <w:pPr>
        <w:pStyle w:val="BodyText"/>
      </w:pPr>
      <w:r>
        <w:t xml:space="preserve">842</w:t>
      </w:r>
    </w:p>
    <w:p>
      <w:pPr>
        <w:pStyle w:val="BodyText"/>
      </w:pPr>
      <w:r>
        <w:t xml:space="preserve">299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752</w:t>
      </w:r>
    </w:p>
    <w:p>
      <w:pPr>
        <w:pStyle w:val="BodyText"/>
      </w:pPr>
      <w:r>
        <w:t xml:space="preserve">1707</w:t>
      </w:r>
    </w:p>
    <w:p>
      <w:pPr>
        <w:pStyle w:val="BodyText"/>
      </w:pPr>
      <w:r>
        <w:t xml:space="preserve">2522</w:t>
      </w:r>
    </w:p>
    <w:p>
      <w:pPr>
        <w:pStyle w:val="BodyText"/>
      </w:pPr>
      <w:r>
        <w:t xml:space="preserve">926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1146</w:t>
      </w:r>
    </w:p>
    <w:p>
      <w:pPr>
        <w:pStyle w:val="BodyText"/>
      </w:pPr>
      <w:r>
        <w:t xml:space="preserve">406</w:t>
      </w:r>
    </w:p>
    <w:p>
      <w:pPr>
        <w:pStyle w:val="BodyText"/>
      </w:pPr>
      <w:r>
        <w:t xml:space="preserve">763</w:t>
      </w:r>
    </w:p>
    <w:p>
      <w:pPr>
        <w:pStyle w:val="BodyText"/>
      </w:pPr>
      <w:r>
        <w:t xml:space="preserve">3193</w:t>
      </w:r>
    </w:p>
    <w:p>
      <w:pPr>
        <w:pStyle w:val="BodyText"/>
      </w:pPr>
      <w:r>
        <w:t xml:space="preserve">2040</w:t>
      </w:r>
    </w:p>
    <w:p>
      <w:pPr>
        <w:pStyle w:val="BodyText"/>
      </w:pPr>
      <w:r>
        <w:t xml:space="preserve">1870</w:t>
      </w:r>
    </w:p>
    <w:p>
      <w:pPr>
        <w:pStyle w:val="BodyText"/>
      </w:pPr>
      <w:r>
        <w:t xml:space="preserve">729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834</w:t>
      </w:r>
    </w:p>
    <w:p>
      <w:pPr>
        <w:pStyle w:val="BodyText"/>
      </w:pPr>
      <w:r>
        <w:t xml:space="preserve">639</w:t>
      </w:r>
    </w:p>
    <w:p>
      <w:pPr>
        <w:pStyle w:val="BodyText"/>
      </w:pPr>
      <w:r>
        <w:t xml:space="preserve">1188</w:t>
      </w:r>
    </w:p>
    <w:p>
      <w:pPr>
        <w:pStyle w:val="BodyText"/>
      </w:pPr>
      <w:r>
        <w:t xml:space="preserve">594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923</w:t>
      </w:r>
    </w:p>
    <w:p>
      <w:pPr>
        <w:pStyle w:val="BodyText"/>
      </w:pPr>
      <w:r>
        <w:t xml:space="preserve">5125</w:t>
      </w:r>
    </w:p>
    <w:p>
      <w:pPr>
        <w:pStyle w:val="BodyText"/>
      </w:pPr>
      <w:r>
        <w:t xml:space="preserve">636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509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3048</w:t>
      </w:r>
    </w:p>
    <w:p>
      <w:pPr>
        <w:pStyle w:val="BodyText"/>
      </w:pPr>
      <w:r>
        <w:t xml:space="preserve">516</w:t>
      </w:r>
    </w:p>
    <w:p>
      <w:pPr>
        <w:pStyle w:val="BodyText"/>
      </w:pPr>
      <w:r>
        <w:t xml:space="preserve">912</w:t>
      </w:r>
    </w:p>
    <w:p>
      <w:pPr>
        <w:pStyle w:val="BodyText"/>
      </w:pPr>
      <w:r>
        <w:t xml:space="preserve">1766</w:t>
      </w:r>
    </w:p>
    <w:p>
      <w:pPr>
        <w:pStyle w:val="BodyText"/>
      </w:pPr>
      <w:r>
        <w:t xml:space="preserve">581</w:t>
      </w:r>
    </w:p>
    <w:p>
      <w:pPr>
        <w:pStyle w:val="BodyText"/>
      </w:pPr>
      <w:r>
        <w:t xml:space="preserve">421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825</w:t>
      </w:r>
    </w:p>
    <w:p>
      <w:pPr>
        <w:pStyle w:val="BodyText"/>
      </w:pPr>
      <w:r>
        <w:t xml:space="preserve">1284</w:t>
      </w:r>
    </w:p>
    <w:p>
      <w:pPr>
        <w:pStyle w:val="BodyText"/>
      </w:pPr>
      <w:r>
        <w:t xml:space="preserve">2630</w:t>
      </w:r>
    </w:p>
    <w:p>
      <w:pPr>
        <w:pStyle w:val="BodyText"/>
      </w:pPr>
      <w:r>
        <w:t xml:space="preserve">2034</w:t>
      </w:r>
    </w:p>
    <w:p>
      <w:pPr>
        <w:pStyle w:val="BodyText"/>
      </w:pPr>
      <w:r>
        <w:t xml:space="preserve">279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2097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919</w:t>
      </w:r>
    </w:p>
    <w:p>
      <w:pPr>
        <w:pStyle w:val="BodyText"/>
      </w:pPr>
      <w:r>
        <w:t xml:space="preserve">5220</w:t>
      </w:r>
    </w:p>
    <w:p>
      <w:pPr>
        <w:pStyle w:val="BodyText"/>
      </w:pPr>
      <w:r>
        <w:t xml:space="preserve">290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1028</w:t>
      </w:r>
    </w:p>
    <w:p>
      <w:pPr>
        <w:pStyle w:val="BodyText"/>
      </w:pPr>
      <w:r>
        <w:t xml:space="preserve">234</w:t>
      </w:r>
    </w:p>
    <w:p>
      <w:pPr>
        <w:pStyle w:val="BodyText"/>
      </w:pPr>
      <w:r>
        <w:t xml:space="preserve">1021</w:t>
      </w:r>
    </w:p>
    <w:p>
      <w:pPr>
        <w:pStyle w:val="BodyText"/>
      </w:pPr>
      <w:r>
        <w:t xml:space="preserve">6227</w:t>
      </w:r>
    </w:p>
    <w:p>
      <w:pPr>
        <w:pStyle w:val="BodyText"/>
      </w:pPr>
      <w:r>
        <w:t xml:space="preserve">2611</w:t>
      </w:r>
    </w:p>
    <w:p>
      <w:pPr>
        <w:pStyle w:val="BodyText"/>
      </w:pPr>
      <w:r>
        <w:t xml:space="preserve">1284</w:t>
      </w:r>
    </w:p>
    <w:p>
      <w:pPr>
        <w:pStyle w:val="BodyText"/>
      </w:pPr>
      <w:r>
        <w:t xml:space="preserve">2472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868</w:t>
      </w:r>
    </w:p>
    <w:p>
      <w:pPr>
        <w:pStyle w:val="BodyText"/>
      </w:pPr>
      <w:r>
        <w:t xml:space="preserve">656</w:t>
      </w:r>
    </w:p>
    <w:p>
      <w:pPr>
        <w:pStyle w:val="BodyText"/>
      </w:pPr>
      <w:r>
        <w:t xml:space="preserve">1179</w:t>
      </w:r>
    </w:p>
    <w:p>
      <w:pPr>
        <w:pStyle w:val="BodyText"/>
      </w:pPr>
      <w:r>
        <w:t xml:space="preserve">1466</w:t>
      </w:r>
    </w:p>
    <w:p>
      <w:pPr>
        <w:pStyle w:val="BodyText"/>
      </w:pPr>
      <w:r>
        <w:t xml:space="preserve">345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189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1514</w:t>
      </w:r>
    </w:p>
    <w:p>
      <w:pPr>
        <w:pStyle w:val="BodyText"/>
      </w:pPr>
      <w:r>
        <w:t xml:space="preserve">880</w:t>
      </w:r>
    </w:p>
    <w:p>
      <w:pPr>
        <w:pStyle w:val="BodyText"/>
      </w:pPr>
      <w:r>
        <w:t xml:space="preserve">468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417</w:t>
      </w:r>
    </w:p>
    <w:p>
      <w:pPr>
        <w:pStyle w:val="BodyText"/>
      </w:pPr>
      <w:r>
        <w:t xml:space="preserve">214</w:t>
      </w:r>
    </w:p>
    <w:p>
      <w:pPr>
        <w:pStyle w:val="BodyText"/>
      </w:pPr>
      <w:r>
        <w:t xml:space="preserve">337</w:t>
      </w:r>
    </w:p>
    <w:p>
      <w:pPr>
        <w:pStyle w:val="BodyText"/>
      </w:pPr>
      <w:r>
        <w:t xml:space="preserve">1002</w:t>
      </w:r>
    </w:p>
    <w:p>
      <w:pPr>
        <w:pStyle w:val="BodyText"/>
      </w:pPr>
      <w:r>
        <w:t xml:space="preserve">601</w:t>
      </w:r>
    </w:p>
    <w:p>
      <w:pPr>
        <w:pStyle w:val="BodyText"/>
      </w:pPr>
      <w:r>
        <w:t xml:space="preserve">571</w:t>
      </w:r>
    </w:p>
    <w:p>
      <w:pPr>
        <w:pStyle w:val="BodyText"/>
      </w:pPr>
      <w:r>
        <w:t xml:space="preserve">288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740</w:t>
      </w:r>
    </w:p>
    <w:p>
      <w:pPr>
        <w:pStyle w:val="BodyText"/>
      </w:pPr>
      <w:r>
        <w:t xml:space="preserve">354</w:t>
      </w:r>
    </w:p>
    <w:p>
      <w:pPr>
        <w:pStyle w:val="BodyText"/>
      </w:pPr>
      <w:r>
        <w:t xml:space="preserve">1298</w:t>
      </w:r>
    </w:p>
    <w:p>
      <w:pPr>
        <w:pStyle w:val="BodyText"/>
      </w:pPr>
      <w:r>
        <w:t xml:space="preserve">6229</w:t>
      </w:r>
    </w:p>
    <w:p>
      <w:pPr>
        <w:pStyle w:val="BodyText"/>
      </w:pPr>
      <w:r>
        <w:t xml:space="preserve">1959</w:t>
      </w:r>
    </w:p>
    <w:p>
      <w:pPr>
        <w:pStyle w:val="BodyText"/>
      </w:pPr>
      <w:r>
        <w:t xml:space="preserve">925</w:t>
      </w:r>
    </w:p>
    <w:p>
      <w:pPr>
        <w:pStyle w:val="BodyText"/>
      </w:pPr>
      <w:r>
        <w:t xml:space="preserve">576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1346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544</w:t>
      </w:r>
    </w:p>
    <w:p>
      <w:pPr>
        <w:pStyle w:val="BodyText"/>
      </w:pPr>
      <w:r>
        <w:t xml:space="preserve">2887</w:t>
      </w:r>
    </w:p>
    <w:p>
      <w:pPr>
        <w:pStyle w:val="BodyText"/>
      </w:pPr>
      <w:r>
        <w:t xml:space="preserve">1686</w:t>
      </w:r>
    </w:p>
    <w:p>
      <w:pPr>
        <w:pStyle w:val="BodyText"/>
      </w:pPr>
      <w:r>
        <w:t xml:space="preserve">719</w:t>
      </w:r>
    </w:p>
    <w:p>
      <w:pPr>
        <w:pStyle w:val="BodyText"/>
      </w:pPr>
      <w:r>
        <w:t xml:space="preserve">1178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356</w:t>
      </w:r>
    </w:p>
    <w:p>
      <w:pPr>
        <w:pStyle w:val="BodyText"/>
      </w:pPr>
      <w:r>
        <w:t xml:space="preserve">412</w:t>
      </w:r>
    </w:p>
    <w:p>
      <w:pPr>
        <w:pStyle w:val="BodyText"/>
      </w:pPr>
      <w:r>
        <w:t xml:space="preserve">620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: Contingency table showing the counts of features per historical</w:t>
      </w:r>
      <w:r>
        <w:t xml:space="preserve"> </w:t>
      </w:r>
      <w:r>
        <w:t xml:space="preserve">origin within individual clusters.</w:t>
      </w:r>
    </w:p>
    <w:p>
      <w:pPr>
        <w:pStyle w:val="BodyText"/>
      </w:pPr>
      <w:r>
        <w:t xml:space="preserve">Reported results of a Chi-square test, based on the contingency table,</w:t>
      </w:r>
      <w:r>
        <w:t xml:space="preserve"> </w:t>
      </w:r>
      <w:r>
        <w:t xml:space="preserve">assessing whether there is a significant relationship between two</w:t>
      </w:r>
      <w:r>
        <w:t xml:space="preserve"> </w:t>
      </w:r>
      <w:r>
        <w:t xml:space="preserve">variables (origin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104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140315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106700.51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 significant relationship.‌</w:t>
      </w:r>
      <w:r>
        <w:t xml:space="preserve"> </w:t>
      </w:r>
      <w:r>
        <w:t xml:space="preserve">Cramérs-V assessing the strength of the relationship is 0.358,</w:t>
      </w:r>
      <w:r>
        <w:t xml:space="preserve"> </w:t>
      </w:r>
      <w:r>
        <w:t xml:space="preserve">indicating moderate association. Since we cannot expect complete match</w:t>
      </w:r>
      <w:r>
        <w:t xml:space="preserve"> </w:t>
      </w:r>
      <w:r>
        <w:t xml:space="preserve">because the data as the theoretical relation is only partial, both</w:t>
      </w:r>
      <w:r>
        <w:t xml:space="preserve"> </w:t>
      </w:r>
      <w:r>
        <w:t xml:space="preserve">results are indicating the high performance of cluster analysis.</w:t>
      </w:r>
    </w:p>
    <w:p>
      <w:pPr>
        <w:pStyle w:val="BodyText"/>
      </w:pPr>
      <w:r>
        <w:t xml:space="preserve">Looking at the composition of each cluster extracted from the</w:t>
      </w:r>
      <w:r>
        <w:t xml:space="preserve"> </w:t>
      </w:r>
      <w:r>
        <w:t xml:space="preserve">contingency table (figure ), we can see the relationship in a more</w:t>
      </w:r>
      <w:r>
        <w:t xml:space="preserve"> </w:t>
      </w:r>
      <w:r>
        <w:t xml:space="preserve">interpretative way. Where the relationship is expected based on</w:t>
      </w:r>
      <w:r>
        <w:t xml:space="preserve"> </w:t>
      </w:r>
      <w:r>
        <w:t xml:space="preserve">literature, there is a clear association (historical core, modernism)</w:t>
      </w:r>
      <w:r>
        <w:t xml:space="preserve"> </w:t>
      </w:r>
      <w:r>
        <w:t xml:space="preserve">with the majority even falling into a single category. The striking</w:t>
      </w:r>
      <w:r>
        <w:t xml:space="preserve"> </w:t>
      </w:r>
      <w:r>
        <w:t xml:space="preserve">difference between the structure of pre-WW2 and post-WW2 urban patterns</w:t>
      </w:r>
      <w:r>
        <w:t xml:space="preserve"> </w:t>
      </w:r>
      <w:r>
        <w:t xml:space="preserve">partially confirms previous results reported by @dibble2017 and</w:t>
      </w:r>
      <w:r>
        <w:t xml:space="preserve"> </w:t>
      </w:r>
      <w:r>
        <w:t xml:space="preserve">@porta2014a.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historical origin.</w:t>
      </w:r>
    </w:p>
    <w:p>
      <w:pPr>
        <w:pStyle w:val="BodyText"/>
      </w:pPr>
      <w:r>
        <w:t xml:space="preserve">Branches of the local taxonomy show similar relation (where is feasible</w:t>
      </w:r>
      <w:r>
        <w:t xml:space="preserve"> </w:t>
      </w:r>
      <w:r>
        <w:t xml:space="preserve">to expect one), especially regarding the tendency of significant</w:t>
      </w:r>
      <w:r>
        <w:t xml:space="preserve"> </w:t>
      </w:r>
      <w:r>
        <w:t xml:space="preserve">changes of development patterns after the Second World War (figure ).</w:t>
      </w:r>
      <w:r>
        <w:t xml:space="preserve"> </w:t>
      </w:r>
      <w:r>
        <w:t xml:space="preserve">However, it is important to note that unlike other European cities,</w:t>
      </w:r>
      <w:r>
        <w:t xml:space="preserve"> </w:t>
      </w:r>
      <w:r>
        <w:t xml:space="preserve">Prague was not significantly damaged during the Second World War and</w:t>
      </w:r>
      <w:r>
        <w:t xml:space="preserve"> </w:t>
      </w:r>
      <w:r>
        <w:t xml:space="preserve">the difference cannot be then interpreted as post-war regeneration and</w:t>
      </w:r>
      <w:r>
        <w:t xml:space="preserve"> </w:t>
      </w:r>
      <w:r>
        <w:t xml:space="preserve">redevelopment.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historical origin.</w:t>
      </w:r>
    </w:p>
    <w:p>
      <w:pPr>
        <w:pStyle w:val="BodyText"/>
      </w:pPr>
      <w:r>
        <w:t xml:space="preserve">Spatial distribution tells us what do all these statistical values mean</w:t>
      </w:r>
      <w:r>
        <w:t xml:space="preserve"> </w:t>
      </w:r>
      <w:r>
        <w:t xml:space="preserve">on the ground and how good is the coincidence there. The historical</w:t>
      </w:r>
      <w:r>
        <w:t xml:space="preserve"> </w:t>
      </w:r>
      <w:r>
        <w:t xml:space="preserve">core of Prague in figure captures the relation if cluster 11 to the</w:t>
      </w:r>
      <w:r>
        <w:t xml:space="preserve"> </w:t>
      </w:r>
      <w:r>
        <w:t xml:space="preserve">historical origin. However, due to the limitation in data grouping, all</w:t>
      </w:r>
      <w:r>
        <w:t xml:space="preserve"> </w:t>
      </w:r>
      <w:r>
        <w:t xml:space="preserve">development build pre-1840 into a single category, some differences</w:t>
      </w:r>
      <w:r>
        <w:t xml:space="preserve"> </w:t>
      </w:r>
      <w:r>
        <w:t xml:space="preserve">need to be explained. Jewish quarter, the pre-1840 area but not part of</w:t>
      </w:r>
      <w:r>
        <w:t xml:space="preserve"> </w:t>
      </w:r>
      <w:r>
        <w:t xml:space="preserve">the cluster on the north of the centre, has been demolished and rebuilt</w:t>
      </w:r>
      <w:r>
        <w:t xml:space="preserve"> </w:t>
      </w:r>
      <w:r>
        <w:t xml:space="preserve">in early 1800. Therefore it is not of medieval origin and is correctly</w:t>
      </w:r>
      <w:r>
        <w:t xml:space="preserve"> </w:t>
      </w:r>
      <w:r>
        <w:t xml:space="preserve">excluded from the cluster.</w:t>
      </w:r>
    </w:p>
    <w:p>
      <w:pPr>
        <w:pStyle w:val="BodyText"/>
      </w:pPr>
    </w:p>
    <w:p>
      <w:pPr>
        <w:pStyle w:val="BodyText"/>
      </w:pPr>
      <w:r>
        <w:t xml:space="preserve">Illustration of the overlap between cluster 11 representing historical</w:t>
      </w:r>
      <w:r>
        <w:t xml:space="preserve"> </w:t>
      </w:r>
      <w:r>
        <w:t xml:space="preserve">core and periods of historical origin. Colours represent period and the</w:t>
      </w:r>
      <w:r>
        <w:t xml:space="preserve"> </w:t>
      </w:r>
      <w:r>
        <w:t xml:space="preserve">saturation the extent of the cluster.</w:t>
      </w:r>
    </w:p>
    <w:p>
      <w:pPr>
        <w:pStyle w:val="BodyText"/>
      </w:pPr>
      <w:r>
        <w:t xml:space="preserve">Cluster 5, the one we can call a compact dense city was built according</w:t>
      </w:r>
      <w:r>
        <w:t xml:space="preserve"> </w:t>
      </w:r>
      <w:r>
        <w:t xml:space="preserve">to the same principle over the years, but generally tends to coincide</w:t>
      </w:r>
      <w:r>
        <w:t xml:space="preserve"> </w:t>
      </w:r>
      <w:r>
        <w:t xml:space="preserve">with relevant origin categories as shown on the figure . Notice the</w:t>
      </w:r>
      <w:r>
        <w:t xml:space="preserve"> </w:t>
      </w:r>
      <w:r>
        <w:t xml:space="preserve">split in historical origin in the central part into 1880 and 1920</w:t>
      </w:r>
      <w:r>
        <w:t xml:space="preserve"> </w:t>
      </w:r>
      <w:r>
        <w:t xml:space="preserve">categories. Similar split has been identified by sub-clustering in</w:t>
      </w:r>
      <w:r>
        <w:t xml:space="preserve"> </w:t>
      </w:r>
      <w:r>
        <w:t xml:space="preserve">section 7.2.3.4.1 shown in figure 7.59. However, there can be two</w:t>
      </w:r>
      <w:r>
        <w:t xml:space="preserve"> </w:t>
      </w:r>
      <w:r>
        <w:t xml:space="preserve">reasons for the similarity - one is the historical period and the other</w:t>
      </w:r>
      <w:r>
        <w:t xml:space="preserve"> </w:t>
      </w:r>
      <w:r>
        <w:t xml:space="preserve">topography, as the areas shown in green are mostly built on slopes.</w:t>
      </w:r>
    </w:p>
    <w:p>
      <w:pPr>
        <w:pStyle w:val="BodyText"/>
      </w:pPr>
    </w:p>
    <w:p>
      <w:pPr>
        <w:pStyle w:val="BodyText"/>
      </w:pPr>
      <w:r>
        <w:t xml:space="preserve">Illustration of the overlap between cluster 5 representing historical</w:t>
      </w:r>
      <w:r>
        <w:t xml:space="preserve"> </w:t>
      </w:r>
      <w:r>
        <w:t xml:space="preserve">compact development and periods of historical origin. Colours represent</w:t>
      </w:r>
      <w:r>
        <w:t xml:space="preserve"> </w:t>
      </w:r>
      <w:r>
        <w:t xml:space="preserve">period and the saturation the extent of the cluster.</w:t>
      </w:r>
    </w:p>
    <w:p>
      <w:pPr>
        <w:pStyle w:val="BodyText"/>
      </w:pPr>
      <w:r>
        <w:t xml:space="preserve">A major part of the modernist housing belt around the city (cluster 12)</w:t>
      </w:r>
      <w:r>
        <w:t xml:space="preserve"> </w:t>
      </w:r>
      <w:r>
        <w:t xml:space="preserve">was built between the 60s and early 90s, which is very nicely shown by</w:t>
      </w:r>
      <w:r>
        <w:t xml:space="preserve"> </w:t>
      </w:r>
      <w:r>
        <w:t xml:space="preserve">the overlaps of distributions as well as on the figure below.</w:t>
      </w:r>
    </w:p>
    <w:p>
      <w:pPr>
        <w:pStyle w:val="BodyText"/>
      </w:pPr>
    </w:p>
    <w:p>
      <w:pPr>
        <w:pStyle w:val="BodyText"/>
      </w:pPr>
      <w:r>
        <w:t xml:space="preserve">Illustration of the overlap between section of cluster 12 representing</w:t>
      </w:r>
      <w:r>
        <w:t xml:space="preserve"> </w:t>
      </w:r>
      <w:r>
        <w:t xml:space="preserve">modernist development and periods of historical origin. Colours</w:t>
      </w:r>
      <w:r>
        <w:t xml:space="preserve"> </w:t>
      </w:r>
      <w:r>
        <w:t xml:space="preserve">represent period and the saturation the extent of the cluster.</w:t>
      </w:r>
    </w:p>
    <w:p>
      <w:pPr>
        <w:pStyle w:val="BodyText"/>
      </w:pPr>
      <w:r>
        <w:t xml:space="preserve">Looking at the combination of different branches, if we focus on a</w:t>
      </w:r>
      <w:r>
        <w:t xml:space="preserve"> </w:t>
      </w:r>
      <w:r>
        <w:t xml:space="preserve">sample of the ordered part of a dense city branch, we see almost</w:t>
      </w:r>
      <w:r>
        <w:t xml:space="preserve"> </w:t>
      </w:r>
      <w:r>
        <w:t xml:space="preserve">perfect overlap with pre-1950s development.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periods of historical origin. Colours represent period</w:t>
      </w:r>
      <w:r>
        <w:t xml:space="preserve"> </w:t>
      </w:r>
      <w:r>
        <w:t xml:space="preserve">and the saturation the extent of the branch.</w:t>
      </w:r>
    </w:p>
    <w:p>
      <w:pPr>
        <w:pStyle w:val="BodyText"/>
      </w:pPr>
      <w:r>
        <w:t xml:space="preserve">As far as it is possible to link these two aspects of form, origin and</w:t>
      </w:r>
      <w:r>
        <w:t xml:space="preserve"> </w:t>
      </w:r>
      <w:r>
        <w:t xml:space="preserve">patterns, there is a significant connection validating the results of</w:t>
      </w:r>
      <w:r>
        <w:t xml:space="preserve"> </w:t>
      </w:r>
      <w:r>
        <w:t xml:space="preserve">clustering and classification.</w:t>
      </w:r>
    </w:p>
    <w:bookmarkEnd w:id="41"/>
    <w:bookmarkStart w:id="42" w:name="land-use"/>
    <w:p>
      <w:pPr>
        <w:pStyle w:val="Heading5"/>
      </w:pPr>
      <w:r>
        <w:t xml:space="preserve">Land use</w:t>
      </w:r>
    </w:p>
    <w:p>
      <w:pPr>
        <w:pStyle w:val="FirstParagraph"/>
      </w:pPr>
      <w:r>
        <w:t xml:space="preserve">Patterns of predominant land use are illustrated in figure . The large</w:t>
      </w:r>
      <w:r>
        <w:t xml:space="preserve"> </w:t>
      </w:r>
      <w:r>
        <w:t xml:space="preserve">areas of the city are covered by single-family housing and multi-family</w:t>
      </w:r>
      <w:r>
        <w:t xml:space="preserve"> </w:t>
      </w:r>
      <w:r>
        <w:t xml:space="preserve">housing. The latter spans from historical development in central areas</w:t>
      </w:r>
      <w:r>
        <w:t xml:space="preserve"> </w:t>
      </w:r>
      <w:r>
        <w:t xml:space="preserve">to large developments during the second half of the 20th century,</w:t>
      </w:r>
      <w:r>
        <w:t xml:space="preserve"> </w:t>
      </w:r>
      <w:r>
        <w:t xml:space="preserve">covering both dense compact development and modernist housing typology.</w:t>
      </w:r>
      <w:r>
        <w:t xml:space="preserve"> </w:t>
      </w:r>
      <w:r>
        <w:t xml:space="preserve">There are only minor areas denoted as villas in the obtained land-use</w:t>
      </w:r>
      <w:r>
        <w:t xml:space="preserve"> </w:t>
      </w:r>
      <w:r>
        <w:t xml:space="preserve">classification, mostly located in the north-west of the city. Moreover,</w:t>
      </w:r>
      <w:r>
        <w:t xml:space="preserve"> </w:t>
      </w:r>
      <w:r>
        <w:t xml:space="preserve">the patches of the industry are often mixed with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land use</w:t>
      </w:r>
      <w:r>
        <w:t xml:space="preserve"> </w:t>
      </w:r>
      <w:r>
        <w:t xml:space="preserve">categories, which indicates that the need to be cautious during the</w:t>
      </w:r>
      <w:r>
        <w:t xml:space="preserve"> </w:t>
      </w:r>
      <w:r>
        <w:t xml:space="preserve">interpretation of results as this reflects the limitation of the data.</w:t>
      </w:r>
    </w:p>
    <w:p>
      <w:pPr>
        <w:pStyle w:val="BodyText"/>
      </w:pPr>
    </w:p>
    <w:p>
      <w:pPr>
        <w:pStyle w:val="BodyText"/>
      </w:pPr>
      <w:r>
        <w:t xml:space="preserve">Spatial distribution of predominant land use categories.</w:t>
      </w:r>
    </w:p>
    <w:p>
      <w:pPr>
        <w:pStyle w:val="BodyText"/>
      </w:pPr>
      <w:r>
        <w:t xml:space="preserve">Contingency table shows even more evident patterns than in the previous</w:t>
      </w:r>
      <w:r>
        <w:t xml:space="preserve"> </w:t>
      </w:r>
      <w:r>
        <w:t xml:space="preserve">example.</w:t>
      </w:r>
    </w:p>
    <w:p>
      <w:pPr>
        <w:pStyle w:val="BodyText"/>
      </w:pPr>
      <w:r>
        <w:t xml:space="preserve">Contingency table showing the counts of features per predominant land</w:t>
      </w:r>
      <w:r>
        <w:t xml:space="preserve"> </w:t>
      </w:r>
      <w:r>
        <w:t xml:space="preserve">use 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Multi-family housing</w:t>
      </w:r>
    </w:p>
    <w:p>
      <w:pPr>
        <w:pStyle w:val="BodyText"/>
      </w:pPr>
      <w:r>
        <w:t xml:space="preserve">Single-family housing</w:t>
      </w:r>
    </w:p>
    <w:p>
      <w:pPr>
        <w:pStyle w:val="BodyText"/>
      </w:pPr>
      <w:r>
        <w:t xml:space="preserve">Villas</w:t>
      </w:r>
    </w:p>
    <w:p>
      <w:pPr>
        <w:pStyle w:val="BodyText"/>
      </w:pPr>
      <w:r>
        <w:t xml:space="preserve">Industry small</w:t>
      </w:r>
    </w:p>
    <w:p>
      <w:pPr>
        <w:pStyle w:val="BodyText"/>
      </w:pPr>
      <w:r>
        <w:t xml:space="preserve">Industry large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14412</w:t>
      </w:r>
    </w:p>
    <w:p>
      <w:pPr>
        <w:pStyle w:val="BodyText"/>
      </w:pPr>
      <w:r>
        <w:t xml:space="preserve">819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1343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6019</w:t>
      </w:r>
    </w:p>
    <w:p>
      <w:pPr>
        <w:pStyle w:val="BodyText"/>
      </w:pPr>
      <w:r>
        <w:t xml:space="preserve">5426</w:t>
      </w:r>
    </w:p>
    <w:p>
      <w:pPr>
        <w:pStyle w:val="BodyText"/>
      </w:pPr>
      <w:r>
        <w:t xml:space="preserve">487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201</w:t>
      </w:r>
    </w:p>
    <w:p>
      <w:pPr>
        <w:pStyle w:val="BodyText"/>
      </w:pPr>
      <w:r>
        <w:t xml:space="preserve">3817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1065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733</w:t>
      </w:r>
    </w:p>
    <w:p>
      <w:pPr>
        <w:pStyle w:val="BodyText"/>
      </w:pPr>
      <w:r>
        <w:t xml:space="preserve">546</w:t>
      </w:r>
    </w:p>
    <w:p>
      <w:pPr>
        <w:pStyle w:val="BodyText"/>
      </w:pPr>
      <w:r>
        <w:t xml:space="preserve">2624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5905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2176</w:t>
      </w:r>
    </w:p>
    <w:p>
      <w:pPr>
        <w:pStyle w:val="BodyText"/>
      </w:pPr>
      <w:r>
        <w:t xml:space="preserve">7038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214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500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2489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221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691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7321</w:t>
      </w:r>
    </w:p>
    <w:p>
      <w:pPr>
        <w:pStyle w:val="BodyText"/>
      </w:pPr>
      <w:r>
        <w:t xml:space="preserve">236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7292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126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6609</w:t>
      </w:r>
    </w:p>
    <w:p>
      <w:pPr>
        <w:pStyle w:val="BodyText"/>
      </w:pPr>
      <w:r>
        <w:t xml:space="preserve">389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1461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706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6684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14794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3775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701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2731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323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2632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505</w:t>
      </w:r>
    </w:p>
    <w:p>
      <w:pPr>
        <w:pStyle w:val="BodyText"/>
      </w:pPr>
      <w:r>
        <w:t xml:space="preserve">11127</w:t>
      </w:r>
    </w:p>
    <w:p>
      <w:pPr>
        <w:pStyle w:val="BodyText"/>
      </w:pPr>
      <w:r>
        <w:t xml:space="preserve">466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7384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1230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706</w:t>
      </w:r>
    </w:p>
    <w:p>
      <w:pPr>
        <w:pStyle w:val="BodyText"/>
      </w:pPr>
      <w:r>
        <w:t xml:space="preserve">874</w:t>
      </w:r>
    </w:p>
    <w:p>
      <w:pPr>
        <w:pStyle w:val="BodyText"/>
      </w:pPr>
      <w:r>
        <w:t xml:space="preserve">: Contingency table showing the counts of features per predominant land</w:t>
      </w:r>
      <w:r>
        <w:t xml:space="preserve"> </w:t>
      </w:r>
      <w:r>
        <w:t xml:space="preserve">use within individual clusters.</w:t>
      </w:r>
    </w:p>
    <w:p>
      <w:pPr>
        <w:pStyle w:val="BodyText"/>
      </w:pPr>
      <w:r>
        <w:t xml:space="preserve">Reported Chi-square results, based on the contingency table, assessing</w:t>
      </w:r>
      <w:r>
        <w:t xml:space="preserve"> </w:t>
      </w:r>
      <w:r>
        <w:t xml:space="preserve">whether there is a significant relationship between two variables</w:t>
      </w:r>
      <w:r>
        <w:t xml:space="preserve"> </w:t>
      </w:r>
      <w:r>
        <w:t xml:space="preserve">(land-use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95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140315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176165.83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 significant relationship. Cramérs-V value is</w:t>
      </w:r>
      <w:r>
        <w:t xml:space="preserve"> </w:t>
      </w:r>
      <w:r>
        <w:t xml:space="preserve">0.501, indicating high association, higher than in the previous case.</w:t>
      </w:r>
      <w:r>
        <w:t xml:space="preserve"> </w:t>
      </w:r>
      <w:r>
        <w:t xml:space="preserve">The land-use typology is known to be related to the form, even though</w:t>
      </w:r>
      <w:r>
        <w:t xml:space="preserve"> </w:t>
      </w:r>
      <w:r>
        <w:t xml:space="preserve">not always in the same manner (see compact blocks vs modernism being in</w:t>
      </w:r>
      <w:r>
        <w:t xml:space="preserve"> </w:t>
      </w:r>
      <w:r>
        <w:t xml:space="preserve">the same class). The results demonstrate that the clustering does</w:t>
      </w:r>
      <w:r>
        <w:t xml:space="preserve"> </w:t>
      </w:r>
      <w:r>
        <w:t xml:space="preserve">reflect the similar subdivision as land-use presumes, hence indicate</w:t>
      </w:r>
      <w:r>
        <w:t xml:space="preserve"> </w:t>
      </w:r>
      <w:r>
        <w:t xml:space="preserve">the validity of the classification.</w:t>
      </w:r>
    </w:p>
    <w:p>
      <w:pPr>
        <w:pStyle w:val="BodyText"/>
      </w:pPr>
      <w:r>
        <w:t xml:space="preserve">Detail of the composition of individual clusters (figure ) shows in</w:t>
      </w:r>
      <w:r>
        <w:t xml:space="preserve"> </w:t>
      </w:r>
      <w:r>
        <w:t xml:space="preserve">even more straightforward way the clear relationship between both</w:t>
      </w:r>
      <w:r>
        <w:t xml:space="preserve"> </w:t>
      </w:r>
      <w:r>
        <w:t xml:space="preserve">variables. Cluster 11 (historical core) has a higher proportion of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uses caused by its central position where parts of the</w:t>
      </w:r>
      <w:r>
        <w:t xml:space="preserve"> </w:t>
      </w:r>
      <w:r>
        <w:t xml:space="preserve">historical core are used as the central business district, therefore</w:t>
      </w:r>
      <w:r>
        <w:t xml:space="preserve"> </w:t>
      </w:r>
      <w:r>
        <w:t xml:space="preserve">bringing different land uses to the same area.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predominant land use.</w:t>
      </w:r>
    </w:p>
    <w:p>
      <w:pPr>
        <w:pStyle w:val="BodyText"/>
      </w:pPr>
      <w:r>
        <w:t xml:space="preserve">Similarly, a high degree of relation is present when we assess branches</w:t>
      </w:r>
      <w:r>
        <w:t xml:space="preserve"> </w:t>
      </w:r>
      <w:r>
        <w:t xml:space="preserve">instead of individual clusters (figure ). What can be seen as the</w:t>
      </w:r>
      <w:r>
        <w:t xml:space="preserve"> </w:t>
      </w:r>
      <w:r>
        <w:t xml:space="preserve">highest rate of imprecision is 0.09 ratio of single-family housing in</w:t>
      </w:r>
      <w:r>
        <w:t xml:space="preserve"> </w:t>
      </w:r>
      <w:r>
        <w:t xml:space="preserve">the industrial city branch, which shows that the actual precision is</w:t>
      </w:r>
      <w:r>
        <w:t xml:space="preserve"> </w:t>
      </w:r>
      <w:r>
        <w:t xml:space="preserve">more than 90%.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predominant land use.</w:t>
      </w:r>
    </w:p>
    <w:p>
      <w:pPr>
        <w:pStyle w:val="BodyText"/>
      </w:pPr>
      <w:r>
        <w:t xml:space="preserve">Illustration of spatial distribution tells the same story and it is not</w:t>
      </w:r>
      <w:r>
        <w:t xml:space="preserve"> </w:t>
      </w:r>
      <w:r>
        <w:t xml:space="preserve">necessary to go into the details. The same branch of the dense city</w:t>
      </w:r>
      <w:r>
        <w:t xml:space="preserve"> </w:t>
      </w:r>
      <w:r>
        <w:t xml:space="preserve">(figure ) as above shows what is already explained in numbers, i.e. the</w:t>
      </w:r>
      <w:r>
        <w:t xml:space="preserve"> </w:t>
      </w:r>
      <w:r>
        <w:t xml:space="preserve">high level of overlap between land-use and clustering.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predominant land use. Colours represent land use and</w:t>
      </w:r>
      <w:r>
        <w:t xml:space="preserve"> </w:t>
      </w:r>
      <w:r>
        <w:t xml:space="preserve">the saturation the extent of the branch.</w:t>
      </w:r>
    </w:p>
    <w:p>
      <w:pPr>
        <w:pStyle w:val="BodyText"/>
      </w:pPr>
      <w:r>
        <w:t xml:space="preserve">The results of validation of clustering and taxonomy based on land use</w:t>
      </w:r>
      <w:r>
        <w:t xml:space="preserve"> </w:t>
      </w:r>
      <w:r>
        <w:t xml:space="preserve">data show even higher levels of similarity between the variables than</w:t>
      </w:r>
      <w:r>
        <w:t xml:space="preserve"> </w:t>
      </w:r>
      <w:r>
        <w:t xml:space="preserve">in the case of historical origin, clearly indicating that the</w:t>
      </w:r>
      <w:r>
        <w:t xml:space="preserve"> </w:t>
      </w:r>
      <w:r>
        <w:t xml:space="preserve">morphometric tissue types can be relevant.</w:t>
      </w:r>
    </w:p>
    <w:bookmarkEnd w:id="42"/>
    <w:bookmarkStart w:id="43" w:name="municipal-typology-1"/>
    <w:p>
      <w:pPr>
        <w:pStyle w:val="Heading5"/>
      </w:pPr>
      <w:r>
        <w:t xml:space="preserve">Municipal typology</w:t>
      </w:r>
    </w:p>
    <w:p>
      <w:pPr>
        <w:pStyle w:val="FirstParagraph"/>
      </w:pPr>
      <w:r>
        <w:t xml:space="preserve">Comparison of the clusters and the qualitative municipal typology is</w:t>
      </w:r>
      <w:r>
        <w:t xml:space="preserve"> </w:t>
      </w:r>
      <w:r>
        <w:t xml:space="preserve">the last validation using additional proxy data. As described in the</w:t>
      </w:r>
      <w:r>
        <w:t xml:space="preserve"> </w:t>
      </w:r>
      <w:r>
        <w:t xml:space="preserve">section 8.2.2.1.2.3, there are certain limitations when it comes to the</w:t>
      </w:r>
      <w:r>
        <w:t xml:space="preserve"> </w:t>
      </w:r>
      <w:r>
        <w:t xml:space="preserve">municipal typology itself which results in the necessity to drop a</w:t>
      </w:r>
      <w:r>
        <w:t xml:space="preserve"> </w:t>
      </w:r>
      <w:r>
        <w:t xml:space="preserve">fraction of features (20960 are dropped, therefore 119355 features are</w:t>
      </w:r>
      <w:r>
        <w:t xml:space="preserve"> </w:t>
      </w:r>
      <w:r>
        <w:t xml:space="preserve">used) before the actual analysis. The data used for the analysis and</w:t>
      </w:r>
      <w:r>
        <w:t xml:space="preserve"> </w:t>
      </w:r>
      <w:r>
        <w:t xml:space="preserve">their respective types are illustrated in figure . The types are</w:t>
      </w:r>
      <w:r>
        <w:t xml:space="preserve"> </w:t>
      </w:r>
      <w:r>
        <w:t xml:space="preserve">clearly distinguished and in a sense, reflect the combination of origin</w:t>
      </w:r>
      <w:r>
        <w:t xml:space="preserve"> </w:t>
      </w:r>
      <w:r>
        <w:t xml:space="preserve">and land-use categories.</w:t>
      </w:r>
    </w:p>
    <w:p>
      <w:pPr>
        <w:pStyle w:val="BodyText"/>
      </w:pPr>
    </w:p>
    <w:p>
      <w:pPr>
        <w:pStyle w:val="BodyText"/>
      </w:pPr>
      <w:r>
        <w:t xml:space="preserve">Spatial distribution of individual classes of qualitative municipal</w:t>
      </w:r>
      <w:r>
        <w:t xml:space="preserve"> </w:t>
      </w:r>
      <w:r>
        <w:t xml:space="preserve">typology in Prague.</w:t>
      </w:r>
    </w:p>
    <w:p>
      <w:pPr>
        <w:pStyle w:val="BodyText"/>
      </w:pPr>
      <w:r>
        <w:t xml:space="preserve">Contingency table shows even more evident patterns than in the previous</w:t>
      </w:r>
      <w:r>
        <w:t xml:space="preserve"> </w:t>
      </w:r>
      <w:r>
        <w:t xml:space="preserve">examples.</w:t>
      </w:r>
    </w:p>
    <w:p>
      <w:pPr>
        <w:pStyle w:val="BodyText"/>
      </w:pPr>
      <w:r>
        <w:t xml:space="preserve">Contingency table showing the counts of features per municipal typology</w:t>
      </w:r>
      <w:r>
        <w:t xml:space="preserve"> </w:t>
      </w:r>
      <w:r>
        <w:t xml:space="preserve">classes 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organic</w:t>
      </w:r>
    </w:p>
    <w:p>
      <w:pPr>
        <w:pStyle w:val="BodyText"/>
      </w:pPr>
      <w:r>
        <w:t xml:space="preserve">perimeter block</w:t>
      </w:r>
    </w:p>
    <w:p>
      <w:pPr>
        <w:pStyle w:val="BodyText"/>
      </w:pPr>
      <w:r>
        <w:t xml:space="preserve">village</w:t>
      </w:r>
    </w:p>
    <w:p>
      <w:pPr>
        <w:pStyle w:val="BodyText"/>
      </w:pPr>
      <w:r>
        <w:t xml:space="preserve">garden city</w:t>
      </w:r>
    </w:p>
    <w:p>
      <w:pPr>
        <w:pStyle w:val="BodyText"/>
      </w:pPr>
      <w:r>
        <w:t xml:space="preserve">modernism</w:t>
      </w:r>
    </w:p>
    <w:p>
      <w:pPr>
        <w:pStyle w:val="BodyText"/>
      </w:pPr>
      <w:r>
        <w:t xml:space="preserve">production</w:t>
      </w:r>
    </w:p>
    <w:p>
      <w:pPr>
        <w:pStyle w:val="BodyText"/>
      </w:pPr>
      <w:r>
        <w:t xml:space="preserve">services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5158</w:t>
      </w:r>
    </w:p>
    <w:p>
      <w:pPr>
        <w:pStyle w:val="BodyText"/>
      </w:pPr>
      <w:r>
        <w:t xml:space="preserve">9386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960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965</w:t>
      </w:r>
    </w:p>
    <w:p>
      <w:pPr>
        <w:pStyle w:val="BodyText"/>
      </w:pPr>
      <w:r>
        <w:t xml:space="preserve">3802</w:t>
      </w:r>
    </w:p>
    <w:p>
      <w:pPr>
        <w:pStyle w:val="BodyText"/>
      </w:pPr>
      <w:r>
        <w:t xml:space="preserve">3600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1338</w:t>
      </w:r>
    </w:p>
    <w:p>
      <w:pPr>
        <w:pStyle w:val="BodyText"/>
      </w:pPr>
      <w:r>
        <w:t xml:space="preserve">616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660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543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375</w:t>
      </w:r>
    </w:p>
    <w:p>
      <w:pPr>
        <w:pStyle w:val="BodyText"/>
      </w:pPr>
      <w:r>
        <w:t xml:space="preserve">5350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2551</w:t>
      </w:r>
    </w:p>
    <w:p>
      <w:pPr>
        <w:pStyle w:val="BodyText"/>
      </w:pPr>
      <w:r>
        <w:t xml:space="preserve">3050</w:t>
      </w:r>
    </w:p>
    <w:p>
      <w:pPr>
        <w:pStyle w:val="BodyText"/>
      </w:pPr>
      <w:r>
        <w:t xml:space="preserve">1042</w:t>
      </w:r>
    </w:p>
    <w:p>
      <w:pPr>
        <w:pStyle w:val="BodyText"/>
      </w:pPr>
      <w:r>
        <w:t xml:space="preserve">445</w:t>
      </w:r>
    </w:p>
    <w:p>
      <w:pPr>
        <w:pStyle w:val="BodyText"/>
      </w:pPr>
      <w:r>
        <w:t xml:space="preserve">283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1331</w:t>
      </w:r>
    </w:p>
    <w:p>
      <w:pPr>
        <w:pStyle w:val="BodyText"/>
      </w:pPr>
      <w:r>
        <w:t xml:space="preserve">479</w:t>
      </w:r>
    </w:p>
    <w:p>
      <w:pPr>
        <w:pStyle w:val="BodyText"/>
      </w:pPr>
      <w:r>
        <w:t xml:space="preserve">434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1941</w:t>
      </w:r>
    </w:p>
    <w:p>
      <w:pPr>
        <w:pStyle w:val="BodyText"/>
      </w:pPr>
      <w:r>
        <w:t xml:space="preserve">4655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5659</w:t>
      </w:r>
    </w:p>
    <w:p>
      <w:pPr>
        <w:pStyle w:val="BodyText"/>
      </w:pPr>
      <w:r>
        <w:t xml:space="preserve">1569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5248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853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2137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6540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8805</w:t>
      </w:r>
    </w:p>
    <w:p>
      <w:pPr>
        <w:pStyle w:val="BodyText"/>
      </w:pPr>
      <w:r>
        <w:t xml:space="preserve">5640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2825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1283</w:t>
      </w:r>
    </w:p>
    <w:p>
      <w:pPr>
        <w:pStyle w:val="BodyText"/>
      </w:pPr>
      <w:r>
        <w:t xml:space="preserve">1734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1198</w:t>
      </w:r>
    </w:p>
    <w:p>
      <w:pPr>
        <w:pStyle w:val="BodyText"/>
      </w:pPr>
      <w:r>
        <w:t xml:space="preserve">1103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3538</w:t>
      </w:r>
    </w:p>
    <w:p>
      <w:pPr>
        <w:pStyle w:val="BodyText"/>
      </w:pPr>
      <w:r>
        <w:t xml:space="preserve">6300</w:t>
      </w:r>
    </w:p>
    <w:p>
      <w:pPr>
        <w:pStyle w:val="BodyText"/>
      </w:pPr>
      <w:r>
        <w:t xml:space="preserve">301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4327</w:t>
      </w:r>
    </w:p>
    <w:p>
      <w:pPr>
        <w:pStyle w:val="BodyText"/>
      </w:pPr>
      <w:r>
        <w:t xml:space="preserve">3153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1461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: Contingency table showing the counts of features per municipal</w:t>
      </w:r>
      <w:r>
        <w:t xml:space="preserve"> </w:t>
      </w:r>
      <w:r>
        <w:t xml:space="preserve">typology classes within individual clusters.</w:t>
      </w:r>
    </w:p>
    <w:p>
      <w:pPr>
        <w:pStyle w:val="BodyText"/>
      </w:pPr>
      <w:r>
        <w:t xml:space="preserve">Reported Chi-square results, based on the contingency table, assessing</w:t>
      </w:r>
      <w:r>
        <w:t xml:space="preserve"> </w:t>
      </w:r>
      <w:r>
        <w:t xml:space="preserve">whether there is a significant relationship between two variables</w:t>
      </w:r>
      <w:r>
        <w:t xml:space="preserve"> </w:t>
      </w:r>
      <w:r>
        <w:t xml:space="preserve">(municipal typology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114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119355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325595.20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again indicates a significant</w:t>
      </w:r>
      <w:r>
        <w:t xml:space="preserve"> </w:t>
      </w:r>
      <w:r>
        <w:t xml:space="preserve">relationship.‌ Cramérs-V value is 0.674, indicating high association,</w:t>
      </w:r>
      <w:r>
        <w:t xml:space="preserve"> </w:t>
      </w:r>
      <w:r>
        <w:t xml:space="preserve">the highest of all tested datasets. That is no surprise, as both layers</w:t>
      </w:r>
      <w:r>
        <w:t xml:space="preserve"> </w:t>
      </w:r>
      <w:r>
        <w:t xml:space="preserve">(clusters and municipal typology) are trying to describe the same</w:t>
      </w:r>
      <w:r>
        <w:t xml:space="preserve"> </w:t>
      </w:r>
      <w:r>
        <w:t xml:space="preserve">aspects of the city. Considering the MAUP-related imprecision of</w:t>
      </w:r>
      <w:r>
        <w:t xml:space="preserve"> </w:t>
      </w:r>
      <w:r>
        <w:t xml:space="preserve">municipal dataset and error margin of clustering, the results offer a</w:t>
      </w:r>
      <w:r>
        <w:t xml:space="preserve"> </w:t>
      </w:r>
      <w:r>
        <w:t xml:space="preserve">strong indication of the validity of the clustering output.</w:t>
      </w:r>
    </w:p>
    <w:p>
      <w:pPr>
        <w:pStyle w:val="BodyText"/>
      </w:pPr>
      <w:r>
        <w:t xml:space="preserve">The relation is also clearly present in the composition of each cluster</w:t>
      </w:r>
      <w:r>
        <w:t xml:space="preserve"> </w:t>
      </w:r>
      <w:r>
        <w:t xml:space="preserve">(figure ) with the only difference of distinction between village and</w:t>
      </w:r>
      <w:r>
        <w:t xml:space="preserve"> </w:t>
      </w:r>
      <w:r>
        <w:t xml:space="preserve">garden city typology. That is poorly specified in the original dataset</w:t>
      </w:r>
      <w:r>
        <w:t xml:space="preserve"> </w:t>
      </w:r>
      <w:r>
        <w:t xml:space="preserve">and the difference is unclear as it mixes historical origin and</w:t>
      </w:r>
      <w:r>
        <w:t xml:space="preserve"> </w:t>
      </w:r>
      <w:r>
        <w:t xml:space="preserve">ideology with the morphological description. So the difference between</w:t>
      </w:r>
      <w:r>
        <w:t xml:space="preserve"> </w:t>
      </w:r>
      <w:r>
        <w:t xml:space="preserve">the two should be taken with care as it might just be misleading.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municipal typology.</w:t>
      </w:r>
    </w:p>
    <w:p>
      <w:pPr>
        <w:pStyle w:val="BodyText"/>
      </w:pPr>
      <w:r>
        <w:t xml:space="preserve">Branches are combining different groups of municipal typology in a</w:t>
      </w:r>
      <w:r>
        <w:t xml:space="preserve"> </w:t>
      </w:r>
      <w:r>
        <w:t xml:space="preserve">similar manner they combine clusters (figure ). We can see some</w:t>
      </w:r>
      <w:r>
        <w:t xml:space="preserve"> </w:t>
      </w:r>
      <w:r>
        <w:t xml:space="preserve">deviations, but the general tendency is clear and tells a very similar</w:t>
      </w:r>
      <w:r>
        <w:t xml:space="preserve"> </w:t>
      </w:r>
      <w:r>
        <w:t xml:space="preserve">story as taxonomy itself.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municipal typology.</w:t>
      </w:r>
    </w:p>
    <w:p>
      <w:pPr>
        <w:pStyle w:val="BodyText"/>
      </w:pPr>
      <w:r>
        <w:t xml:space="preserve">A single illustration of spatial distribution on the branch of the</w:t>
      </w:r>
      <w:r>
        <w:t xml:space="preserve"> </w:t>
      </w:r>
      <w:r>
        <w:t xml:space="preserve">dense historical city shows almost precise overlap with municipal</w:t>
      </w:r>
      <w:r>
        <w:t xml:space="preserve"> </w:t>
      </w:r>
      <w:r>
        <w:t xml:space="preserve">typology (figure ). The differences, e.g. the areas marked as</w:t>
      </w:r>
      <w:r>
        <w:t xml:space="preserve"> </w:t>
      </w:r>
      <w:r>
        <w:rPr>
          <w:iCs/>
          <w:i/>
        </w:rPr>
        <w:t xml:space="preserve">perimeter blocks</w:t>
      </w:r>
      <w:r>
        <w:t xml:space="preserve"> </w:t>
      </w:r>
      <w:r>
        <w:t xml:space="preserve">in municipal typology not captured by clusters, are</w:t>
      </w:r>
      <w:r>
        <w:t xml:space="preserve"> </w:t>
      </w:r>
      <w:r>
        <w:t xml:space="preserve">mostly incorrectly classified in the typology itself due to MAUP</w:t>
      </w:r>
      <w:r>
        <w:t xml:space="preserve"> </w:t>
      </w:r>
      <w:r>
        <w:t xml:space="preserve">(Dejvice University Campus in the north-west, Industrial belt of</w:t>
      </w:r>
      <w:r>
        <w:t xml:space="preserve"> </w:t>
      </w:r>
      <w:r>
        <w:t xml:space="preserve">Holesovice in the north).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municipal typology. Colours represent classes of</w:t>
      </w:r>
      <w:r>
        <w:t xml:space="preserve"> </w:t>
      </w:r>
      <w:r>
        <w:t xml:space="preserve">typology and the saturation the extent of the branch.</w:t>
      </w:r>
    </w:p>
    <w:p>
      <w:pPr>
        <w:pStyle w:val="BodyText"/>
      </w:pPr>
      <w:r>
        <w:t xml:space="preserve">Municipal typology shows the highest similarity with the morphometric</w:t>
      </w:r>
      <w:r>
        <w:t xml:space="preserve"> </w:t>
      </w:r>
      <w:r>
        <w:t xml:space="preserve">urban tissue types from all three proxy layers. This layer should be</w:t>
      </w:r>
      <w:r>
        <w:t xml:space="preserve"> </w:t>
      </w:r>
      <w:r>
        <w:t xml:space="preserve">similar as it tries to capture a similar perspective of the city. The</w:t>
      </w:r>
      <w:r>
        <w:t xml:space="preserve"> </w:t>
      </w:r>
      <w:r>
        <w:t xml:space="preserve">fact that it does shows such high significance tells that the</w:t>
      </w:r>
      <w:r>
        <w:t xml:space="preserve"> </w:t>
      </w:r>
      <w:r>
        <w:t xml:space="preserve">clustering method and classification does deliver results capturing</w:t>
      </w:r>
      <w:r>
        <w:t xml:space="preserve"> </w:t>
      </w:r>
      <w:r>
        <w:t xml:space="preserve">meaningful results.</w:t>
      </w:r>
    </w:p>
    <w:p>
      <w:pPr>
        <w:pStyle w:val="BodyText"/>
      </w:pPr>
      <w:r>
        <w:t xml:space="preserve">The aim of the section was to validate the results of clustering using</w:t>
      </w:r>
      <w:r>
        <w:t xml:space="preserve"> </w:t>
      </w:r>
      <w:r>
        <w:t xml:space="preserve">additional data. The clusters would be seen as validated if they showed</w:t>
      </w:r>
      <w:r>
        <w:t xml:space="preserve"> </w:t>
      </w:r>
      <w:r>
        <w:t xml:space="preserve">a significant relationship to all tested layers. The results of the</w:t>
      </w:r>
      <w:r>
        <w:t xml:space="preserve"> </w:t>
      </w:r>
      <w:r>
        <w:t xml:space="preserve">validation show significance and moderate (origin) to a high</w:t>
      </w:r>
      <w:r>
        <w:t xml:space="preserve"> </w:t>
      </w:r>
      <w:r>
        <w:t xml:space="preserve">association (both land-use and municipal typology) based on the</w:t>
      </w:r>
      <w:r>
        <w:t xml:space="preserve"> </w:t>
      </w:r>
      <w:r>
        <w:t xml:space="preserve">employed tests. These results clearly indicate that the method of</w:t>
      </w:r>
      <w:r>
        <w:t xml:space="preserve"> </w:t>
      </w:r>
      <w:r>
        <w:t xml:space="preserve">identification of urban tissue types proposed in the previous chapter</w:t>
      </w:r>
      <w:r>
        <w:t xml:space="preserve"> </w:t>
      </w:r>
      <w:r>
        <w:t xml:space="preserve">and related hierarchical classification of urban tissues are both</w:t>
      </w:r>
      <w:r>
        <w:t xml:space="preserve"> </w:t>
      </w:r>
      <w:r>
        <w:t xml:space="preserve">reflecting the morphological reality and could be seen as a valid</w:t>
      </w:r>
      <w:r>
        <w:t xml:space="preserve"> </w:t>
      </w:r>
      <w:r>
        <w:t xml:space="preserve">method of urban morphology analysis.</w:t>
      </w:r>
    </w:p>
    <w:bookmarkEnd w:id="43"/>
    <w:bookmarkEnd w:id="44"/>
    <w:bookmarkStart w:id="48" w:name="transferability-to-other-places"/>
    <w:p>
      <w:pPr>
        <w:pStyle w:val="Heading4"/>
      </w:pPr>
      <w:r>
        <w:t xml:space="preserve">Transferability to other places</w:t>
      </w:r>
    </w:p>
    <w:p>
      <w:pPr>
        <w:pStyle w:val="FirstParagraph"/>
      </w:pPr>
      <w:r>
        <w:t xml:space="preserve">Even though the method is valid in the context of Prague, it is unclear</w:t>
      </w:r>
      <w:r>
        <w:t xml:space="preserve"> </w:t>
      </w:r>
      <w:r>
        <w:t xml:space="preserve">whether it is transferable to other contexts. It was designed with</w:t>
      </w:r>
      <w:r>
        <w:t xml:space="preserve"> </w:t>
      </w:r>
      <w:r>
        <w:t xml:space="preserve">universality in mind, so it is assumed that it should be able to</w:t>
      </w:r>
      <w:r>
        <w:t xml:space="preserve"> </w:t>
      </w:r>
      <w:r>
        <w:t xml:space="preserve">capture a similar level of information in other geographic and</w:t>
      </w:r>
      <w:r>
        <w:t xml:space="preserve"> </w:t>
      </w:r>
      <w:r>
        <w:t xml:space="preserve">historical contexts. To test this hypothesis, the whole methodology is</w:t>
      </w:r>
      <w:r>
        <w:t xml:space="preserve"> </w:t>
      </w:r>
      <w:r>
        <w:t xml:space="preserve">applied to the case study of Amsterdam, including one layer of</w:t>
      </w:r>
      <w:r>
        <w:t xml:space="preserve"> </w:t>
      </w:r>
      <w:r>
        <w:t xml:space="preserve">validation using historical origin data.</w:t>
      </w:r>
    </w:p>
    <w:p>
      <w:pPr>
        <w:pStyle w:val="BodyText"/>
      </w:pPr>
      <w:r>
        <w:t xml:space="preserve">Amsterdam dataset tests not only the transferability of the method but</w:t>
      </w:r>
      <w:r>
        <w:t xml:space="preserve"> </w:t>
      </w:r>
      <w:r>
        <w:t xml:space="preserve">also its scalability. The number of buildings on the input of</w:t>
      </w:r>
      <w:r>
        <w:t xml:space="preserve"> </w:t>
      </w:r>
      <w:r>
        <w:t xml:space="preserve">clustering is 252,385 compared to 140,315 buildings in Prague.</w:t>
      </w:r>
    </w:p>
    <w:p>
      <w:pPr>
        <w:pStyle w:val="BodyText"/>
      </w:pPr>
      <w:r>
        <w:t xml:space="preserve">The results of primary and contextual characters are not presented in</w:t>
      </w:r>
      <w:r>
        <w:t xml:space="preserve"> </w:t>
      </w:r>
      <w:r>
        <w:t xml:space="preserve">the main body of the text, and their distributions are available as</w:t>
      </w:r>
      <w:r>
        <w:t xml:space="preserve"> </w:t>
      </w:r>
      <w:r>
        <w:t xml:space="preserve">Appendix 8.2. Since the method is following the steps defined in</w:t>
      </w:r>
      <w:r>
        <w:t xml:space="preserve"> </w:t>
      </w:r>
      <w:r>
        <w:t xml:space="preserve">sections 7.1 and 8.2.1, results report the selection of an optimal</w:t>
      </w:r>
      <w:r>
        <w:t xml:space="preserve"> </w:t>
      </w:r>
      <w:r>
        <w:t xml:space="preserve">number of components, results of clustering and hierarchical</w:t>
      </w:r>
      <w:r>
        <w:t xml:space="preserve"> </w:t>
      </w:r>
      <w:r>
        <w:t xml:space="preserve">classification.</w:t>
      </w:r>
    </w:p>
    <w:bookmarkStart w:id="45" w:name="clusters"/>
    <w:p>
      <w:pPr>
        <w:pStyle w:val="Heading5"/>
      </w:pPr>
      <w:r>
        <w:t xml:space="preserve">Clusters</w:t>
      </w:r>
    </w:p>
    <w:p>
      <w:pPr>
        <w:pStyle w:val="FirstParagraph"/>
      </w:pPr>
      <w:r>
        <w:t xml:space="preserve">Bayesian Information Criterion shows different curve than we have seen</w:t>
      </w:r>
      <w:r>
        <w:t xml:space="preserve"> </w:t>
      </w:r>
      <w:r>
        <w:t xml:space="preserve">in Prague case as it does not culminate to indicate the optimum (figure</w:t>
      </w:r>
      <w:r>
        <w:t xml:space="preserve"> </w:t>
      </w:r>
      <w:r>
        <w:t xml:space="preserve">). That is a situation which may happen with BIC and indicates</w:t>
      </w:r>
      <w:r>
        <w:t xml:space="preserve"> </w:t>
      </w:r>
      <w:r>
        <w:t xml:space="preserve">overfitting of the model, which BIC is unable to correct.</w:t>
      </w:r>
    </w:p>
    <w:p>
      <w:pPr>
        <w:pStyle w:val="BodyText"/>
      </w:pPr>
      <w:r>
        <w:t xml:space="preserve">Bayesian Information Criterion score for the variable number of</w:t>
      </w:r>
      <w:r>
        <w:t xml:space="preserve"> </w:t>
      </w:r>
      <w:r>
        <w:t xml:space="preserve">components. Shaded area reflects .95 confidence interval.</w:t>
      </w:r>
    </w:p>
    <w:p>
      <w:pPr>
        <w:pStyle w:val="BodyText"/>
      </w:pPr>
      <w:r>
        <w:t xml:space="preserve">In cases like this, it is recommended to follow a different principle</w:t>
      </w:r>
      <w:r>
        <w:t xml:space="preserve"> </w:t>
      </w:r>
      <w:r>
        <w:t xml:space="preserve">of identification of the optimal number of components derived from the</w:t>
      </w:r>
      <w:r>
        <w:t xml:space="preserve"> </w:t>
      </w:r>
      <w:r>
        <w:t xml:space="preserve">gradient of the curve (figure ). The resulting number is then the</w:t>
      </w:r>
      <w:r>
        <w:t xml:space="preserve"> </w:t>
      </w:r>
      <w:r>
        <w:t xml:space="preserve">smallest value on the stabilised gradient. Once it flattens, i.e. the</w:t>
      </w:r>
      <w:r>
        <w:t xml:space="preserve"> </w:t>
      </w:r>
      <w:r>
        <w:t xml:space="preserve">change starts to become more linear, it is not expected that a larger</w:t>
      </w:r>
      <w:r>
        <w:t xml:space="preserve"> </w:t>
      </w:r>
      <w:r>
        <w:t xml:space="preserve">number of components will significantly improve the classification. For</w:t>
      </w:r>
      <w:r>
        <w:t xml:space="preserve"> </w:t>
      </w:r>
      <w:r>
        <w:t xml:space="preserve">that reason, the number of components used for identification of</w:t>
      </w:r>
      <w:r>
        <w:t xml:space="preserve"> </w:t>
      </w:r>
      <w:r>
        <w:t xml:space="preserve">clusters in Amsterdam is derived from the gradient curve as 30.</w:t>
      </w:r>
    </w:p>
    <w:p>
      <w:pPr>
        <w:pStyle w:val="BodyText"/>
      </w:pPr>
      <w:r>
        <w:t xml:space="preserve">Gradient of Bayesian Information Criterion score for the variable</w:t>
      </w:r>
      <w:r>
        <w:t xml:space="preserve"> </w:t>
      </w:r>
      <w:r>
        <w:t xml:space="preserve">number of components. The shaded area reflects a .95 confidence</w:t>
      </w:r>
      <w:r>
        <w:t xml:space="preserve"> </w:t>
      </w:r>
      <w:r>
        <w:t xml:space="preserve">interval. The red line marks the culmination of the gradient at about</w:t>
      </w:r>
      <w:r>
        <w:t xml:space="preserve"> </w:t>
      </w:r>
      <w:r>
        <w:t xml:space="preserve">30 components.</w:t>
      </w:r>
    </w:p>
    <w:p>
      <w:pPr>
        <w:pStyle w:val="BodyText"/>
      </w:pPr>
      <w:r>
        <w:t xml:space="preserve">Results of the cluster analysis are shown visually on figures and .</w:t>
      </w:r>
      <w:r>
        <w:t xml:space="preserve"> </w:t>
      </w:r>
      <w:r>
        <w:t xml:space="preserve">Spatial distribution on the next two pages (the full extent of the case</w:t>
      </w:r>
      <w:r>
        <w:t xml:space="preserve"> </w:t>
      </w:r>
      <w:r>
        <w:t xml:space="preserve">study and the detail of the city centre) show potentially meaningful</w:t>
      </w:r>
      <w:r>
        <w:t xml:space="preserve"> </w:t>
      </w:r>
      <w:r>
        <w:t xml:space="preserve">clusters. Especially clusters in the city centre show a high degree of</w:t>
      </w:r>
      <w:r>
        <w:t xml:space="preserve"> </w:t>
      </w:r>
      <w:r>
        <w:t xml:space="preserve">legibility initially seems to reflect different phases of the</w:t>
      </w:r>
      <w:r>
        <w:t xml:space="preserve"> </w:t>
      </w:r>
      <w:r>
        <w:t xml:space="preserve">development of Amsterdam. From this first perspective, it looks</w:t>
      </w:r>
      <w:r>
        <w:t xml:space="preserve"> </w:t>
      </w:r>
      <w:r>
        <w:t xml:space="preserve">promising, and there is no reason to think that the method</w:t>
      </w:r>
      <w:r>
        <w:t xml:space="preserve"> </w:t>
      </w:r>
      <w:r>
        <w:t xml:space="preserve">identification of clusters is not transferable yet.</w:t>
      </w:r>
    </w:p>
    <w:p>
      <w:pPr>
        <w:pStyle w:val="BodyText"/>
      </w:pPr>
    </w:p>
    <w:p>
      <w:pPr>
        <w:pStyle w:val="BodyText"/>
      </w:pPr>
      <w:r>
        <w:t xml:space="preserve">Spatial distribution of 30 clusters as identified by GMM based on</w:t>
      </w:r>
      <w:r>
        <w:t xml:space="preserve"> </w:t>
      </w:r>
      <w:r>
        <w:t xml:space="preserve">morphometric data.</w:t>
      </w:r>
    </w:p>
    <w:p>
      <w:pPr>
        <w:pStyle w:val="BodyText"/>
      </w:pPr>
      <w:r>
        <w:t xml:space="preserve">Detail of spatial distribution of 30 clusters as identified by GMM</w:t>
      </w:r>
      <w:r>
        <w:t xml:space="preserve"> </w:t>
      </w:r>
      <w:r>
        <w:t xml:space="preserve">based on morphometric data.</w:t>
      </w:r>
    </w:p>
    <w:p>
      <w:pPr>
        <w:pStyle w:val="BodyText"/>
      </w:pPr>
      <w:r>
        <w:t xml:space="preserve">Consider cluster 29 in the previous figure. It, with some margin of</w:t>
      </w:r>
      <w:r>
        <w:t xml:space="preserve"> </w:t>
      </w:r>
      <w:r>
        <w:t xml:space="preserve">error, captures the original historical core of Amsterdam. The next</w:t>
      </w:r>
      <w:r>
        <w:t xml:space="preserve"> </w:t>
      </w:r>
      <w:r>
        <w:t xml:space="preserve">concentric belt is captured as cluster 13. The difference between dark</w:t>
      </w:r>
      <w:r>
        <w:t xml:space="preserve"> </w:t>
      </w:r>
      <w:r>
        <w:t xml:space="preserve">blue (11) and grey/pink areas (4, 18) reflects the change in the</w:t>
      </w:r>
      <w:r>
        <w:t xml:space="preserve"> </w:t>
      </w:r>
      <w:r>
        <w:t xml:space="preserve">planning paradigm with the rise of New Amsterdam School</w:t>
      </w:r>
      <w:r>
        <w:t xml:space="preserve"> </w:t>
      </w:r>
      <w:r>
        <w:t xml:space="preserve">[@panerai2004], captured especially by grey cluster 18. On the other</w:t>
      </w:r>
      <w:r>
        <w:t xml:space="preserve"> </w:t>
      </w:r>
      <w:r>
        <w:t xml:space="preserve">hand, the results in peripheral parts of the city show a certain degree</w:t>
      </w:r>
      <w:r>
        <w:t xml:space="preserve"> </w:t>
      </w:r>
      <w:r>
        <w:t xml:space="preserve">of fuzziness, which again can be a sign of potential overfitting,</w:t>
      </w:r>
      <w:r>
        <w:t xml:space="preserve"> </w:t>
      </w:r>
      <w:r>
        <w:t xml:space="preserve">indicating that the actual number of clusters might need to be smaller.</w:t>
      </w:r>
      <w:r>
        <w:t xml:space="preserve"> </w:t>
      </w:r>
      <w:r>
        <w:t xml:space="preserve">However, that may be resolved by taxonomy, by linking individual</w:t>
      </w:r>
      <w:r>
        <w:t xml:space="preserve"> </w:t>
      </w:r>
      <w:r>
        <w:t xml:space="preserve">clusters together to branches and assessing the urban form via branches.</w:t>
      </w:r>
    </w:p>
    <w:p>
      <w:pPr>
        <w:pStyle w:val="BodyText"/>
      </w:pPr>
      <w:r>
        <w:t xml:space="preserve">It is important to tests the method in additional geographical contexts</w:t>
      </w:r>
      <w:r>
        <w:t xml:space="preserve"> </w:t>
      </w:r>
      <w:r>
        <w:t xml:space="preserve">than initial Prague case study to ensure that it is transferable.</w:t>
      </w:r>
      <w:r>
        <w:t xml:space="preserve"> </w:t>
      </w:r>
      <w:r>
        <w:t xml:space="preserve">Applying the method on the case of Amsterdam, NL, first results</w:t>
      </w:r>
      <w:r>
        <w:t xml:space="preserve"> </w:t>
      </w:r>
      <w:r>
        <w:t xml:space="preserve">indicate that the method is transferable. However, the case also raised</w:t>
      </w:r>
      <w:r>
        <w:t xml:space="preserve"> </w:t>
      </w:r>
      <w:r>
        <w:t xml:space="preserve">questions regarding the stability of the method of determination of the</w:t>
      </w:r>
      <w:r>
        <w:t xml:space="preserve"> </w:t>
      </w:r>
      <w:r>
        <w:t xml:space="preserve">number of components for Gaussian Mixture Model clustering as BIC curve</w:t>
      </w:r>
      <w:r>
        <w:t xml:space="preserve"> </w:t>
      </w:r>
      <w:r>
        <w:t xml:space="preserve">did not culminate. That should be further explored in further research,</w:t>
      </w:r>
      <w:r>
        <w:t xml:space="preserve"> </w:t>
      </w:r>
      <w:r>
        <w:t xml:space="preserve">and additional ways of identification of the optimal number might have</w:t>
      </w:r>
      <w:r>
        <w:t xml:space="preserve"> </w:t>
      </w:r>
      <w:r>
        <w:t xml:space="preserve">to be introduced.</w:t>
      </w:r>
    </w:p>
    <w:bookmarkEnd w:id="45"/>
    <w:bookmarkStart w:id="46" w:name="hierarchical-tree"/>
    <w:p>
      <w:pPr>
        <w:pStyle w:val="Heading5"/>
      </w:pPr>
      <w:r>
        <w:t xml:space="preserve">Hierarchical tree</w:t>
      </w:r>
    </w:p>
    <w:p>
      <w:pPr>
        <w:pStyle w:val="FirstParagraph"/>
      </w:pPr>
      <w:r>
        <w:t xml:space="preserve">The hierarchical tree (figure ) derived from morphometric data of</w:t>
      </w:r>
      <w:r>
        <w:t xml:space="preserve"> </w:t>
      </w:r>
      <w:r>
        <w:t xml:space="preserve">Amsterdam shows similar characteristics as we have seen in Prague, with</w:t>
      </w:r>
      <w:r>
        <w:t xml:space="preserve"> </w:t>
      </w:r>
      <w:r>
        <w:t xml:space="preserve">the significant bifurcation into two branches distinguishing</w:t>
      </w:r>
      <w:r>
        <w:t xml:space="preserve"> </w:t>
      </w:r>
      <w:r>
        <w:t xml:space="preserve">predominantly industrial and housing tissues and then consequent</w:t>
      </w:r>
      <w:r>
        <w:t xml:space="preserve"> </w:t>
      </w:r>
      <w:r>
        <w:t xml:space="preserve">bifurcations lower in the tree distinguishing different rules of the</w:t>
      </w:r>
      <w:r>
        <w:t xml:space="preserve"> </w:t>
      </w:r>
      <w:r>
        <w:t xml:space="preserve">organisation.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in Amsterdam. The y-axis shows a cophenetic</w:t>
      </w:r>
      <w:r>
        <w:t xml:space="preserve"> </w:t>
      </w:r>
      <w:r>
        <w:t xml:space="preserve">distance between individual clusters, i.e. their morphometric</w:t>
      </w:r>
      <w:r>
        <w:t xml:space="preserve"> </w:t>
      </w:r>
      <w:r>
        <w:t xml:space="preserve">similarity. Branches are interpretative coloured - the colours are then</w:t>
      </w:r>
      <w:r>
        <w:t xml:space="preserve"> </w:t>
      </w:r>
      <w:r>
        <w:t xml:space="preserve">used on maps illustrating spatial distribution of these branches.</w:t>
      </w:r>
    </w:p>
    <w:p>
      <w:pPr>
        <w:pStyle w:val="BodyText"/>
      </w:pPr>
      <w:r>
        <w:t xml:space="preserve">The spatial distribution shows what the branches actually mean. See the</w:t>
      </w:r>
      <w:r>
        <w:t xml:space="preserve"> </w:t>
      </w:r>
      <w:r>
        <w:t xml:space="preserve">whole case study and its detail coloured according to the dendrogram on</w:t>
      </w:r>
      <w:r>
        <w:t xml:space="preserve"> </w:t>
      </w:r>
      <w:r>
        <w:t xml:space="preserve">figures and . Again, each cluster has a different shade of the same</w:t>
      </w:r>
      <w:r>
        <w:t xml:space="preserve"> </w:t>
      </w:r>
      <w:r>
        <w:t xml:space="preserve">colour when it belongs to the same branch.</w:t>
      </w:r>
    </w:p>
    <w:p>
      <w:pPr>
        <w:pStyle w:val="BodyText"/>
      </w:pPr>
    </w:p>
    <w:p>
      <w:pPr>
        <w:pStyle w:val="BodyText"/>
      </w:pPr>
      <w:r>
        <w:t xml:space="preserve">Spatial distribution of different branches of dendrogram in Amsterdam.</w:t>
      </w:r>
      <w:r>
        <w:t xml:space="preserve"> </w:t>
      </w:r>
      <w:r>
        <w:t xml:space="preserve">Each tissue type is coloured according to a branch it belongs to, with</w:t>
      </w:r>
      <w:r>
        <w:t xml:space="preserve"> </w:t>
      </w:r>
      <w:r>
        <w:t xml:space="preserve">a minor differences in colour intensity to allow for distinguishing of</w:t>
      </w:r>
      <w:r>
        <w:t xml:space="preserve"> </w:t>
      </w:r>
      <w:r>
        <w:t xml:space="preserve">individual clusters.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dendrogram in</w:t>
      </w:r>
      <w:r>
        <w:t xml:space="preserve"> </w:t>
      </w:r>
      <w:r>
        <w:t xml:space="preserve">Amsterdam. Each tissue type is coloured according to a branch it</w:t>
      </w:r>
      <w:r>
        <w:t xml:space="preserve"> </w:t>
      </w:r>
      <w:r>
        <w:t xml:space="preserve">belongs to, with a minor differences in colour intensity to allow for</w:t>
      </w:r>
      <w:r>
        <w:t xml:space="preserve"> </w:t>
      </w:r>
      <w:r>
        <w:t xml:space="preserve">distinguishing of individual clusters.</w:t>
      </w:r>
    </w:p>
    <w:p>
      <w:pPr>
        <w:pStyle w:val="BodyText"/>
      </w:pPr>
      <w:r>
        <w:t xml:space="preserve">The first bifurcation is analogous to one identified in Prague and</w:t>
      </w:r>
      <w:r>
        <w:t xml:space="preserve"> </w:t>
      </w:r>
      <w:r>
        <w:t xml:space="preserve">divides the city to the organised (figure ) and unorganised (figure )</w:t>
      </w:r>
      <w:r>
        <w:t xml:space="preserve"> </w:t>
      </w:r>
      <w:r>
        <w:t xml:space="preserve">parts. Organised is composed of predominantly residential use. It</w:t>
      </w:r>
      <w:r>
        <w:t xml:space="preserve"> </w:t>
      </w:r>
      <w:r>
        <w:t xml:space="preserve">entails the whole historical core and major parts of residential</w:t>
      </w:r>
      <w:r>
        <w:t xml:space="preserve"> </w:t>
      </w:r>
      <w:r>
        <w:t xml:space="preserve">housing. However, there are major gaps between contiguous areas caused</w:t>
      </w:r>
      <w:r>
        <w:t xml:space="preserve"> </w:t>
      </w:r>
      <w:r>
        <w:t xml:space="preserve">by the high presence of all sorts of industry and other uses. After</w:t>
      </w:r>
      <w:r>
        <w:t xml:space="preserve"> </w:t>
      </w:r>
      <w:r>
        <w:t xml:space="preserve">all, Amsterdam is historically a port city.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Amsterdam. Although there are significant gaps, the overall</w:t>
      </w:r>
      <w:r>
        <w:t xml:space="preserve"> </w:t>
      </w:r>
      <w:r>
        <w:t xml:space="preserve">distribution of tissues seems to be more contiguous than in Prague.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Amsterdam. Similarly to the previous figure,</w:t>
      </w:r>
      <w:r>
        <w:t xml:space="preserve"> </w:t>
      </w:r>
      <w:r>
        <w:t xml:space="preserve">clusters belonging to this branch tend to form either contiguous areas</w:t>
      </w:r>
      <w:r>
        <w:t xml:space="preserve"> </w:t>
      </w:r>
      <w:r>
        <w:t xml:space="preserve">or follow main roads in between.</w:t>
      </w:r>
    </w:p>
    <w:p>
      <w:pPr>
        <w:pStyle w:val="BodyText"/>
      </w:pPr>
      <w:r>
        <w:t xml:space="preserve">The branch comprising the organised city splits into high density and</w:t>
      </w:r>
      <w:r>
        <w:t xml:space="preserve"> </w:t>
      </w:r>
      <w:r>
        <w:t xml:space="preserve">low density in a similar manner as Prague’s case does. High density is</w:t>
      </w:r>
      <w:r>
        <w:t xml:space="preserve"> </w:t>
      </w:r>
      <w:r>
        <w:t xml:space="preserve">mostly historical core , in this case, the one of Amsterdam and also</w:t>
      </w:r>
      <w:r>
        <w:t xml:space="preserve"> </w:t>
      </w:r>
      <w:r>
        <w:t xml:space="preserve">Weesp on the east side of the city. Moreover, parts of the modern</w:t>
      </w:r>
      <w:r>
        <w:t xml:space="preserve"> </w:t>
      </w:r>
      <w:r>
        <w:t xml:space="preserve">development of former port sites tend to show similar characteristics.</w:t>
      </w:r>
      <w:r>
        <w:t xml:space="preserve"> </w:t>
      </w:r>
      <w:r>
        <w:t xml:space="preserve">Further bifurcation within lower density development is readable and</w:t>
      </w:r>
      <w:r>
        <w:t xml:space="preserve"> </w:t>
      </w:r>
      <w:r>
        <w:t xml:space="preserve">follows sorts of the compactness and homogeneity of patterns, so we</w:t>
      </w:r>
      <w:r>
        <w:t xml:space="preserve"> </w:t>
      </w:r>
      <w:r>
        <w:t xml:space="preserve">have organised residential areas, their more heterogeneous counterparts</w:t>
      </w:r>
      <w:r>
        <w:t xml:space="preserve"> </w:t>
      </w:r>
      <w:r>
        <w:t xml:space="preserve">and fringe areas around compact high-density areas (figure ). The tree</w:t>
      </w:r>
      <w:r>
        <w:t xml:space="preserve"> </w:t>
      </w:r>
      <w:r>
        <w:t xml:space="preserve">also resolves the initial fuzziness of individual clusters (notice that</w:t>
      </w:r>
      <w:r>
        <w:t xml:space="preserve"> </w:t>
      </w:r>
      <w:r>
        <w:t xml:space="preserve">light blue, red and pink branches are very similar to each other).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mostly historical development of in Amsterdam.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low</w:t>
      </w:r>
      <w:r>
        <w:t xml:space="preserve"> </w:t>
      </w:r>
      <w:r>
        <w:t xml:space="preserve">density development in Amsterdam.</w:t>
      </w:r>
    </w:p>
    <w:p>
      <w:pPr>
        <w:pStyle w:val="BodyText"/>
      </w:pPr>
      <w:r>
        <w:t xml:space="preserve">Hierarchical taxonomy shows very similar character as was observed in</w:t>
      </w:r>
      <w:r>
        <w:t xml:space="preserve"> </w:t>
      </w:r>
      <w:r>
        <w:t xml:space="preserve">Prague and visually works in a coherent way. It seems safe to conclude</w:t>
      </w:r>
      <w:r>
        <w:t xml:space="preserve"> </w:t>
      </w:r>
      <w:r>
        <w:t xml:space="preserve">that the proposed method similarly behaves in both cities, which</w:t>
      </w:r>
      <w:r>
        <w:t xml:space="preserve"> </w:t>
      </w:r>
      <w:r>
        <w:t xml:space="preserve">indicates its universality and transferability.</w:t>
      </w:r>
    </w:p>
    <w:bookmarkEnd w:id="46"/>
    <w:bookmarkStart w:id="47" w:name="validation-using-historical-origin"/>
    <w:p>
      <w:pPr>
        <w:pStyle w:val="Heading5"/>
      </w:pPr>
      <w:r>
        <w:t xml:space="preserve">Validation using historical origin</w:t>
      </w:r>
    </w:p>
    <w:p>
      <w:pPr>
        <w:pStyle w:val="FirstParagraph"/>
      </w:pPr>
      <w:r>
        <w:t xml:space="preserve">To further assess the validity of clustering in Amsterdam, one layer of</w:t>
      </w:r>
      <w:r>
        <w:t xml:space="preserve"> </w:t>
      </w:r>
      <w:r>
        <w:t xml:space="preserve">validation based on additional data, historical origin, is used as a</w:t>
      </w:r>
      <w:r>
        <w:t xml:space="preserve"> </w:t>
      </w:r>
      <w:r>
        <w:t xml:space="preserve">proxy. The initial input data are illustrated on figure .</w:t>
      </w:r>
    </w:p>
    <w:p>
      <w:pPr>
        <w:pStyle w:val="BodyText"/>
      </w:pPr>
      <w:r>
        <w:t xml:space="preserve">It should be noted that it captures the origin of individual buildings,</w:t>
      </w:r>
      <w:r>
        <w:t xml:space="preserve"> </w:t>
      </w:r>
      <w:r>
        <w:t xml:space="preserve">not the time when the plot was first built as in Prague. As with the</w:t>
      </w:r>
      <w:r>
        <w:t xml:space="preserve"> </w:t>
      </w:r>
      <w:r>
        <w:t xml:space="preserve">data on origin for Prague, we can expect a certain degree of</w:t>
      </w:r>
      <w:r>
        <w:t xml:space="preserve"> </w:t>
      </w:r>
      <w:r>
        <w:t xml:space="preserve">association, but not full as not all patterns are time-dependent. The</w:t>
      </w:r>
      <w:r>
        <w:t xml:space="preserve"> </w:t>
      </w:r>
      <w:r>
        <w:t xml:space="preserve">test will be done using the same method based on the contingency table,</w:t>
      </w:r>
      <w:r>
        <w:t xml:space="preserve"> </w:t>
      </w:r>
      <w:r>
        <w:t xml:space="preserve">chi-squared and Cramér’s V.</w:t>
      </w:r>
    </w:p>
    <w:p>
      <w:pPr>
        <w:pStyle w:val="BodyText"/>
      </w:pPr>
    </w:p>
    <w:p>
      <w:pPr>
        <w:pStyle w:val="BodyText"/>
      </w:pPr>
      <w:r>
        <w:t xml:space="preserve">Spatial distribution of different periods of historical origin in</w:t>
      </w:r>
      <w:r>
        <w:t xml:space="preserve"> </w:t>
      </w:r>
      <w:r>
        <w:t xml:space="preserve">Amsterdam.</w:t>
      </w:r>
    </w:p>
    <w:p>
      <w:pPr>
        <w:pStyle w:val="BodyText"/>
      </w:pPr>
      <w:r>
        <w:t xml:space="preserve">Contingency table showing the counts of features per historical origin</w:t>
      </w:r>
      <w:r>
        <w:t xml:space="preserve"> </w:t>
      </w:r>
      <w:r>
        <w:t xml:space="preserve">within individual clusters in Amsterdam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1800</w:t>
      </w:r>
    </w:p>
    <w:p>
      <w:pPr>
        <w:pStyle w:val="BodyText"/>
      </w:pPr>
      <w:r>
        <w:t xml:space="preserve">1850</w:t>
      </w:r>
    </w:p>
    <w:p>
      <w:pPr>
        <w:pStyle w:val="BodyText"/>
      </w:pPr>
      <w:r>
        <w:t xml:space="preserve">1900</w:t>
      </w:r>
    </w:p>
    <w:p>
      <w:pPr>
        <w:pStyle w:val="BodyText"/>
      </w:pPr>
      <w:r>
        <w:t xml:space="preserve">1930</w:t>
      </w:r>
    </w:p>
    <w:p>
      <w:pPr>
        <w:pStyle w:val="BodyText"/>
      </w:pPr>
      <w:r>
        <w:t xml:space="preserve">1945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827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3012</w:t>
      </w:r>
    </w:p>
    <w:p>
      <w:pPr>
        <w:pStyle w:val="BodyText"/>
      </w:pPr>
      <w:r>
        <w:t xml:space="preserve">2560</w:t>
      </w:r>
    </w:p>
    <w:p>
      <w:pPr>
        <w:pStyle w:val="BodyText"/>
      </w:pPr>
      <w:r>
        <w:t xml:space="preserve">484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311</w:t>
      </w:r>
    </w:p>
    <w:p>
      <w:pPr>
        <w:pStyle w:val="BodyText"/>
      </w:pPr>
      <w:r>
        <w:t xml:space="preserve">471</w:t>
      </w:r>
    </w:p>
    <w:p>
      <w:pPr>
        <w:pStyle w:val="BodyText"/>
      </w:pPr>
      <w:r>
        <w:t xml:space="preserve">1048</w:t>
      </w:r>
    </w:p>
    <w:p>
      <w:pPr>
        <w:pStyle w:val="BodyText"/>
      </w:pPr>
      <w:r>
        <w:t xml:space="preserve">854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752</w:t>
      </w:r>
    </w:p>
    <w:p>
      <w:pPr>
        <w:pStyle w:val="BodyText"/>
      </w:pPr>
      <w:r>
        <w:t xml:space="preserve">748</w:t>
      </w:r>
    </w:p>
    <w:p>
      <w:pPr>
        <w:pStyle w:val="BodyText"/>
      </w:pPr>
      <w:r>
        <w:t xml:space="preserve">5678</w:t>
      </w:r>
    </w:p>
    <w:p>
      <w:pPr>
        <w:pStyle w:val="BodyText"/>
      </w:pPr>
      <w:r>
        <w:t xml:space="preserve">5841</w:t>
      </w:r>
    </w:p>
    <w:p>
      <w:pPr>
        <w:pStyle w:val="BodyText"/>
      </w:pPr>
      <w:r>
        <w:t xml:space="preserve">2048</w:t>
      </w:r>
    </w:p>
    <w:p>
      <w:pPr>
        <w:pStyle w:val="BodyText"/>
      </w:pPr>
      <w:r>
        <w:t xml:space="preserve">5582</w:t>
      </w:r>
    </w:p>
    <w:p>
      <w:pPr>
        <w:pStyle w:val="BodyText"/>
      </w:pPr>
      <w:r>
        <w:t xml:space="preserve">2136</w:t>
      </w:r>
    </w:p>
    <w:p>
      <w:pPr>
        <w:pStyle w:val="BodyText"/>
      </w:pPr>
      <w:r>
        <w:t xml:space="preserve">3210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761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625</w:t>
      </w:r>
    </w:p>
    <w:p>
      <w:pPr>
        <w:pStyle w:val="BodyText"/>
      </w:pPr>
      <w:r>
        <w:t xml:space="preserve">2307</w:t>
      </w:r>
    </w:p>
    <w:p>
      <w:pPr>
        <w:pStyle w:val="BodyText"/>
      </w:pPr>
      <w:r>
        <w:t xml:space="preserve">839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495</w:t>
      </w:r>
    </w:p>
    <w:p>
      <w:pPr>
        <w:pStyle w:val="BodyText"/>
      </w:pPr>
      <w:r>
        <w:t xml:space="preserve">593</w:t>
      </w:r>
    </w:p>
    <w:p>
      <w:pPr>
        <w:pStyle w:val="BodyText"/>
      </w:pPr>
      <w:r>
        <w:t xml:space="preserve">590</w:t>
      </w:r>
    </w:p>
    <w:p>
      <w:pPr>
        <w:pStyle w:val="BodyText"/>
      </w:pPr>
      <w:r>
        <w:t xml:space="preserve">181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584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546</w:t>
      </w:r>
    </w:p>
    <w:p>
      <w:pPr>
        <w:pStyle w:val="BodyText"/>
      </w:pPr>
      <w:r>
        <w:t xml:space="preserve">385</w:t>
      </w:r>
    </w:p>
    <w:p>
      <w:pPr>
        <w:pStyle w:val="BodyText"/>
      </w:pPr>
      <w:r>
        <w:t xml:space="preserve">337</w:t>
      </w:r>
    </w:p>
    <w:p>
      <w:pPr>
        <w:pStyle w:val="BodyText"/>
      </w:pPr>
      <w:r>
        <w:t xml:space="preserve">460</w:t>
      </w:r>
    </w:p>
    <w:p>
      <w:pPr>
        <w:pStyle w:val="BodyText"/>
      </w:pPr>
      <w:r>
        <w:t xml:space="preserve">328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526</w:t>
      </w:r>
    </w:p>
    <w:p>
      <w:pPr>
        <w:pStyle w:val="BodyText"/>
      </w:pPr>
      <w:r>
        <w:t xml:space="preserve">5743</w:t>
      </w:r>
    </w:p>
    <w:p>
      <w:pPr>
        <w:pStyle w:val="BodyText"/>
      </w:pPr>
      <w:r>
        <w:t xml:space="preserve">2771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698</w:t>
      </w:r>
    </w:p>
    <w:p>
      <w:pPr>
        <w:pStyle w:val="BodyText"/>
      </w:pPr>
      <w:r>
        <w:t xml:space="preserve">4214</w:t>
      </w:r>
    </w:p>
    <w:p>
      <w:pPr>
        <w:pStyle w:val="BodyText"/>
      </w:pPr>
      <w:r>
        <w:t xml:space="preserve">2126</w:t>
      </w:r>
    </w:p>
    <w:p>
      <w:pPr>
        <w:pStyle w:val="BodyText"/>
      </w:pPr>
      <w:r>
        <w:t xml:space="preserve">2132</w:t>
      </w:r>
    </w:p>
    <w:p>
      <w:pPr>
        <w:pStyle w:val="BodyText"/>
      </w:pPr>
      <w:r>
        <w:t xml:space="preserve">2034</w:t>
      </w:r>
    </w:p>
    <w:p>
      <w:pPr>
        <w:pStyle w:val="BodyText"/>
      </w:pPr>
      <w:r>
        <w:t xml:space="preserve">1208</w:t>
      </w:r>
    </w:p>
    <w:p>
      <w:pPr>
        <w:pStyle w:val="BodyText"/>
      </w:pPr>
      <w:r>
        <w:t xml:space="preserve">932</w:t>
      </w:r>
    </w:p>
    <w:p>
      <w:pPr>
        <w:pStyle w:val="BodyText"/>
      </w:pPr>
      <w:r>
        <w:t xml:space="preserve">920</w:t>
      </w:r>
    </w:p>
    <w:p>
      <w:pPr>
        <w:pStyle w:val="BodyText"/>
      </w:pPr>
      <w:r>
        <w:t xml:space="preserve">763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821</w:t>
      </w:r>
    </w:p>
    <w:p>
      <w:pPr>
        <w:pStyle w:val="BodyText"/>
      </w:pPr>
      <w:r>
        <w:t xml:space="preserve">490</w:t>
      </w:r>
    </w:p>
    <w:p>
      <w:pPr>
        <w:pStyle w:val="BodyText"/>
      </w:pPr>
      <w:r>
        <w:t xml:space="preserve">679</w:t>
      </w:r>
    </w:p>
    <w:p>
      <w:pPr>
        <w:pStyle w:val="BodyText"/>
      </w:pPr>
      <w:r>
        <w:t xml:space="preserve">1521</w:t>
      </w:r>
    </w:p>
    <w:p>
      <w:pPr>
        <w:pStyle w:val="BodyText"/>
      </w:pPr>
      <w:r>
        <w:t xml:space="preserve">693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1365</w:t>
      </w:r>
    </w:p>
    <w:p>
      <w:pPr>
        <w:pStyle w:val="BodyText"/>
      </w:pPr>
      <w:r>
        <w:t xml:space="preserve">1287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604</w:t>
      </w:r>
    </w:p>
    <w:p>
      <w:pPr>
        <w:pStyle w:val="BodyText"/>
      </w:pPr>
      <w:r>
        <w:t xml:space="preserve">5455</w:t>
      </w:r>
    </w:p>
    <w:p>
      <w:pPr>
        <w:pStyle w:val="BodyText"/>
      </w:pPr>
      <w:r>
        <w:t xml:space="preserve">3455</w:t>
      </w:r>
    </w:p>
    <w:p>
      <w:pPr>
        <w:pStyle w:val="BodyText"/>
      </w:pPr>
      <w:r>
        <w:t xml:space="preserve">3282</w:t>
      </w:r>
    </w:p>
    <w:p>
      <w:pPr>
        <w:pStyle w:val="BodyText"/>
      </w:pPr>
      <w:r>
        <w:t xml:space="preserve">503</w:t>
      </w:r>
    </w:p>
    <w:p>
      <w:pPr>
        <w:pStyle w:val="BodyText"/>
      </w:pPr>
      <w:r>
        <w:t xml:space="preserve">367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449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442</w:t>
      </w:r>
    </w:p>
    <w:p>
      <w:pPr>
        <w:pStyle w:val="BodyText"/>
      </w:pPr>
      <w:r>
        <w:t xml:space="preserve">516</w:t>
      </w:r>
    </w:p>
    <w:p>
      <w:pPr>
        <w:pStyle w:val="BodyText"/>
      </w:pPr>
      <w:r>
        <w:t xml:space="preserve">399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3151</w:t>
      </w:r>
    </w:p>
    <w:p>
      <w:pPr>
        <w:pStyle w:val="BodyText"/>
      </w:pPr>
      <w:r>
        <w:t xml:space="preserve">4444</w:t>
      </w:r>
    </w:p>
    <w:p>
      <w:pPr>
        <w:pStyle w:val="BodyText"/>
      </w:pPr>
      <w:r>
        <w:t xml:space="preserve">5095</w:t>
      </w:r>
    </w:p>
    <w:p>
      <w:pPr>
        <w:pStyle w:val="BodyText"/>
      </w:pPr>
      <w:r>
        <w:t xml:space="preserve">1579</w:t>
      </w:r>
    </w:p>
    <w:p>
      <w:pPr>
        <w:pStyle w:val="BodyText"/>
      </w:pPr>
      <w:r>
        <w:t xml:space="preserve">578</w:t>
      </w:r>
    </w:p>
    <w:p>
      <w:pPr>
        <w:pStyle w:val="BodyText"/>
      </w:pPr>
      <w:r>
        <w:t xml:space="preserve">1154</w:t>
      </w:r>
    </w:p>
    <w:p>
      <w:pPr>
        <w:pStyle w:val="BodyText"/>
      </w:pPr>
      <w:r>
        <w:t xml:space="preserve">791</w:t>
      </w:r>
    </w:p>
    <w:p>
      <w:pPr>
        <w:pStyle w:val="BodyText"/>
      </w:pPr>
      <w:r>
        <w:t xml:space="preserve">1279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498</w:t>
      </w:r>
    </w:p>
    <w:p>
      <w:pPr>
        <w:pStyle w:val="BodyText"/>
      </w:pPr>
      <w:r>
        <w:t xml:space="preserve">340</w:t>
      </w:r>
    </w:p>
    <w:p>
      <w:pPr>
        <w:pStyle w:val="BodyText"/>
      </w:pPr>
      <w:r>
        <w:t xml:space="preserve">5379</w:t>
      </w:r>
    </w:p>
    <w:p>
      <w:pPr>
        <w:pStyle w:val="BodyText"/>
      </w:pPr>
      <w:r>
        <w:t xml:space="preserve">3086</w:t>
      </w:r>
    </w:p>
    <w:p>
      <w:pPr>
        <w:pStyle w:val="BodyText"/>
      </w:pPr>
      <w:r>
        <w:t xml:space="preserve">839</w:t>
      </w:r>
    </w:p>
    <w:p>
      <w:pPr>
        <w:pStyle w:val="BodyText"/>
      </w:pPr>
      <w:r>
        <w:t xml:space="preserve">2949</w:t>
      </w:r>
    </w:p>
    <w:p>
      <w:pPr>
        <w:pStyle w:val="BodyText"/>
      </w:pPr>
      <w:r>
        <w:t xml:space="preserve">1940</w:t>
      </w:r>
    </w:p>
    <w:p>
      <w:pPr>
        <w:pStyle w:val="BodyText"/>
      </w:pPr>
      <w:r>
        <w:t xml:space="preserve">1796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3526</w:t>
      </w:r>
    </w:p>
    <w:p>
      <w:pPr>
        <w:pStyle w:val="BodyText"/>
      </w:pPr>
      <w:r>
        <w:t xml:space="preserve">4324</w:t>
      </w:r>
    </w:p>
    <w:p>
      <w:pPr>
        <w:pStyle w:val="BodyText"/>
      </w:pPr>
      <w:r>
        <w:t xml:space="preserve">272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452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272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630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718</w:t>
      </w:r>
    </w:p>
    <w:p>
      <w:pPr>
        <w:pStyle w:val="BodyText"/>
      </w:pPr>
      <w:r>
        <w:t xml:space="preserve">1582</w:t>
      </w:r>
    </w:p>
    <w:p>
      <w:pPr>
        <w:pStyle w:val="BodyText"/>
      </w:pPr>
      <w:r>
        <w:t xml:space="preserve">1267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2815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462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124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1525</w:t>
      </w:r>
    </w:p>
    <w:p>
      <w:pPr>
        <w:pStyle w:val="BodyText"/>
      </w:pPr>
      <w:r>
        <w:t xml:space="preserve">911</w:t>
      </w:r>
    </w:p>
    <w:p>
      <w:pPr>
        <w:pStyle w:val="BodyText"/>
      </w:pPr>
      <w:r>
        <w:t xml:space="preserve">2398</w:t>
      </w:r>
    </w:p>
    <w:p>
      <w:pPr>
        <w:pStyle w:val="BodyText"/>
      </w:pPr>
      <w:r>
        <w:t xml:space="preserve">4149</w:t>
      </w:r>
    </w:p>
    <w:p>
      <w:pPr>
        <w:pStyle w:val="BodyText"/>
      </w:pPr>
      <w:r>
        <w:t xml:space="preserve">1916</w:t>
      </w:r>
    </w:p>
    <w:p>
      <w:pPr>
        <w:pStyle w:val="BodyText"/>
      </w:pPr>
      <w:r>
        <w:t xml:space="preserve">2511</w:t>
      </w:r>
    </w:p>
    <w:p>
      <w:pPr>
        <w:pStyle w:val="BodyText"/>
      </w:pPr>
      <w:r>
        <w:t xml:space="preserve">1529</w:t>
      </w:r>
    </w:p>
    <w:p>
      <w:pPr>
        <w:pStyle w:val="BodyText"/>
      </w:pPr>
      <w:r>
        <w:t xml:space="preserve">1305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498</w:t>
      </w:r>
    </w:p>
    <w:p>
      <w:pPr>
        <w:pStyle w:val="BodyText"/>
      </w:pPr>
      <w:r>
        <w:t xml:space="preserve">209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408</w:t>
      </w:r>
    </w:p>
    <w:p>
      <w:pPr>
        <w:pStyle w:val="BodyText"/>
      </w:pPr>
      <w:r>
        <w:t xml:space="preserve">369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375</w:t>
      </w:r>
    </w:p>
    <w:p>
      <w:pPr>
        <w:pStyle w:val="BodyText"/>
      </w:pPr>
      <w:r>
        <w:t xml:space="preserve">354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277</w:t>
      </w:r>
    </w:p>
    <w:p>
      <w:pPr>
        <w:pStyle w:val="BodyText"/>
      </w:pPr>
      <w:r>
        <w:t xml:space="preserve">321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553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691</w:t>
      </w:r>
    </w:p>
    <w:p>
      <w:pPr>
        <w:pStyle w:val="BodyText"/>
      </w:pPr>
      <w:r>
        <w:t xml:space="preserve">1578</w:t>
      </w:r>
    </w:p>
    <w:p>
      <w:pPr>
        <w:pStyle w:val="BodyText"/>
      </w:pPr>
      <w:r>
        <w:t xml:space="preserve">998</w:t>
      </w:r>
    </w:p>
    <w:p>
      <w:pPr>
        <w:pStyle w:val="BodyText"/>
      </w:pPr>
      <w:r>
        <w:t xml:space="preserve">1197</w:t>
      </w:r>
    </w:p>
    <w:p>
      <w:pPr>
        <w:pStyle w:val="BodyText"/>
      </w:pPr>
      <w:r>
        <w:t xml:space="preserve">1228</w:t>
      </w:r>
    </w:p>
    <w:p>
      <w:pPr>
        <w:pStyle w:val="BodyText"/>
      </w:pPr>
      <w:r>
        <w:t xml:space="preserve">962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8359</w:t>
      </w:r>
    </w:p>
    <w:p>
      <w:pPr>
        <w:pStyle w:val="BodyText"/>
      </w:pPr>
      <w:r>
        <w:t xml:space="preserve">3280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357</w:t>
      </w:r>
    </w:p>
    <w:p>
      <w:pPr>
        <w:pStyle w:val="BodyText"/>
      </w:pPr>
      <w:r>
        <w:t xml:space="preserve">344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208</w:t>
      </w:r>
    </w:p>
    <w:p>
      <w:pPr>
        <w:pStyle w:val="BodyText"/>
      </w:pPr>
      <w:r>
        <w:t xml:space="preserve">499</w:t>
      </w:r>
    </w:p>
    <w:p>
      <w:pPr>
        <w:pStyle w:val="BodyText"/>
      </w:pPr>
      <w:r>
        <w:t xml:space="preserve">504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2031</w:t>
      </w:r>
    </w:p>
    <w:p>
      <w:pPr>
        <w:pStyle w:val="BodyText"/>
      </w:pPr>
      <w:r>
        <w:t xml:space="preserve">4203</w:t>
      </w:r>
    </w:p>
    <w:p>
      <w:pPr>
        <w:pStyle w:val="BodyText"/>
      </w:pPr>
      <w:r>
        <w:t xml:space="preserve">1475</w:t>
      </w:r>
    </w:p>
    <w:p>
      <w:pPr>
        <w:pStyle w:val="BodyText"/>
      </w:pPr>
      <w:r>
        <w:t xml:space="preserve">325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323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340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243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1901</w:t>
      </w:r>
    </w:p>
    <w:p>
      <w:pPr>
        <w:pStyle w:val="BodyText"/>
      </w:pPr>
      <w:r>
        <w:t xml:space="preserve">1108</w:t>
      </w:r>
    </w:p>
    <w:p>
      <w:pPr>
        <w:pStyle w:val="BodyText"/>
      </w:pPr>
      <w:r>
        <w:t xml:space="preserve">1160</w:t>
      </w:r>
    </w:p>
    <w:p>
      <w:pPr>
        <w:pStyle w:val="BodyText"/>
      </w:pPr>
      <w:r>
        <w:t xml:space="preserve">1023</w:t>
      </w:r>
    </w:p>
    <w:p>
      <w:pPr>
        <w:pStyle w:val="BodyText"/>
      </w:pPr>
      <w:r>
        <w:t xml:space="preserve">709</w:t>
      </w:r>
    </w:p>
    <w:p>
      <w:pPr>
        <w:pStyle w:val="BodyText"/>
      </w:pPr>
      <w:r>
        <w:t xml:space="preserve">1143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2696</w:t>
      </w:r>
    </w:p>
    <w:p>
      <w:pPr>
        <w:pStyle w:val="BodyText"/>
      </w:pPr>
      <w:r>
        <w:t xml:space="preserve">942</w:t>
      </w:r>
    </w:p>
    <w:p>
      <w:pPr>
        <w:pStyle w:val="BodyText"/>
      </w:pPr>
      <w:r>
        <w:t xml:space="preserve">2457</w:t>
      </w:r>
    </w:p>
    <w:p>
      <w:pPr>
        <w:pStyle w:val="BodyText"/>
      </w:pPr>
      <w:r>
        <w:t xml:space="preserve">932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3806</w:t>
      </w:r>
    </w:p>
    <w:p>
      <w:pPr>
        <w:pStyle w:val="BodyText"/>
      </w:pPr>
      <w:r>
        <w:t xml:space="preserve">768</w:t>
      </w:r>
    </w:p>
    <w:p>
      <w:pPr>
        <w:pStyle w:val="BodyText"/>
      </w:pPr>
      <w:r>
        <w:t xml:space="preserve">624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1459</w:t>
      </w:r>
    </w:p>
    <w:p>
      <w:pPr>
        <w:pStyle w:val="BodyText"/>
      </w:pPr>
      <w:r>
        <w:t xml:space="preserve">796</w:t>
      </w:r>
    </w:p>
    <w:p>
      <w:pPr>
        <w:pStyle w:val="BodyText"/>
      </w:pPr>
      <w:r>
        <w:t xml:space="preserve">632</w:t>
      </w:r>
    </w:p>
    <w:p>
      <w:pPr>
        <w:pStyle w:val="BodyText"/>
      </w:pPr>
      <w:r>
        <w:t xml:space="preserve">1112</w:t>
      </w:r>
    </w:p>
    <w:p>
      <w:pPr>
        <w:pStyle w:val="BodyText"/>
      </w:pPr>
      <w:r>
        <w:t xml:space="preserve">597</w:t>
      </w:r>
    </w:p>
    <w:p>
      <w:pPr>
        <w:pStyle w:val="BodyText"/>
      </w:pPr>
      <w:r>
        <w:t xml:space="preserve">675</w:t>
      </w:r>
    </w:p>
    <w:p>
      <w:pPr>
        <w:pStyle w:val="BodyText"/>
      </w:pPr>
      <w:r>
        <w:t xml:space="preserve">692</w:t>
      </w:r>
    </w:p>
    <w:p>
      <w:pPr>
        <w:pStyle w:val="BodyText"/>
      </w:pPr>
      <w:r>
        <w:t xml:space="preserve">609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164</w:t>
      </w:r>
    </w:p>
    <w:p>
      <w:pPr>
        <w:pStyle w:val="BodyText"/>
      </w:pPr>
      <w:r>
        <w:t xml:space="preserve">344</w:t>
      </w:r>
    </w:p>
    <w:p>
      <w:pPr>
        <w:pStyle w:val="BodyText"/>
      </w:pPr>
      <w:r>
        <w:t xml:space="preserve">569</w:t>
      </w:r>
    </w:p>
    <w:p>
      <w:pPr>
        <w:pStyle w:val="BodyText"/>
      </w:pPr>
      <w:r>
        <w:t xml:space="preserve">315</w:t>
      </w:r>
    </w:p>
    <w:p>
      <w:pPr>
        <w:pStyle w:val="BodyText"/>
      </w:pPr>
      <w:r>
        <w:t xml:space="preserve">329</w:t>
      </w:r>
    </w:p>
    <w:p>
      <w:pPr>
        <w:pStyle w:val="BodyText"/>
      </w:pPr>
      <w:r>
        <w:t xml:space="preserve">371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128</w:t>
      </w:r>
    </w:p>
    <w:p>
      <w:pPr>
        <w:pStyle w:val="BodyText"/>
      </w:pPr>
      <w:r>
        <w:t xml:space="preserve">687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421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325</w:t>
      </w:r>
    </w:p>
    <w:p>
      <w:pPr>
        <w:pStyle w:val="BodyText"/>
      </w:pPr>
      <w:r>
        <w:t xml:space="preserve">638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685</w:t>
      </w:r>
    </w:p>
    <w:p>
      <w:pPr>
        <w:pStyle w:val="BodyText"/>
      </w:pPr>
      <w:r>
        <w:t xml:space="preserve">859</w:t>
      </w:r>
    </w:p>
    <w:p>
      <w:pPr>
        <w:pStyle w:val="BodyText"/>
      </w:pPr>
      <w:r>
        <w:t xml:space="preserve">2430</w:t>
      </w:r>
    </w:p>
    <w:p>
      <w:pPr>
        <w:pStyle w:val="BodyText"/>
      </w:pPr>
      <w:r>
        <w:t xml:space="preserve">2032</w:t>
      </w:r>
    </w:p>
    <w:p>
      <w:pPr>
        <w:pStyle w:val="BodyText"/>
      </w:pPr>
      <w:r>
        <w:t xml:space="preserve">1453</w:t>
      </w:r>
    </w:p>
    <w:p>
      <w:pPr>
        <w:pStyle w:val="BodyText"/>
      </w:pPr>
      <w:r>
        <w:t xml:space="preserve">402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2971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367</w:t>
      </w:r>
    </w:p>
    <w:p>
      <w:pPr>
        <w:pStyle w:val="BodyText"/>
      </w:pPr>
      <w:r>
        <w:t xml:space="preserve">703</w:t>
      </w:r>
    </w:p>
    <w:p>
      <w:pPr>
        <w:pStyle w:val="BodyText"/>
      </w:pPr>
      <w:r>
        <w:t xml:space="preserve">233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279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: Contingency table showing the counts of features per historical</w:t>
      </w:r>
      <w:r>
        <w:t xml:space="preserve"> </w:t>
      </w:r>
      <w:r>
        <w:t xml:space="preserve">origin within individual clusters in Amsterdam</w:t>
      </w:r>
    </w:p>
    <w:p>
      <w:pPr>
        <w:pStyle w:val="BodyText"/>
      </w:pPr>
      <w:r>
        <w:t xml:space="preserve">The contingency table is shown above. Reported Chi-square results,</w:t>
      </w:r>
      <w:r>
        <w:t xml:space="preserve"> </w:t>
      </w:r>
      <w:r>
        <w:t xml:space="preserve">based on the contingency table, assessing whether there is a</w:t>
      </w:r>
      <w:r>
        <w:t xml:space="preserve"> </w:t>
      </w:r>
      <w:r>
        <w:t xml:space="preserve">significant relationship between two variables (origin and clustering),</w:t>
      </w:r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290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252385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312903.31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</w:t>
      </w:r>
      <w:r>
        <w:t xml:space="preserve"> </w:t>
      </w:r>
      <w:r>
        <w:t xml:space="preserve">significant relationship.‌ Cramérs-V value is 0.353, indicating</w:t>
      </w:r>
      <w:r>
        <w:t xml:space="preserve"> </w:t>
      </w:r>
      <w:r>
        <w:t xml:space="preserve">moderate association. The value is almost the same as reported in</w:t>
      </w:r>
      <w:r>
        <w:t xml:space="preserve"> </w:t>
      </w:r>
      <w:r>
        <w:t xml:space="preserve">Prague, indicating that the relationship of clustering to historical</w:t>
      </w:r>
      <w:r>
        <w:t xml:space="preserve"> </w:t>
      </w:r>
      <w:r>
        <w:t xml:space="preserve">origin is consistent across both cases, and it is not case-dependent.</w:t>
      </w:r>
      <w:r>
        <w:t xml:space="preserve"> </w:t>
      </w:r>
      <w:r>
        <w:t xml:space="preserve">The further exploration of the contingency table is excluded here as it</w:t>
      </w:r>
      <w:r>
        <w:t xml:space="preserve"> </w:t>
      </w:r>
      <w:r>
        <w:t xml:space="preserve">is only illustrative, and the numerical values are significant.</w:t>
      </w:r>
    </w:p>
    <w:p>
      <w:pPr>
        <w:pStyle w:val="BodyText"/>
      </w:pPr>
      <w:r>
        <w:t xml:space="preserve">Results of morphometric cluster analysis, consequent taxonomy and</w:t>
      </w:r>
      <w:r>
        <w:t xml:space="preserve"> </w:t>
      </w:r>
      <w:r>
        <w:t xml:space="preserve">validation using historical origin data in the case of Amsterdam, NL,</w:t>
      </w:r>
      <w:r>
        <w:t xml:space="preserve"> </w:t>
      </w:r>
      <w:r>
        <w:t xml:space="preserve">indicate the transferability of the method to other geographical and</w:t>
      </w:r>
      <w:r>
        <w:t xml:space="preserve"> </w:t>
      </w:r>
      <w:r>
        <w:t xml:space="preserve">planning contexts, at least within the European region. The results are</w:t>
      </w:r>
      <w:r>
        <w:t xml:space="preserve"> </w:t>
      </w:r>
      <w:r>
        <w:t xml:space="preserve">consistent with what was reported above for Prague, leading to the</w:t>
      </w:r>
      <w:r>
        <w:t xml:space="preserve"> </w:t>
      </w:r>
      <w:r>
        <w:t xml:space="preserve">conclusion that the method can be seen as valid even from the</w:t>
      </w:r>
      <w:r>
        <w:t xml:space="preserve"> </w:t>
      </w:r>
      <w:r>
        <w:t xml:space="preserve">perspective of transferability.</w:t>
      </w:r>
    </w:p>
    <w:bookmarkEnd w:id="47"/>
    <w:bookmarkEnd w:id="48"/>
    <w:bookmarkStart w:id="49" w:name="expandability-and-compatibility"/>
    <w:p>
      <w:pPr>
        <w:pStyle w:val="Heading4"/>
      </w:pPr>
      <w:r>
        <w:t xml:space="preserve">Expandability and compatibility</w:t>
      </w:r>
    </w:p>
    <w:p>
      <w:pPr>
        <w:pStyle w:val="FirstParagraph"/>
      </w:pPr>
      <w:r>
        <w:t xml:space="preserve">The last question which remains to be answered is whether these two</w:t>
      </w:r>
      <w:r>
        <w:t xml:space="preserve"> </w:t>
      </w:r>
      <w:r>
        <w:t xml:space="preserve">cases are compatible with each other. On other words, whether we can</w:t>
      </w:r>
      <w:r>
        <w:t xml:space="preserve"> </w:t>
      </w:r>
      <w:r>
        <w:t xml:space="preserve">build combined taxonomy and further extend it by adding other cases.</w:t>
      </w:r>
    </w:p>
    <w:p>
      <w:pPr>
        <w:pStyle w:val="BodyText"/>
      </w:pPr>
      <w:r>
        <w:t xml:space="preserve">The extension is tested in a relatively simple way. Identified tissue</w:t>
      </w:r>
      <w:r>
        <w:t xml:space="preserve"> </w:t>
      </w:r>
      <w:r>
        <w:t xml:space="preserve">types from both cased are mixed to form a single pool of clusters, all</w:t>
      </w:r>
      <w:r>
        <w:t xml:space="preserve"> </w:t>
      </w:r>
      <w:r>
        <w:t xml:space="preserve">represented as cluster centroids and used as an input of hierarchical</w:t>
      </w:r>
      <w:r>
        <w:t xml:space="preserve"> </w:t>
      </w:r>
      <w:r>
        <w:t xml:space="preserve">clustering. That means that while the first step, the cluster analysis</w:t>
      </w:r>
      <w:r>
        <w:t xml:space="preserve"> </w:t>
      </w:r>
      <w:r>
        <w:t xml:space="preserve">is done locally for each city independently on the other, the second,</w:t>
      </w:r>
      <w:r>
        <w:t xml:space="preserve"> </w:t>
      </w:r>
      <w:r>
        <w:t xml:space="preserve">taxonomy is combining them. Hence, the resulting hierarchical taxonomic</w:t>
      </w:r>
      <w:r>
        <w:t xml:space="preserve"> </w:t>
      </w:r>
      <w:r>
        <w:t xml:space="preserve">tree should identify the similarity of urban tissue types across both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The dendrogram from the combined pool of clusters (figure ) shows the</w:t>
      </w:r>
      <w:r>
        <w:t xml:space="preserve"> </w:t>
      </w:r>
      <w:r>
        <w:t xml:space="preserve">similar structure as both individual ones have, with a major</w:t>
      </w:r>
      <w:r>
        <w:t xml:space="preserve"> </w:t>
      </w:r>
      <w:r>
        <w:t xml:space="preserve">bifurcation dividing unorganised/industrial areas from the organised</w:t>
      </w:r>
      <w:r>
        <w:t xml:space="preserve"> </w:t>
      </w:r>
      <w:r>
        <w:t xml:space="preserve">city. Further bifurcation of organised city splits into the dense,</w:t>
      </w:r>
      <w:r>
        <w:t xml:space="preserve"> </w:t>
      </w:r>
      <w:r>
        <w:t xml:space="preserve">compact city and the rest and then further into sub-types of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from a combined pool of Prague and Amsterdam. The</w:t>
      </w:r>
      <w:r>
        <w:t xml:space="preserve"> </w:t>
      </w:r>
      <w:r>
        <w:t xml:space="preserve">y-axis shows a cophenetic distance between individual clusters, i.e.</w:t>
      </w:r>
      <w:r>
        <w:t xml:space="preserve"> </w:t>
      </w:r>
      <w:r>
        <w:t xml:space="preserve">their morphometric similarity. Branches are interpretative coloured -</w:t>
      </w:r>
      <w:r>
        <w:t xml:space="preserve"> </w:t>
      </w:r>
      <w:r>
        <w:t xml:space="preserve">the colours are then used on maps illustrating spatial distribution of</w:t>
      </w:r>
      <w:r>
        <w:t xml:space="preserve"> </w:t>
      </w:r>
      <w:r>
        <w:t xml:space="preserve">these branches.</w:t>
      </w:r>
    </w:p>
    <w:p>
      <w:pPr>
        <w:pStyle w:val="BodyText"/>
      </w:pPr>
      <w:r>
        <w:t xml:space="preserve">Spatial distribution of resulting branching (figures and ) tells the</w:t>
      </w:r>
      <w:r>
        <w:t xml:space="preserve"> </w:t>
      </w:r>
      <w:r>
        <w:t xml:space="preserve">same story as individual classifications in both Prague and Amsterdam.</w:t>
      </w:r>
      <w:r>
        <w:t xml:space="preserve"> </w:t>
      </w:r>
      <w:r>
        <w:t xml:space="preserve">What is important here is the ability to compare similar tissue types</w:t>
      </w:r>
      <w:r>
        <w:t xml:space="preserve"> </w:t>
      </w:r>
      <w:r>
        <w:t xml:space="preserve">across cities, and as shown in the dendrogram, there are some which are</w:t>
      </w:r>
      <w:r>
        <w:t xml:space="preserve"> </w:t>
      </w:r>
      <w:r>
        <w:t xml:space="preserve">really close to each other.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a the combined</w:t>
      </w:r>
      <w:r>
        <w:t xml:space="preserve"> </w:t>
      </w:r>
      <w:r>
        <w:t xml:space="preserve">dendrogram in Prague. Each tissue type is coloured according to a</w:t>
      </w:r>
      <w:r>
        <w:t xml:space="preserve"> </w:t>
      </w:r>
      <w:r>
        <w:t xml:space="preserve">branch it belongs to, with a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a the combined</w:t>
      </w:r>
      <w:r>
        <w:t xml:space="preserve"> </w:t>
      </w:r>
      <w:r>
        <w:t xml:space="preserve">dendrogram in Amsterdam. Each tissue type is coloured according to a</w:t>
      </w:r>
      <w:r>
        <w:t xml:space="preserve"> </w:t>
      </w:r>
      <w:r>
        <w:t xml:space="preserve">branch it belongs to, with a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  <w:r>
        <w:t xml:space="preserve">We can further look into the spatial distribution of the same major</w:t>
      </w:r>
      <w:r>
        <w:t xml:space="preserve"> </w:t>
      </w:r>
      <w:r>
        <w:t xml:space="preserve">branches in both cities (figures , , , ). It is a great tool to study</w:t>
      </w:r>
      <w:r>
        <w:t xml:space="preserve"> </w:t>
      </w:r>
      <w:r>
        <w:t xml:space="preserve">their structure and compare them. One clear outcome of this first</w:t>
      </w:r>
      <w:r>
        <w:t xml:space="preserve"> </w:t>
      </w:r>
      <w:r>
        <w:t xml:space="preserve">comparison is the observation that industrial areas are much larger in</w:t>
      </w:r>
      <w:r>
        <w:t xml:space="preserve"> </w:t>
      </w:r>
      <w:r>
        <w:t xml:space="preserve">Amsterdam due to its port nature compare to traditionally mercantile</w:t>
      </w:r>
      <w:r>
        <w:t xml:space="preserve"> </w:t>
      </w:r>
      <w:r>
        <w:t xml:space="preserve">Prague, but such an analysis could be done in a very detailed manner.</w:t>
      </w:r>
      <w:r>
        <w:t xml:space="preserve"> </w:t>
      </w:r>
      <w:r>
        <w:t xml:space="preserve">However, that is not within the scope of this study.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Prague,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Amsterdam,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Prague,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Amsterdam, derived from a combined dendrogram.</w:t>
      </w:r>
    </w:p>
    <w:p>
      <w:pPr>
        <w:pStyle w:val="BodyText"/>
      </w:pPr>
      <w:r>
        <w:t xml:space="preserve">However, there are some differences in branching. The resulting tree</w:t>
      </w:r>
      <w:r>
        <w:t xml:space="preserve"> </w:t>
      </w:r>
      <w:r>
        <w:t xml:space="preserve">reshuffled few of the clusters and slightly reorganised branches. It</w:t>
      </w:r>
      <w:r>
        <w:t xml:space="preserve"> </w:t>
      </w:r>
      <w:r>
        <w:t xml:space="preserve">will likely happen when we add more cases until the taxonomy will get</w:t>
      </w:r>
      <w:r>
        <w:t xml:space="preserve"> </w:t>
      </w:r>
      <w:r>
        <w:t xml:space="preserve">more saturated. As shown on figure , the reshuffle is, however,</w:t>
      </w:r>
      <w:r>
        <w:t xml:space="preserve"> </w:t>
      </w:r>
      <w:r>
        <w:t xml:space="preserve">relatively minimal and clusters which were associated to the same</w:t>
      </w:r>
      <w:r>
        <w:t xml:space="preserve"> </w:t>
      </w:r>
      <w:r>
        <w:t xml:space="preserve">branch in individual dendrograms tend to stay together in the combined</w:t>
      </w:r>
      <w:r>
        <w:t xml:space="preserve"> </w:t>
      </w:r>
      <w:r>
        <w:t xml:space="preserve">one as well. Furthermore, the overall structure of the dendrogram and</w:t>
      </w:r>
      <w:r>
        <w:t xml:space="preserve"> </w:t>
      </w:r>
      <w:r>
        <w:t xml:space="preserve">the relationship between different branches remains relatively</w:t>
      </w:r>
      <w:r>
        <w:t xml:space="preserve"> </w:t>
      </w:r>
      <w:r>
        <w:t xml:space="preserve">consistent.</w:t>
      </w:r>
    </w:p>
    <w:p>
      <w:pPr>
        <w:pStyle w:val="BodyText"/>
      </w:pPr>
      <w:r>
        <w:t xml:space="preserve">Diagram illustrating the flow of clusters between branches of</w:t>
      </w:r>
      <w:r>
        <w:t xml:space="preserve"> </w:t>
      </w:r>
      <w:r>
        <w:t xml:space="preserve">individual dendrograms and the combined one.</w:t>
      </w:r>
    </w:p>
    <w:p>
      <w:pPr>
        <w:pStyle w:val="BodyText"/>
      </w:pPr>
      <w:r>
        <w:t xml:space="preserve">There are a few differences worth noting. The Prague clusters 6 and 16</w:t>
      </w:r>
      <w:r>
        <w:t xml:space="preserve"> </w:t>
      </w:r>
      <w:r>
        <w:t xml:space="preserve">has moved from the unorganised city branch to organised. Both clusters</w:t>
      </w:r>
      <w:r>
        <w:t xml:space="preserve"> </w:t>
      </w:r>
      <w:r>
        <w:t xml:space="preserve">are capturing mostly single-family housing built on the steeper hills</w:t>
      </w:r>
      <w:r>
        <w:t xml:space="preserve"> </w:t>
      </w:r>
      <w:r>
        <w:t xml:space="preserve">causing the disruption of a standard pattern. The similar shift</w:t>
      </w:r>
      <w:r>
        <w:t xml:space="preserve"> </w:t>
      </w:r>
      <w:r>
        <w:t xml:space="preserve">happened to Amsterdam clusters 27 and 35, composed of low-density</w:t>
      </w:r>
      <w:r>
        <w:t xml:space="preserve"> </w:t>
      </w:r>
      <w:r>
        <w:t xml:space="preserve">development around roads. All are now classified among other</w:t>
      </w:r>
      <w:r>
        <w:t xml:space="preserve"> </w:t>
      </w:r>
      <w:r>
        <w:t xml:space="preserve">single-family tissue types, which seems to be a more appropriate place.</w:t>
      </w:r>
      <w:r>
        <w:t xml:space="preserve"> </w:t>
      </w:r>
      <w:r>
        <w:t xml:space="preserve">Prague’s cluster 10 (fringe-like edges of compact development) is now</w:t>
      </w:r>
      <w:r>
        <w:t xml:space="preserve"> </w:t>
      </w:r>
      <w:r>
        <w:t xml:space="preserve">closer to the homogenous compact development making together more</w:t>
      </w:r>
      <w:r>
        <w:t xml:space="preserve"> </w:t>
      </w:r>
      <w:r>
        <w:t xml:space="preserve">reasonable branching. There is a reshuffle in low-density branches of</w:t>
      </w:r>
      <w:r>
        <w:t xml:space="preserve"> </w:t>
      </w:r>
      <w:r>
        <w:t xml:space="preserve">Amsterdam, but as these are generally similar, it is not a big issue.</w:t>
      </w:r>
      <w:r>
        <w:t xml:space="preserve"> </w:t>
      </w:r>
      <w:r>
        <w:t xml:space="preserve">The inclusion of Prague’s low-density cluster most likely caused new</w:t>
      </w:r>
      <w:r>
        <w:t xml:space="preserve"> </w:t>
      </w:r>
      <w:r>
        <w:t xml:space="preserve">regrouping based on additional information. Generally, it looks that</w:t>
      </w:r>
      <w:r>
        <w:t xml:space="preserve"> </w:t>
      </w:r>
      <w:r>
        <w:t xml:space="preserve">those few reshuffles are actually making the taxonomy more robust and</w:t>
      </w:r>
      <w:r>
        <w:t xml:space="preserve"> </w:t>
      </w:r>
      <w:r>
        <w:t xml:space="preserve">eliminate the potential issues due to the small number of OTUs in a</w:t>
      </w:r>
      <w:r>
        <w:t xml:space="preserve"> </w:t>
      </w:r>
      <w:r>
        <w:t xml:space="preserve">single case study.</w:t>
      </w:r>
    </w:p>
    <w:p>
      <w:pPr>
        <w:pStyle w:val="BodyText"/>
      </w:pPr>
      <w:r>
        <w:t xml:space="preserve">As shown by the results above, there does not seem to be an issue with</w:t>
      </w:r>
      <w:r>
        <w:t xml:space="preserve"> </w:t>
      </w:r>
      <w:r>
        <w:t xml:space="preserve">combining morphometric tissue types identified independently of each</w:t>
      </w:r>
      <w:r>
        <w:t xml:space="preserve"> </w:t>
      </w:r>
      <w:r>
        <w:t xml:space="preserve">other into a singular taxonomy. The differences are expected as the</w:t>
      </w:r>
      <w:r>
        <w:t xml:space="preserve"> </w:t>
      </w:r>
      <w:r>
        <w:t xml:space="preserve">current number of tissue types, i.e. OTUs for the derivation of</w:t>
      </w:r>
      <w:r>
        <w:t xml:space="preserve"> </w:t>
      </w:r>
      <w:r>
        <w:t xml:space="preserve">taxonomy is still low, and the taxonomy itself is not yet saturated.</w:t>
      </w:r>
      <w:r>
        <w:t xml:space="preserve"> </w:t>
      </w:r>
      <w:r>
        <w:t xml:space="preserve">However, it is assumed that further expansion of the pool of case</w:t>
      </w:r>
      <w:r>
        <w:t xml:space="preserve"> </w:t>
      </w:r>
      <w:r>
        <w:t xml:space="preserve">studies could eventually lead to the stabilisation.</w:t>
      </w:r>
    </w:p>
    <w:bookmarkEnd w:id="49"/>
    <w:bookmarkEnd w:id="50"/>
    <w:bookmarkEnd w:id="51"/>
    <w:bookmarkStart w:id="52" w:name="summary-of-taxonomy-and-validation"/>
    <w:p>
      <w:pPr>
        <w:pStyle w:val="Heading2"/>
      </w:pPr>
      <w:r>
        <w:t xml:space="preserve">Summary of taxonomy and validation</w:t>
      </w:r>
    </w:p>
    <w:p>
      <w:pPr>
        <w:pStyle w:val="FirstParagraph"/>
      </w:pPr>
      <w:r>
        <w:t xml:space="preserve">This chapter, the last of the core chapters, focused on the development</w:t>
      </w:r>
      <w:r>
        <w:t xml:space="preserve"> </w:t>
      </w:r>
      <w:r>
        <w:t xml:space="preserve">of a method able to derive a taxonomy of urban form and validation of</w:t>
      </w:r>
      <w:r>
        <w:t xml:space="preserve"> </w:t>
      </w:r>
      <w:r>
        <w:t xml:space="preserve">the whole morphometric assessment proposed in this research.</w:t>
      </w:r>
    </w:p>
    <w:p>
      <w:pPr>
        <w:pStyle w:val="BodyText"/>
      </w:pPr>
      <w:r>
        <w:t xml:space="preserve">The development of taxonomy takes the form of Ward’s hierarchical</w:t>
      </w:r>
      <w:r>
        <w:t xml:space="preserve"> </w:t>
      </w:r>
      <w:r>
        <w:t xml:space="preserve">clustering of initial morphometric tissue types defined in Chapter 7,</w:t>
      </w:r>
      <w:r>
        <w:t xml:space="preserve"> </w:t>
      </w:r>
      <w:r>
        <w:t xml:space="preserve">represented by their centroids (i.e. mean values of contextual</w:t>
      </w:r>
      <w:r>
        <w:t xml:space="preserve"> </w:t>
      </w:r>
      <w:r>
        <w:t xml:space="preserve">morphometric characters). The results show a very meaningful</w:t>
      </w:r>
      <w:r>
        <w:t xml:space="preserve"> </w:t>
      </w:r>
      <w:r>
        <w:t xml:space="preserve">identification of relationships between individual tissue types and</w:t>
      </w:r>
      <w:r>
        <w:t xml:space="preserve"> </w:t>
      </w:r>
      <w:r>
        <w:t xml:space="preserve">allow a rich analysis of the structural composition of the city of</w:t>
      </w:r>
      <w:r>
        <w:t xml:space="preserve"> </w:t>
      </w:r>
      <w:r>
        <w:t xml:space="preserve">Prague.</w:t>
      </w:r>
    </w:p>
    <w:p>
      <w:pPr>
        <w:pStyle w:val="BodyText"/>
      </w:pPr>
      <w:r>
        <w:t xml:space="preserve">The validation of the morphometric assessment was done in three steps.</w:t>
      </w:r>
      <w:r>
        <w:t xml:space="preserve"> </w:t>
      </w:r>
      <w:r>
        <w:t xml:space="preserve">The first one compares the spatial distribution of clusters and</w:t>
      </w:r>
      <w:r>
        <w:t xml:space="preserve"> </w:t>
      </w:r>
      <w:r>
        <w:t xml:space="preserve">taxonomic branches to additional proxy data which are known to reflect</w:t>
      </w:r>
      <w:r>
        <w:t xml:space="preserve"> </w:t>
      </w:r>
      <w:r>
        <w:t xml:space="preserve">the patterns of urban development. This research used data on</w:t>
      </w:r>
      <w:r>
        <w:t xml:space="preserve"> </w:t>
      </w:r>
      <w:r>
        <w:t xml:space="preserve">historical origin, predominant land use patterns and finally,</w:t>
      </w:r>
      <w:r>
        <w:t xml:space="preserve"> </w:t>
      </w:r>
      <w:r>
        <w:t xml:space="preserve">qualitative municipal typology of urban form. Data on all three showed</w:t>
      </w:r>
      <w:r>
        <w:t xml:space="preserve"> </w:t>
      </w:r>
      <w:r>
        <w:t xml:space="preserve">a significant relationship between them and identified clusters,</w:t>
      </w:r>
      <w:r>
        <w:t xml:space="preserve"> </w:t>
      </w:r>
      <w:r>
        <w:t xml:space="preserve">indicating that from the perspective of the ability of classification</w:t>
      </w:r>
      <w:r>
        <w:t xml:space="preserve"> </w:t>
      </w:r>
      <w:r>
        <w:t xml:space="preserve">to reflect expected patterns of these proxy layers, morphometric urban</w:t>
      </w:r>
      <w:r>
        <w:t xml:space="preserve"> </w:t>
      </w:r>
      <w:r>
        <w:t xml:space="preserve">tissue types are a valid concept.</w:t>
      </w:r>
    </w:p>
    <w:p>
      <w:pPr>
        <w:pStyle w:val="BodyText"/>
      </w:pPr>
      <w:r>
        <w:t xml:space="preserve">The second validation step was the application of the whole method on</w:t>
      </w:r>
      <w:r>
        <w:t xml:space="preserve"> </w:t>
      </w:r>
      <w:r>
        <w:t xml:space="preserve">the case study of Amsterdam, NL, which on the one hand shares the</w:t>
      </w:r>
      <w:r>
        <w:t xml:space="preserve"> </w:t>
      </w:r>
      <w:r>
        <w:t xml:space="preserve">morphological richness of Prague and on the other was built in a</w:t>
      </w:r>
      <w:r>
        <w:t xml:space="preserve"> </w:t>
      </w:r>
      <w:r>
        <w:t xml:space="preserve">different planning context. The resulting urban tissue types and their</w:t>
      </w:r>
      <w:r>
        <w:t xml:space="preserve"> </w:t>
      </w:r>
      <w:r>
        <w:t xml:space="preserve">taxonomy tend to behave in a similar manner as was observed in Prague,</w:t>
      </w:r>
      <w:r>
        <w:t xml:space="preserve"> </w:t>
      </w:r>
      <w:r>
        <w:t xml:space="preserve">indicating that the method could be transferable from one context to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The final part of the chapter is assessing the proposed method from the</w:t>
      </w:r>
      <w:r>
        <w:t xml:space="preserve"> </w:t>
      </w:r>
      <w:r>
        <w:t xml:space="preserve">perspective of its expandability and compatibility of results from</w:t>
      </w:r>
      <w:r>
        <w:t xml:space="preserve"> </w:t>
      </w:r>
      <w:r>
        <w:t xml:space="preserve">Prague with those from Amsterdam. In other words, it tested whether it</w:t>
      </w:r>
      <w:r>
        <w:t xml:space="preserve"> </w:t>
      </w:r>
      <w:r>
        <w:t xml:space="preserve">can become a methodological foundation of the taxonomy of urban form.</w:t>
      </w:r>
      <w:r>
        <w:t xml:space="preserve"> </w:t>
      </w:r>
      <w:r>
        <w:t xml:space="preserve">The combined taxonomy of tissue types shows a high degree of</w:t>
      </w:r>
      <w:r>
        <w:t xml:space="preserve"> </w:t>
      </w:r>
      <w:r>
        <w:t xml:space="preserve">consistency if compared to individual ones. Furthermore, the certain</w:t>
      </w:r>
      <w:r>
        <w:t xml:space="preserve"> </w:t>
      </w:r>
      <w:r>
        <w:t xml:space="preserve">reshuffle which happened mostly reflected the previous misalignment of</w:t>
      </w:r>
      <w:r>
        <w:t xml:space="preserve"> </w:t>
      </w:r>
      <w:r>
        <w:t xml:space="preserve">tissue types, rendering the final taxonomy more robust than those done</w:t>
      </w:r>
      <w:r>
        <w:t xml:space="preserve"> </w:t>
      </w:r>
      <w:r>
        <w:t xml:space="preserve">independently.</w:t>
      </w:r>
    </w:p>
    <w:p>
      <w:pPr>
        <w:pStyle w:val="BodyText"/>
      </w:pPr>
      <w:r>
        <w:t xml:space="preserve">Chapter 9 will discuss what the implication of these results and where</w:t>
      </w:r>
      <w:r>
        <w:t xml:space="preserve"> </w:t>
      </w:r>
      <w:r>
        <w:t xml:space="preserve">the research should head next is.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2021-04-06T16:51:41Z</dcterms:created>
  <dcterms:modified xsi:type="dcterms:W3CDTF">2021-04-06T16:51:41Z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