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843D"/>
        </w:rPr>
        <w:t>Rapport financier Q1 2026</w:t>
      </w:r>
    </w:p>
    <w:p>
      <w:r>
        <w:t>Document confidentiel — Direction générale</w:t>
      </w:r>
    </w:p>
    <w:p>
      <w:r>
        <w:t>Période : 1er janvier au 31 mars 2026</w:t>
      </w:r>
    </w:p>
    <w:p>
      <w:pPr>
        <w:pStyle w:val="Heading1"/>
      </w:pPr>
      <w:r>
        <w:t>Section 1 : Résultats trimestriels</w:t>
      </w:r>
    </w:p>
    <w:p>
      <w:r>
        <w:t>Le premier trimestre 2026 démontre une croissance soutenue de nos activités. Les revenus totaux atteignent 12,4 M$, soit une augmentation de 8,3% par rapport à la même période l'an dernier. Cette performance s'explique principalement par l'expansion de notre offre de services API et l'acquisition de nouveaux partenaires institutionnels.</w:t>
      </w:r>
    </w:p>
    <w:p>
      <w:pPr>
        <w:pStyle w:val="Heading1"/>
      </w:pPr>
      <w:r>
        <w:t>Section 2 : Projections</w:t>
      </w:r>
    </w:p>
    <w:p>
      <w:r>
        <w:t>Pour le deuxième trimestre, nous prévoyons une croissance supplémentaire de 5 à 7%, portée par le déploiement de notre nouvelle infrastructure cloud et l'optimisation de nos pipelines de données. Les investissements en R&amp;D ont augmenté de 12% pour soutenir l'innovation dans nos produits.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