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00"/>
        <w:jc w:val="center"/>
      </w:pPr>
      <w:r>
        <w:rPr>
          <w:rFonts w:ascii="Calibri" w:hAnsi="Calibri"/>
          <w:b/>
          <w:color w:val="1F3864"/>
          <w:sz w:val="72"/>
        </w:rPr>
        <w:t>SCR PLATFORM</w:t>
      </w:r>
    </w:p>
    <w:p>
      <w:pPr>
        <w:spacing w:before="0" w:after="600"/>
        <w:jc w:val="center"/>
      </w:pPr>
      <w:r>
        <w:rPr>
          <w:color w:val="4172C4"/>
          <w:sz w:val="24"/>
        </w:rPr>
        <w:t>──────────────────────────────────────────────────</w:t>
      </w:r>
    </w:p>
    <w:p>
      <w:pPr>
        <w:spacing w:before="0" w:after="320"/>
        <w:jc w:val="center"/>
      </w:pPr>
      <w:r>
        <w:rPr>
          <w:rFonts w:ascii="Calibri" w:hAnsi="Calibri"/>
          <w:b/>
          <w:color w:val="2F5496"/>
          <w:sz w:val="48"/>
        </w:rPr>
        <w:t>PRODUCT OVERVIEW</w:t>
      </w:r>
    </w:p>
    <w:p>
      <w:pPr>
        <w:spacing w:before="0" w:after="160"/>
        <w:jc w:val="center"/>
      </w:pPr>
      <w:r>
        <w:rPr>
          <w:rFonts w:ascii="Calibri" w:hAnsi="Calibri"/>
          <w:i/>
          <w:color w:val="4172C4"/>
          <w:sz w:val="28"/>
        </w:rPr>
        <w:t>The AI-Native Operating System for Sustainable Infrastructure Investment</w:t>
      </w:r>
    </w:p>
    <w:p/>
    <w:p/>
    <w:p/>
    <w:p>
      <w:pPr>
        <w:jc w:val="center"/>
      </w:pPr>
      <w:r>
        <w:rPr>
          <w:rFonts w:ascii="Calibri" w:hAnsi="Calibri"/>
          <w:color w:val="606060"/>
          <w:sz w:val="22"/>
        </w:rPr>
        <w:t>Version 1.0  |  March 01, 2026</w:t>
      </w:r>
    </w:p>
    <w:p>
      <w:pPr>
        <w:jc w:val="center"/>
      </w:pPr>
      <w:r>
        <w:rPr>
          <w:rFonts w:ascii="Calibri" w:hAnsi="Calibri"/>
          <w:b/>
          <w:color w:val="C00000"/>
          <w:sz w:val="22"/>
        </w:rPr>
        <w:t>CONFIDENTIAL</w:t>
      </w:r>
    </w:p>
    <w:p/>
    <w:p>
      <w:pPr>
        <w:spacing w:before="1200" w:after="0"/>
        <w:jc w:val="center"/>
      </w:pPr>
      <w:r>
        <w:rPr>
          <w:rFonts w:ascii="Calibri" w:hAnsi="Calibri"/>
          <w:i/>
          <w:color w:val="808080"/>
          <w:sz w:val="18"/>
        </w:rPr>
        <w:t>This document contains proprietary and confidential information belonging to SCR Platform.</w:t>
        <w:br/>
        <w:t>It may not be reproduced, disclosed, or used without prior written consent.</w:t>
      </w:r>
    </w:p>
    <w:p>
      <w:r>
        <w:br w:type="page"/>
      </w:r>
    </w:p>
    <w:p>
      <w:pPr>
        <w:spacing w:before="360" w:after="120"/>
        <w:pBdr>
          <w:bottom w:val="single" w:sz="6" w:space="1" w:color="1F3864"/>
        </w:pBdr>
      </w:pPr>
      <w:r>
        <w:rPr>
          <w:rFonts w:ascii="Calibri" w:hAnsi="Calibri"/>
          <w:b/>
          <w:i w:val="0"/>
          <w:color w:val="1F3864"/>
          <w:sz w:val="32"/>
        </w:rPr>
        <w:t>Table of Contents</w:t>
      </w:r>
    </w:p>
    <w:p>
      <w:pPr>
        <w:spacing w:before="20" w:after="20"/>
        <w:ind w:left="0"/>
      </w:pPr>
      <w:r>
        <w:rPr>
          <w:rFonts w:ascii="Calibri" w:hAnsi="Calibri"/>
          <w:b/>
          <w:color w:val="262626"/>
          <w:sz w:val="21"/>
        </w:rPr>
        <w:t>1.  Executive Summary</w:t>
      </w:r>
    </w:p>
    <w:p>
      <w:pPr>
        <w:spacing w:before="20" w:after="20"/>
        <w:ind w:left="0"/>
      </w:pPr>
      <w:r>
        <w:rPr>
          <w:rFonts w:ascii="Calibri" w:hAnsi="Calibri"/>
          <w:b/>
          <w:color w:val="262626"/>
          <w:sz w:val="21"/>
        </w:rPr>
        <w:t>2.  Platform at a Glance</w:t>
      </w:r>
    </w:p>
    <w:p>
      <w:pPr>
        <w:spacing w:before="20" w:after="20"/>
        <w:ind w:left="0"/>
      </w:pPr>
      <w:r>
        <w:rPr>
          <w:rFonts w:ascii="Calibri" w:hAnsi="Calibri"/>
          <w:b/>
          <w:color w:val="262626"/>
          <w:sz w:val="21"/>
        </w:rPr>
        <w:t>3.  Who It's For — User Personas</w:t>
      </w:r>
    </w:p>
    <w:p>
      <w:pPr>
        <w:spacing w:before="20" w:after="20"/>
        <w:ind w:left="0"/>
      </w:pPr>
      <w:r>
        <w:rPr>
          <w:rFonts w:ascii="Calibri" w:hAnsi="Calibri"/>
          <w:b/>
          <w:color w:val="262626"/>
          <w:sz w:val="21"/>
        </w:rPr>
        <w:t>4.  Core Capabilities — The Investment Lifecycle</w:t>
      </w:r>
    </w:p>
    <w:p>
      <w:pPr>
        <w:spacing w:before="20" w:after="20"/>
        <w:ind w:left="432"/>
      </w:pPr>
      <w:r>
        <w:rPr>
          <w:rFonts w:ascii="Calibri" w:hAnsi="Calibri"/>
          <w:b w:val="0"/>
          <w:color w:val="262626"/>
          <w:sz w:val="20"/>
        </w:rPr>
        <w:t>4A.  Deal Sourcing &amp; Screening</w:t>
      </w:r>
    </w:p>
    <w:p>
      <w:pPr>
        <w:spacing w:before="20" w:after="20"/>
        <w:ind w:left="432"/>
      </w:pPr>
      <w:r>
        <w:rPr>
          <w:rFonts w:ascii="Calibri" w:hAnsi="Calibri"/>
          <w:b w:val="0"/>
          <w:color w:val="262626"/>
          <w:sz w:val="20"/>
        </w:rPr>
        <w:t>4B.  Due Diligence &amp; Document Management</w:t>
      </w:r>
    </w:p>
    <w:p>
      <w:pPr>
        <w:spacing w:before="20" w:after="20"/>
        <w:ind w:left="432"/>
      </w:pPr>
      <w:r>
        <w:rPr>
          <w:rFonts w:ascii="Calibri" w:hAnsi="Calibri"/>
          <w:b w:val="0"/>
          <w:color w:val="262626"/>
          <w:sz w:val="20"/>
        </w:rPr>
        <w:t>4C.  Investment Analysis &amp; AI</w:t>
      </w:r>
    </w:p>
    <w:p>
      <w:pPr>
        <w:spacing w:before="20" w:after="20"/>
        <w:ind w:left="432"/>
      </w:pPr>
      <w:r>
        <w:rPr>
          <w:rFonts w:ascii="Calibri" w:hAnsi="Calibri"/>
          <w:b w:val="0"/>
          <w:color w:val="262626"/>
          <w:sz w:val="20"/>
        </w:rPr>
        <w:t>4D.  Portfolio Management</w:t>
      </w:r>
    </w:p>
    <w:p>
      <w:pPr>
        <w:spacing w:before="20" w:after="20"/>
        <w:ind w:left="432"/>
      </w:pPr>
      <w:r>
        <w:rPr>
          <w:rFonts w:ascii="Calibri" w:hAnsi="Calibri"/>
          <w:b w:val="0"/>
          <w:color w:val="262626"/>
          <w:sz w:val="20"/>
        </w:rPr>
        <w:t>4E.  LP Reporting &amp; Communication</w:t>
      </w:r>
    </w:p>
    <w:p>
      <w:pPr>
        <w:spacing w:before="20" w:after="20"/>
        <w:ind w:left="432"/>
      </w:pPr>
      <w:r>
        <w:rPr>
          <w:rFonts w:ascii="Calibri" w:hAnsi="Calibri"/>
          <w:b w:val="0"/>
          <w:color w:val="262626"/>
          <w:sz w:val="20"/>
        </w:rPr>
        <w:t>4F.  Expert Insights &amp; Knowledge Management</w:t>
      </w:r>
    </w:p>
    <w:p>
      <w:pPr>
        <w:spacing w:before="20" w:after="20"/>
        <w:ind w:left="0"/>
      </w:pPr>
      <w:r>
        <w:rPr>
          <w:rFonts w:ascii="Calibri" w:hAnsi="Calibri"/>
          <w:b/>
          <w:color w:val="262626"/>
          <w:sz w:val="21"/>
        </w:rPr>
        <w:t>5.  Enterprise Features</w:t>
      </w:r>
    </w:p>
    <w:p>
      <w:pPr>
        <w:spacing w:before="20" w:after="20"/>
        <w:ind w:left="0"/>
      </w:pPr>
      <w:r>
        <w:rPr>
          <w:rFonts w:ascii="Calibri" w:hAnsi="Calibri"/>
          <w:b/>
          <w:color w:val="262626"/>
          <w:sz w:val="21"/>
        </w:rPr>
        <w:t>6.  AI Architecture</w:t>
      </w:r>
    </w:p>
    <w:p>
      <w:pPr>
        <w:spacing w:before="20" w:after="20"/>
        <w:ind w:left="0"/>
      </w:pPr>
      <w:r>
        <w:rPr>
          <w:rFonts w:ascii="Calibri" w:hAnsi="Calibri"/>
          <w:b/>
          <w:color w:val="262626"/>
          <w:sz w:val="21"/>
        </w:rPr>
        <w:t>7.  Automated Workflows &amp; Intelligence</w:t>
      </w:r>
    </w:p>
    <w:p>
      <w:pPr>
        <w:spacing w:before="20" w:after="20"/>
        <w:ind w:left="0"/>
      </w:pPr>
      <w:r>
        <w:rPr>
          <w:rFonts w:ascii="Calibri" w:hAnsi="Calibri"/>
          <w:b/>
          <w:color w:val="262626"/>
          <w:sz w:val="21"/>
        </w:rPr>
        <w:t>8.  External Data Sources</w:t>
      </w:r>
    </w:p>
    <w:p>
      <w:pPr>
        <w:spacing w:before="20" w:after="20"/>
        <w:ind w:left="0"/>
      </w:pPr>
      <w:r>
        <w:rPr>
          <w:rFonts w:ascii="Calibri" w:hAnsi="Calibri"/>
          <w:b/>
          <w:color w:val="262626"/>
          <w:sz w:val="21"/>
        </w:rPr>
        <w:t>9.  Reporting &amp; Output Formats</w:t>
      </w:r>
    </w:p>
    <w:p>
      <w:pPr>
        <w:spacing w:before="20" w:after="20"/>
        <w:ind w:left="0"/>
      </w:pPr>
      <w:r>
        <w:rPr>
          <w:rFonts w:ascii="Calibri" w:hAnsi="Calibri"/>
          <w:b/>
          <w:color w:val="262626"/>
          <w:sz w:val="21"/>
        </w:rPr>
        <w:t>10.  Platform Reliability &amp; Operations</w:t>
      </w:r>
    </w:p>
    <w:p>
      <w:pPr>
        <w:spacing w:before="20" w:after="20"/>
        <w:ind w:left="0"/>
      </w:pPr>
      <w:r>
        <w:rPr>
          <w:rFonts w:ascii="Calibri" w:hAnsi="Calibri"/>
          <w:b/>
          <w:color w:val="262626"/>
          <w:sz w:val="21"/>
        </w:rPr>
        <w:t>11.  Competitive Positioning</w:t>
      </w:r>
    </w:p>
    <w:p>
      <w:pPr>
        <w:spacing w:before="20" w:after="20"/>
        <w:ind w:left="0"/>
      </w:pPr>
      <w:r>
        <w:rPr>
          <w:rFonts w:ascii="Calibri" w:hAnsi="Calibri"/>
          <w:b/>
          <w:color w:val="262626"/>
          <w:sz w:val="21"/>
        </w:rPr>
        <w:t>12.  Platform Statistics</w:t>
      </w:r>
    </w:p>
    <w:p>
      <w:pPr>
        <w:spacing w:before="20" w:after="20"/>
        <w:ind w:left="0"/>
      </w:pPr>
      <w:r>
        <w:rPr>
          <w:rFonts w:ascii="Calibri" w:hAnsi="Calibri"/>
          <w:b/>
          <w:color w:val="262626"/>
          <w:sz w:val="21"/>
        </w:rPr>
        <w:t>13.  Product Roadmap Highlights</w:t>
      </w:r>
    </w:p>
    <w:p>
      <w:r>
        <w:br w:type="page"/>
      </w:r>
    </w:p>
    <w:p>
      <w:pPr>
        <w:spacing w:before="360" w:after="120"/>
        <w:pBdr>
          <w:bottom w:val="single" w:sz="6" w:space="1" w:color="1F3864"/>
        </w:pBdr>
      </w:pPr>
      <w:r>
        <w:rPr>
          <w:rFonts w:ascii="Calibri" w:hAnsi="Calibri"/>
          <w:b/>
          <w:i w:val="0"/>
          <w:color w:val="1F3864"/>
          <w:sz w:val="32"/>
        </w:rPr>
        <w:t>1. Executive Summary</w:t>
      </w:r>
    </w:p>
    <w:p>
      <w:pPr>
        <w:spacing w:before="0" w:after="100"/>
      </w:pPr>
      <w:r>
        <w:rPr>
          <w:rFonts w:ascii="Calibri" w:hAnsi="Calibri"/>
          <w:b w:val="0"/>
          <w:i w:val="0"/>
          <w:color w:val="262626"/>
          <w:sz w:val="21"/>
        </w:rPr>
        <w:t>SCR Platform is an AI-native investment management platform purpose-built for sustainable infrastructure and real assets — bringing together deal sourcing, due diligence, portfolio monitoring, LP reporting, and regulatory compliance into a single, intelligent operating system for fund managers, asset developers, and institutional investors.</w:t>
      </w:r>
    </w:p>
    <w:p>
      <w:pPr>
        <w:spacing w:before="0" w:after="100"/>
      </w:pPr>
      <w:r>
        <w:rPr>
          <w:rFonts w:ascii="Calibri" w:hAnsi="Calibri"/>
          <w:b w:val="0"/>
          <w:i w:val="0"/>
          <w:color w:val="262626"/>
          <w:sz w:val="21"/>
        </w:rPr>
        <w:t>The fund management industry has historically relied on disconnected point solutions: spreadsheets for financial modelling, shared drives for documents, email for LP communications, and separate tools for compliance and risk monitoring. The result is fragmented workflows, duplicated effort, slow due diligence cycles, and limited visibility into portfolio performance in real time. SCR Platform eliminates this fragmentation by unifying every stage of the investment lifecycle — from the first project screen through ongoing portfolio management and final investor reporting — on a single platform backed by enterprise-grade AI.</w:t>
      </w:r>
    </w:p>
    <w:p>
      <w:pPr>
        <w:spacing w:before="0" w:after="100"/>
      </w:pPr>
      <w:r>
        <w:rPr>
          <w:rFonts w:ascii="Calibri" w:hAnsi="Calibri"/>
          <w:b w:val="0"/>
          <w:i w:val="0"/>
          <w:color w:val="262626"/>
          <w:sz w:val="21"/>
        </w:rPr>
        <w:t>The platform serves six distinct user groups: fund managers and GPs who need portfolio oversight and LP relationship tools; deal teams and investment analysts who screen and evaluate opportunities; portfolio managers tracking covenants, KPIs, and pacing; limited partners who require transparent, real-time access to fund performance; compliance and risk officers who need full data lineage and audit trails; and external integrators and channel partners who deploy SCR under their own brand. Across these users, the platform spans 81 application modules, 176 data models, 78 distinct AI task types handled by five leading AI providers, and 25 automated background workflows running continuously — all delivered from EU infrastructure under GDPR compliance. Critically, AI is not an add-on feature: it is woven into every workflow, from the first automated document classification when a file is uploaded to the nightly generation of benchmark comparisons and personalized investment briefings.</w:t>
      </w:r>
    </w:p>
    <w:p>
      <w:r>
        <w:br w:type="page"/>
      </w:r>
    </w:p>
    <w:p>
      <w:pPr>
        <w:spacing w:before="360" w:after="120"/>
        <w:pBdr>
          <w:bottom w:val="single" w:sz="6" w:space="1" w:color="1F3864"/>
        </w:pBdr>
      </w:pPr>
      <w:r>
        <w:rPr>
          <w:rFonts w:ascii="Calibri" w:hAnsi="Calibri"/>
          <w:b/>
          <w:i w:val="0"/>
          <w:color w:val="1F3864"/>
          <w:sz w:val="32"/>
        </w:rPr>
        <w:t>2. Platform at a Glance</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2F5496"/>
          </w:tcPr>
          <w:p>
            <w:pPr>
              <w:spacing w:before="60" w:after="60"/>
            </w:pPr>
            <w:r>
              <w:rPr>
                <w:rFonts w:ascii="Calibri" w:hAnsi="Calibri"/>
                <w:b/>
                <w:i w:val="0"/>
                <w:color w:val="FFFFFF"/>
                <w:sz w:val="20"/>
              </w:rPr>
              <w:t>Dimension</w:t>
            </w:r>
          </w:p>
        </w:tc>
        <w:tc>
          <w:tcPr>
            <w:tcW w:type="dxa" w:w="7200"/>
            <w:shd w:val="clear" w:color="auto" w:fill="2F5496"/>
          </w:tcPr>
          <w:p>
            <w:pPr>
              <w:spacing w:before="60" w:after="60"/>
            </w:pPr>
            <w:r>
              <w:rPr>
                <w:rFonts w:ascii="Calibri" w:hAnsi="Calibri"/>
                <w:b/>
                <w:i w:val="0"/>
                <w:color w:val="FFFFFF"/>
                <w:sz w:val="20"/>
              </w:rPr>
              <w:t>Detail</w:t>
            </w:r>
          </w:p>
        </w:tc>
      </w:tr>
      <w:tr>
        <w:tc>
          <w:tcPr>
            <w:tcW w:type="dxa" w:w="2592"/>
            <w:shd w:val="clear" w:color="auto" w:fill="FFFFFF"/>
          </w:tcPr>
          <w:p>
            <w:pPr>
              <w:spacing w:before="40" w:after="40"/>
            </w:pPr>
            <w:r>
              <w:rPr>
                <w:rFonts w:ascii="Calibri" w:hAnsi="Calibri"/>
                <w:b w:val="0"/>
                <w:i w:val="0"/>
                <w:color w:val="262626"/>
                <w:sz w:val="20"/>
              </w:rPr>
              <w:t>Primary Users</w:t>
            </w:r>
          </w:p>
        </w:tc>
        <w:tc>
          <w:tcPr>
            <w:tcW w:type="dxa" w:w="7200"/>
            <w:shd w:val="clear" w:color="auto" w:fill="FFFFFF"/>
          </w:tcPr>
          <w:p>
            <w:pPr>
              <w:spacing w:before="40" w:after="40"/>
            </w:pPr>
            <w:r>
              <w:rPr>
                <w:rFonts w:ascii="Calibri" w:hAnsi="Calibri"/>
                <w:b w:val="0"/>
                <w:i w:val="0"/>
                <w:color w:val="262626"/>
                <w:sz w:val="20"/>
              </w:rPr>
              <w:t>Fund Managers / GPs, Investment Analysts, Portfolio Managers, Limited Partners, Compliance &amp; Risk Officers, External Integrators</w:t>
            </w:r>
          </w:p>
        </w:tc>
      </w:tr>
      <w:tr>
        <w:tc>
          <w:tcPr>
            <w:tcW w:type="dxa" w:w="2592"/>
            <w:shd w:val="clear" w:color="auto" w:fill="F2F2F2"/>
          </w:tcPr>
          <w:p>
            <w:pPr>
              <w:spacing w:before="40" w:after="40"/>
            </w:pPr>
            <w:r>
              <w:rPr>
                <w:rFonts w:ascii="Calibri" w:hAnsi="Calibri"/>
                <w:b w:val="0"/>
                <w:i w:val="0"/>
                <w:color w:val="262626"/>
                <w:sz w:val="20"/>
              </w:rPr>
              <w:t>Asset Classes</w:t>
            </w:r>
          </w:p>
        </w:tc>
        <w:tc>
          <w:tcPr>
            <w:tcW w:type="dxa" w:w="7200"/>
            <w:shd w:val="clear" w:color="auto" w:fill="F2F2F2"/>
          </w:tcPr>
          <w:p>
            <w:pPr>
              <w:spacing w:before="40" w:after="40"/>
            </w:pPr>
            <w:r>
              <w:rPr>
                <w:rFonts w:ascii="Calibri" w:hAnsi="Calibri"/>
                <w:b w:val="0"/>
                <w:i w:val="0"/>
                <w:color w:val="262626"/>
                <w:sz w:val="20"/>
              </w:rPr>
              <w:t>Solar, Wind, Hydro, Battery Energy Storage (BESS), Biomass, Infrastructure, Real Estate, Private Equity, Private Credit, Digital Assets, Impact</w:t>
            </w:r>
          </w:p>
        </w:tc>
      </w:tr>
      <w:tr>
        <w:tc>
          <w:tcPr>
            <w:tcW w:type="dxa" w:w="2592"/>
            <w:shd w:val="clear" w:color="auto" w:fill="FFFFFF"/>
          </w:tcPr>
          <w:p>
            <w:pPr>
              <w:spacing w:before="40" w:after="40"/>
            </w:pPr>
            <w:r>
              <w:rPr>
                <w:rFonts w:ascii="Calibri" w:hAnsi="Calibri"/>
                <w:b w:val="0"/>
                <w:i w:val="0"/>
                <w:color w:val="262626"/>
                <w:sz w:val="20"/>
              </w:rPr>
              <w:t>AI Providers</w:t>
            </w:r>
          </w:p>
        </w:tc>
        <w:tc>
          <w:tcPr>
            <w:tcW w:type="dxa" w:w="7200"/>
            <w:shd w:val="clear" w:color="auto" w:fill="FFFFFF"/>
          </w:tcPr>
          <w:p>
            <w:pPr>
              <w:spacing w:before="40" w:after="40"/>
            </w:pPr>
            <w:r>
              <w:rPr>
                <w:rFonts w:ascii="Calibri" w:hAnsi="Calibri"/>
                <w:b w:val="0"/>
                <w:i w:val="0"/>
                <w:color w:val="262626"/>
                <w:sz w:val="20"/>
              </w:rPr>
              <w:t>5 providers: Anthropic (Claude), Google (Gemini), xAI (Grok), OpenAI (GPT-4o), DeepSeek — each assigned to optimal task categories</w:t>
            </w:r>
          </w:p>
        </w:tc>
      </w:tr>
      <w:tr>
        <w:tc>
          <w:tcPr>
            <w:tcW w:type="dxa" w:w="2592"/>
            <w:shd w:val="clear" w:color="auto" w:fill="F2F2F2"/>
          </w:tcPr>
          <w:p>
            <w:pPr>
              <w:spacing w:before="40" w:after="40"/>
            </w:pPr>
            <w:r>
              <w:rPr>
                <w:rFonts w:ascii="Calibri" w:hAnsi="Calibri"/>
                <w:b w:val="0"/>
                <w:i w:val="0"/>
                <w:color w:val="262626"/>
                <w:sz w:val="20"/>
              </w:rPr>
              <w:t>AI Task Types</w:t>
            </w:r>
          </w:p>
        </w:tc>
        <w:tc>
          <w:tcPr>
            <w:tcW w:type="dxa" w:w="7200"/>
            <w:shd w:val="clear" w:color="auto" w:fill="F2F2F2"/>
          </w:tcPr>
          <w:p>
            <w:pPr>
              <w:spacing w:before="40" w:after="40"/>
            </w:pPr>
            <w:r>
              <w:rPr>
                <w:rFonts w:ascii="Calibri" w:hAnsi="Calibri"/>
                <w:b w:val="0"/>
                <w:i w:val="0"/>
                <w:color w:val="262626"/>
                <w:sz w:val="20"/>
              </w:rPr>
              <w:t>78 distinct task types routed across the 5 providers</w:t>
            </w:r>
          </w:p>
        </w:tc>
      </w:tr>
      <w:tr>
        <w:tc>
          <w:tcPr>
            <w:tcW w:type="dxa" w:w="2592"/>
            <w:shd w:val="clear" w:color="auto" w:fill="FFFFFF"/>
          </w:tcPr>
          <w:p>
            <w:pPr>
              <w:spacing w:before="40" w:after="40"/>
            </w:pPr>
            <w:r>
              <w:rPr>
                <w:rFonts w:ascii="Calibri" w:hAnsi="Calibri"/>
                <w:b w:val="0"/>
                <w:i w:val="0"/>
                <w:color w:val="262626"/>
                <w:sz w:val="20"/>
              </w:rPr>
              <w:t>Automated Workflows</w:t>
            </w:r>
          </w:p>
        </w:tc>
        <w:tc>
          <w:tcPr>
            <w:tcW w:type="dxa" w:w="7200"/>
            <w:shd w:val="clear" w:color="auto" w:fill="FFFFFF"/>
          </w:tcPr>
          <w:p>
            <w:pPr>
              <w:spacing w:before="40" w:after="40"/>
            </w:pPr>
            <w:r>
              <w:rPr>
                <w:rFonts w:ascii="Calibri" w:hAnsi="Calibri"/>
                <w:b w:val="0"/>
                <w:i w:val="0"/>
                <w:color w:val="262626"/>
                <w:sz w:val="20"/>
              </w:rPr>
              <w:t>25 scheduled background automations (Celery beat jobs)</w:t>
            </w:r>
          </w:p>
        </w:tc>
      </w:tr>
      <w:tr>
        <w:tc>
          <w:tcPr>
            <w:tcW w:type="dxa" w:w="2592"/>
            <w:shd w:val="clear" w:color="auto" w:fill="F2F2F2"/>
          </w:tcPr>
          <w:p>
            <w:pPr>
              <w:spacing w:before="40" w:after="40"/>
            </w:pPr>
            <w:r>
              <w:rPr>
                <w:rFonts w:ascii="Calibri" w:hAnsi="Calibri"/>
                <w:b w:val="0"/>
                <w:i w:val="0"/>
                <w:color w:val="262626"/>
                <w:sz w:val="20"/>
              </w:rPr>
              <w:t>Application Pages</w:t>
            </w:r>
          </w:p>
        </w:tc>
        <w:tc>
          <w:tcPr>
            <w:tcW w:type="dxa" w:w="7200"/>
            <w:shd w:val="clear" w:color="auto" w:fill="F2F2F2"/>
          </w:tcPr>
          <w:p>
            <w:pPr>
              <w:spacing w:before="40" w:after="40"/>
            </w:pPr>
            <w:r>
              <w:rPr>
                <w:rFonts w:ascii="Calibri" w:hAnsi="Calibri"/>
                <w:b w:val="0"/>
                <w:i w:val="0"/>
                <w:color w:val="262626"/>
                <w:sz w:val="20"/>
              </w:rPr>
              <w:t>81 distinct pages across the dashboard</w:t>
            </w:r>
          </w:p>
        </w:tc>
      </w:tr>
      <w:tr>
        <w:tc>
          <w:tcPr>
            <w:tcW w:type="dxa" w:w="2592"/>
            <w:shd w:val="clear" w:color="auto" w:fill="FFFFFF"/>
          </w:tcPr>
          <w:p>
            <w:pPr>
              <w:spacing w:before="40" w:after="40"/>
            </w:pPr>
            <w:r>
              <w:rPr>
                <w:rFonts w:ascii="Calibri" w:hAnsi="Calibri"/>
                <w:b w:val="0"/>
                <w:i w:val="0"/>
                <w:color w:val="262626"/>
                <w:sz w:val="20"/>
              </w:rPr>
              <w:t>Data Models</w:t>
            </w:r>
          </w:p>
        </w:tc>
        <w:tc>
          <w:tcPr>
            <w:tcW w:type="dxa" w:w="7200"/>
            <w:shd w:val="clear" w:color="auto" w:fill="FFFFFF"/>
          </w:tcPr>
          <w:p>
            <w:pPr>
              <w:spacing w:before="40" w:after="40"/>
            </w:pPr>
            <w:r>
              <w:rPr>
                <w:rFonts w:ascii="Calibri" w:hAnsi="Calibri"/>
                <w:b w:val="0"/>
                <w:i w:val="0"/>
                <w:color w:val="262626"/>
                <w:sz w:val="20"/>
              </w:rPr>
              <w:t>176 database models across 73 API modules</w:t>
            </w:r>
          </w:p>
        </w:tc>
      </w:tr>
      <w:tr>
        <w:tc>
          <w:tcPr>
            <w:tcW w:type="dxa" w:w="2592"/>
            <w:shd w:val="clear" w:color="auto" w:fill="F2F2F2"/>
          </w:tcPr>
          <w:p>
            <w:pPr>
              <w:spacing w:before="40" w:after="40"/>
            </w:pPr>
            <w:r>
              <w:rPr>
                <w:rFonts w:ascii="Calibri" w:hAnsi="Calibri"/>
                <w:b w:val="0"/>
                <w:i w:val="0"/>
                <w:color w:val="262626"/>
                <w:sz w:val="20"/>
              </w:rPr>
              <w:t>External Data Sources</w:t>
            </w:r>
          </w:p>
        </w:tc>
        <w:tc>
          <w:tcPr>
            <w:tcW w:type="dxa" w:w="7200"/>
            <w:shd w:val="clear" w:color="auto" w:fill="F2F2F2"/>
          </w:tcPr>
          <w:p>
            <w:pPr>
              <w:spacing w:before="40" w:after="40"/>
            </w:pPr>
            <w:r>
              <w:rPr>
                <w:rFonts w:ascii="Calibri" w:hAnsi="Calibri"/>
                <w:b w:val="0"/>
                <w:i w:val="0"/>
                <w:color w:val="262626"/>
                <w:sz w:val="20"/>
              </w:rPr>
              <w:t>6: FRED (US Treasury / Fed Funds), World Bank (GDP / CPI / Unemployment), ECB (EUR FX rates), Yahoo Finance, NOAA Climate, Regulations.gov</w:t>
            </w:r>
          </w:p>
        </w:tc>
      </w:tr>
      <w:tr>
        <w:tc>
          <w:tcPr>
            <w:tcW w:type="dxa" w:w="2592"/>
            <w:shd w:val="clear" w:color="auto" w:fill="FFFFFF"/>
          </w:tcPr>
          <w:p>
            <w:pPr>
              <w:spacing w:before="40" w:after="40"/>
            </w:pPr>
            <w:r>
              <w:rPr>
                <w:rFonts w:ascii="Calibri" w:hAnsi="Calibri"/>
                <w:b w:val="0"/>
                <w:i w:val="0"/>
                <w:color w:val="262626"/>
                <w:sz w:val="20"/>
              </w:rPr>
              <w:t>Integrations</w:t>
            </w:r>
          </w:p>
        </w:tc>
        <w:tc>
          <w:tcPr>
            <w:tcW w:type="dxa" w:w="7200"/>
            <w:shd w:val="clear" w:color="auto" w:fill="FFFFFF"/>
          </w:tcPr>
          <w:p>
            <w:pPr>
              <w:spacing w:before="40" w:after="40"/>
            </w:pPr>
            <w:r>
              <w:rPr>
                <w:rFonts w:ascii="Calibri" w:hAnsi="Calibri"/>
                <w:b w:val="0"/>
                <w:i w:val="0"/>
                <w:color w:val="262626"/>
                <w:sz w:val="20"/>
              </w:rPr>
              <w:t>Excel Add-in (custom functions), Salesforce CRM, HubSpot CRM, Webhooks (12 event types), REST API, Blockchain (Polygon)</w:t>
            </w:r>
          </w:p>
        </w:tc>
      </w:tr>
      <w:tr>
        <w:tc>
          <w:tcPr>
            <w:tcW w:type="dxa" w:w="2592"/>
            <w:shd w:val="clear" w:color="auto" w:fill="F2F2F2"/>
          </w:tcPr>
          <w:p>
            <w:pPr>
              <w:spacing w:before="40" w:after="40"/>
            </w:pPr>
            <w:r>
              <w:rPr>
                <w:rFonts w:ascii="Calibri" w:hAnsi="Calibri"/>
                <w:b w:val="0"/>
                <w:i w:val="0"/>
                <w:color w:val="262626"/>
                <w:sz w:val="20"/>
              </w:rPr>
              <w:t>Report Templates</w:t>
            </w:r>
          </w:p>
        </w:tc>
        <w:tc>
          <w:tcPr>
            <w:tcW w:type="dxa" w:w="7200"/>
            <w:shd w:val="clear" w:color="auto" w:fill="F2F2F2"/>
          </w:tcPr>
          <w:p>
            <w:pPr>
              <w:spacing w:before="40" w:after="40"/>
            </w:pPr>
            <w:r>
              <w:rPr>
                <w:rFonts w:ascii="Calibri" w:hAnsi="Calibri"/>
                <w:b w:val="0"/>
                <w:i w:val="0"/>
                <w:color w:val="262626"/>
                <w:sz w:val="20"/>
              </w:rPr>
              <w:t>8 system templates — PDF, Excel, PowerPoint output</w:t>
            </w:r>
          </w:p>
        </w:tc>
      </w:tr>
      <w:tr>
        <w:tc>
          <w:tcPr>
            <w:tcW w:type="dxa" w:w="2592"/>
            <w:shd w:val="clear" w:color="auto" w:fill="FFFFFF"/>
          </w:tcPr>
          <w:p>
            <w:pPr>
              <w:spacing w:before="40" w:after="40"/>
            </w:pPr>
            <w:r>
              <w:rPr>
                <w:rFonts w:ascii="Calibri" w:hAnsi="Calibri"/>
                <w:b w:val="0"/>
                <w:i w:val="0"/>
                <w:color w:val="262626"/>
                <w:sz w:val="20"/>
              </w:rPr>
              <w:t>Deployment</w:t>
            </w:r>
          </w:p>
        </w:tc>
        <w:tc>
          <w:tcPr>
            <w:tcW w:type="dxa" w:w="7200"/>
            <w:shd w:val="clear" w:color="auto" w:fill="FFFFFF"/>
          </w:tcPr>
          <w:p>
            <w:pPr>
              <w:spacing w:before="40" w:after="40"/>
            </w:pPr>
            <w:r>
              <w:rPr>
                <w:rFonts w:ascii="Calibri" w:hAnsi="Calibri"/>
                <w:b w:val="0"/>
                <w:i w:val="0"/>
                <w:color w:val="262626"/>
                <w:sz w:val="20"/>
              </w:rPr>
              <w:t>Cloud-native, EU-hosted (eu-west-1), GDPR-compliant, SOC2-ready, Multi-AZ, &lt; 1 hour RPO</w:t>
            </w:r>
          </w:p>
        </w:tc>
      </w:tr>
      <w:tr>
        <w:tc>
          <w:tcPr>
            <w:tcW w:type="dxa" w:w="2592"/>
            <w:shd w:val="clear" w:color="auto" w:fill="F2F2F2"/>
          </w:tcPr>
          <w:p>
            <w:pPr>
              <w:spacing w:before="40" w:after="40"/>
            </w:pPr>
            <w:r>
              <w:rPr>
                <w:rFonts w:ascii="Calibri" w:hAnsi="Calibri"/>
                <w:b w:val="0"/>
                <w:i w:val="0"/>
                <w:color w:val="262626"/>
                <w:sz w:val="20"/>
              </w:rPr>
              <w:t>White-Label</w:t>
            </w:r>
          </w:p>
        </w:tc>
        <w:tc>
          <w:tcPr>
            <w:tcW w:type="dxa" w:w="7200"/>
            <w:shd w:val="clear" w:color="auto" w:fill="F2F2F2"/>
          </w:tcPr>
          <w:p>
            <w:pPr>
              <w:spacing w:before="40" w:after="40"/>
            </w:pPr>
            <w:r>
              <w:rPr>
                <w:rFonts w:ascii="Calibri" w:hAnsi="Calibri"/>
                <w:b w:val="0"/>
                <w:i w:val="0"/>
                <w:color w:val="262626"/>
                <w:sz w:val="20"/>
              </w:rPr>
              <w:t>Custom branding, custom domains with auto-SSL, branded emails</w:t>
            </w:r>
          </w:p>
        </w:tc>
      </w:tr>
      <w:tr>
        <w:tc>
          <w:tcPr>
            <w:tcW w:type="dxa" w:w="2592"/>
            <w:shd w:val="clear" w:color="auto" w:fill="FFFFFF"/>
          </w:tcPr>
          <w:p>
            <w:pPr>
              <w:spacing w:before="40" w:after="40"/>
            </w:pPr>
            <w:r>
              <w:rPr>
                <w:rFonts w:ascii="Calibri" w:hAnsi="Calibri"/>
                <w:b w:val="0"/>
                <w:i w:val="0"/>
                <w:color w:val="262626"/>
                <w:sz w:val="20"/>
              </w:rPr>
              <w:t>Authentication</w:t>
            </w:r>
          </w:p>
        </w:tc>
        <w:tc>
          <w:tcPr>
            <w:tcW w:type="dxa" w:w="7200"/>
            <w:shd w:val="clear" w:color="auto" w:fill="FFFFFF"/>
          </w:tcPr>
          <w:p>
            <w:pPr>
              <w:spacing w:before="40" w:after="40"/>
            </w:pPr>
            <w:r>
              <w:rPr>
                <w:rFonts w:ascii="Calibri" w:hAnsi="Calibri"/>
                <w:b w:val="0"/>
                <w:i w:val="0"/>
                <w:color w:val="262626"/>
                <w:sz w:val="20"/>
              </w:rPr>
              <w:t>Enterprise SSO (Clerk), RBAC (Admin / Manager / Analyst / Viewer)</w:t>
            </w:r>
          </w:p>
        </w:tc>
      </w:tr>
    </w:tbl>
    <w:p/>
    <w:p>
      <w:r>
        <w:br w:type="page"/>
      </w:r>
    </w:p>
    <w:p>
      <w:pPr>
        <w:spacing w:before="360" w:after="120"/>
        <w:pBdr>
          <w:bottom w:val="single" w:sz="6" w:space="1" w:color="1F3864"/>
        </w:pBdr>
      </w:pPr>
      <w:r>
        <w:rPr>
          <w:rFonts w:ascii="Calibri" w:hAnsi="Calibri"/>
          <w:b/>
          <w:i w:val="0"/>
          <w:color w:val="1F3864"/>
          <w:sz w:val="32"/>
        </w:rPr>
        <w:t>3. Who It's For — User Personas</w:t>
      </w:r>
    </w:p>
    <w:p>
      <w:pPr>
        <w:spacing w:before="280" w:after="80"/>
      </w:pPr>
      <w:r>
        <w:rPr>
          <w:rFonts w:ascii="Calibri" w:hAnsi="Calibri"/>
          <w:b/>
          <w:i w:val="0"/>
          <w:color w:val="2F5496"/>
          <w:sz w:val="26"/>
        </w:rPr>
        <w:t>3A. Fund Manager / General Partner</w:t>
      </w:r>
    </w:p>
    <w:p>
      <w:pPr>
        <w:spacing w:before="0" w:after="100"/>
      </w:pPr>
      <w:r>
        <w:rPr>
          <w:rFonts w:ascii="Calibri" w:hAnsi="Calibri"/>
          <w:b w:val="0"/>
          <w:i w:val="0"/>
          <w:color w:val="262626"/>
          <w:sz w:val="21"/>
        </w:rPr>
        <w:t>Fund managers and GPs face a daily challenge of maintaining a coherent view across dozens of portfolio assets — each with their own financial models, reporting cycles, LP relationships, and compliance obligations. Without an integrated system, maintaining this visibility requires constant manual data consolidation, and even then the picture is always days or weeks out of date. When LP communications are due, assembling a quarterly report from scattered spreadsheets and PDF extracts consumes weeks of analyst time.</w:t>
      </w:r>
    </w:p>
    <w:p>
      <w:pPr>
        <w:spacing w:before="0" w:after="100"/>
      </w:pPr>
      <w:r>
        <w:rPr>
          <w:rFonts w:ascii="Calibri" w:hAnsi="Calibri"/>
          <w:b w:val="0"/>
          <w:i w:val="0"/>
          <w:color w:val="262626"/>
          <w:sz w:val="21"/>
        </w:rPr>
        <w:t>SCR Platform gives fund managers a unified dashboard that aggregates real-time performance across every asset in the portfolio. The Signal Score™ system provides an AI-calculated viability and performance rating for every project, refreshed continuously as new documents are uploaded and market data is updated. LP reports are generated automatically in PDF, Excel, and PowerPoint — customised per fund and LP — reducing quarterly reporting from weeks to hours. Benchmark comparisons show exactly how each asset is performing versus peer-group averages, down to quartile positioning, and covenant monitoring runs every night so that no breach goes undetected.</w:t>
      </w:r>
    </w:p>
    <w:p>
      <w:pPr>
        <w:spacing w:before="280" w:after="80"/>
      </w:pPr>
      <w:r>
        <w:rPr>
          <w:rFonts w:ascii="Calibri" w:hAnsi="Calibri"/>
          <w:b/>
          <w:i w:val="0"/>
          <w:color w:val="2F5496"/>
          <w:sz w:val="26"/>
        </w:rPr>
        <w:t>3B. Deal Team / Investment Analyst</w:t>
      </w:r>
    </w:p>
    <w:p>
      <w:pPr>
        <w:spacing w:before="0" w:after="100"/>
      </w:pPr>
      <w:r>
        <w:rPr>
          <w:rFonts w:ascii="Calibri" w:hAnsi="Calibri"/>
          <w:b w:val="0"/>
          <w:i w:val="0"/>
          <w:color w:val="262626"/>
          <w:sz w:val="21"/>
        </w:rPr>
        <w:t>Investment analysts spend the majority of their time on tasks that are high-volume but low-judgment: reading hundreds of pages of project documentation, extracting financial metrics, checking completeness checklists, and reformatting data into standardized templates. A typical due diligence process can take four to eight weeks, and the quality of the output depends heavily on which analyst is running it on any given day.</w:t>
      </w:r>
    </w:p>
    <w:p>
      <w:pPr>
        <w:spacing w:before="0" w:after="100"/>
      </w:pPr>
      <w:r>
        <w:rPr>
          <w:rFonts w:ascii="Calibri" w:hAnsi="Calibri"/>
          <w:b w:val="0"/>
          <w:i w:val="0"/>
          <w:color w:val="262626"/>
          <w:sz w:val="21"/>
        </w:rPr>
        <w:t>SCR Platform transforms the analyst workflow. When a new project is submitted, the platform automatically classifies every uploaded document, extracts key data points, and calculates a Signal Score™ across six weighted dimensions and 48 specific criteria — financial planning, project viability, ESG impact, risk assessment, team strength, and market opportunity. The AI screening report produces a structured fit score, executive summary, strengths and risks list, mandate alignment assessment, and a list of recommended questions for the deal team — all within minutes of document upload, not weeks. The Smart Screener lets analysts find new opportunities using plain English queries, with AI translating natural language into structured filters across the entire deal universe.</w:t>
      </w:r>
    </w:p>
    <w:p>
      <w:pPr>
        <w:spacing w:before="280" w:after="80"/>
      </w:pPr>
      <w:r>
        <w:rPr>
          <w:rFonts w:ascii="Calibri" w:hAnsi="Calibri"/>
          <w:b/>
          <w:i w:val="0"/>
          <w:color w:val="2F5496"/>
          <w:sz w:val="26"/>
        </w:rPr>
        <w:t>3C. Portfolio Manager</w:t>
      </w:r>
    </w:p>
    <w:p>
      <w:pPr>
        <w:spacing w:before="0" w:after="100"/>
      </w:pPr>
      <w:r>
        <w:rPr>
          <w:rFonts w:ascii="Calibri" w:hAnsi="Calibri"/>
          <w:b w:val="0"/>
          <w:i w:val="0"/>
          <w:color w:val="262626"/>
          <w:sz w:val="21"/>
        </w:rPr>
        <w:t>Portfolio managers responsible for post-investment monitoring face a persistent problem: by the time a covenant breach or KPI deterioration reaches their attention, it has often been building for months. Manual KPI tracking in spreadsheets lacks the granularity and frequency needed for proactive risk management, and there is no systematic way to compare asset performance against original investment theses over time.</w:t>
      </w:r>
    </w:p>
    <w:p>
      <w:pPr>
        <w:spacing w:before="0" w:after="100"/>
      </w:pPr>
      <w:r>
        <w:rPr>
          <w:rFonts w:ascii="Calibri" w:hAnsi="Calibri"/>
          <w:b w:val="0"/>
          <w:i w:val="0"/>
          <w:color w:val="262626"/>
          <w:sz w:val="21"/>
        </w:rPr>
        <w:t>SCR Platform runs automated covenant checks against every investment each night and alerts the responsible portfolio manager the moment a metric enters a warning or breach state. Daily metric snapshots build a complete historical record so that trend analysis is always available — not just a point-in-time view. The cashflow pacing model compares actual drawdowns and distributions against the original projected J-curve, with scenario analysis for base, upside, and downside cases. The Score Explainability feature provides a timeline showing every Signal Score change, with factor-level attribution explaining what drove each movement.</w:t>
      </w:r>
    </w:p>
    <w:p>
      <w:pPr>
        <w:spacing w:before="280" w:after="80"/>
      </w:pPr>
      <w:r>
        <w:rPr>
          <w:rFonts w:ascii="Calibri" w:hAnsi="Calibri"/>
          <w:b/>
          <w:i w:val="0"/>
          <w:color w:val="2F5496"/>
          <w:sz w:val="26"/>
        </w:rPr>
        <w:t>3D. Limited Partner (LP)</w:t>
      </w:r>
    </w:p>
    <w:p>
      <w:pPr>
        <w:spacing w:before="0" w:after="100"/>
      </w:pPr>
      <w:r>
        <w:rPr>
          <w:rFonts w:ascii="Calibri" w:hAnsi="Calibri"/>
          <w:b w:val="0"/>
          <w:i w:val="0"/>
          <w:color w:val="262626"/>
          <w:sz w:val="21"/>
        </w:rPr>
        <w:t>LPs have historically had limited visibility between quarterly reporting cycles. They receive dense PDF packages that are time-consuming to parse, contain limited benchmark context, and arrive weeks after the period-end data they are based on. Asking follow-up questions requires emailing the fund manager and waiting days for a response.</w:t>
      </w:r>
    </w:p>
    <w:p>
      <w:pPr>
        <w:spacing w:before="0" w:after="100"/>
      </w:pPr>
      <w:r>
        <w:rPr>
          <w:rFonts w:ascii="Calibri" w:hAnsi="Calibri"/>
          <w:b w:val="0"/>
          <w:i w:val="0"/>
          <w:color w:val="262626"/>
          <w:sz w:val="21"/>
        </w:rPr>
        <w:t>SCR Platform provides LPs with a real-time portal that goes far beyond static PDF delivery. Performance data is updated continuously, benchmark positioning is shown in quartile terms relative to peer groups, cashflow projections are always current, and engagement-tracked document sharing means LPs can access data room materials with full traceability. The platform's Q&amp;A workflow enables structured, SLA-governed exchanges between LPs and the fund team — with AI-suggested answers drawn from the underlying document library.</w:t>
      </w:r>
    </w:p>
    <w:p>
      <w:pPr>
        <w:spacing w:before="280" w:after="80"/>
      </w:pPr>
      <w:r>
        <w:rPr>
          <w:rFonts w:ascii="Calibri" w:hAnsi="Calibri"/>
          <w:b/>
          <w:i w:val="0"/>
          <w:color w:val="2F5496"/>
          <w:sz w:val="26"/>
        </w:rPr>
        <w:t>3E. Compliance / Risk Officer</w:t>
      </w:r>
    </w:p>
    <w:p>
      <w:pPr>
        <w:spacing w:before="0" w:after="100"/>
      </w:pPr>
      <w:r>
        <w:rPr>
          <w:rFonts w:ascii="Calibri" w:hAnsi="Calibri"/>
          <w:b w:val="0"/>
          <w:i w:val="0"/>
          <w:color w:val="262626"/>
          <w:sz w:val="21"/>
        </w:rPr>
        <w:t>Compliance officers operating in the sustainable infrastructure space face a dual challenge: maintaining audit-ready records for regulators, and governing an increasingly AI-dependent workflow where the provenance of every AI-generated output must be traceable. Without data lineage and citation tracking, any AI-assisted analysis is difficult to defend in a regulatory context.</w:t>
      </w:r>
    </w:p>
    <w:p>
      <w:pPr>
        <w:spacing w:before="0" w:after="100"/>
      </w:pPr>
      <w:r>
        <w:rPr>
          <w:rFonts w:ascii="Calibri" w:hAnsi="Calibri"/>
          <w:b w:val="0"/>
          <w:i w:val="0"/>
          <w:color w:val="262626"/>
          <w:sz w:val="21"/>
        </w:rPr>
        <w:t>SCR Platform is designed with compliance as a first-class concern. Every write operation is immutably logged in the audit trail with user identity, timestamp, and affected resource. Every AI-generated analysis includes numbered source citations — click any citation to jump to the exact paragraph in the source document. Data lineage tracks every computed value back through its chain of transformations to the raw input. The AI-powered redaction module detects and masks sensitive entities (PII, financials, legal terms) prior to third-party sharing, with human review of every AI suggestion before application. Certain AI providers — specifically DeepSeek — are restricted by policy from receiving any confidential document content, ensuring GDPR-compliant data handling across all AI tasks.</w:t>
      </w:r>
    </w:p>
    <w:p>
      <w:pPr>
        <w:spacing w:before="280" w:after="80"/>
      </w:pPr>
      <w:r>
        <w:rPr>
          <w:rFonts w:ascii="Calibri" w:hAnsi="Calibri"/>
          <w:b/>
          <w:i w:val="0"/>
          <w:color w:val="2F5496"/>
          <w:sz w:val="26"/>
        </w:rPr>
        <w:t>3F. External Integrators / Channel Partners</w:t>
      </w:r>
    </w:p>
    <w:p>
      <w:pPr>
        <w:spacing w:before="0" w:after="100"/>
      </w:pPr>
      <w:r>
        <w:rPr>
          <w:rFonts w:ascii="Calibri" w:hAnsi="Calibri"/>
          <w:b w:val="0"/>
          <w:i w:val="0"/>
          <w:color w:val="262626"/>
          <w:sz w:val="21"/>
        </w:rPr>
        <w:t>Fund administrators, technology resellers, and white-label deployers need to offer their clients sophisticated investment intelligence without the cost and risk of building proprietary AI infrastructure from scratch. They require deep integration with existing CRM and operational systems, the ability to present the platform under their own brand, and programmatic access for custom workflows.</w:t>
      </w:r>
    </w:p>
    <w:p>
      <w:pPr>
        <w:spacing w:before="0" w:after="100"/>
      </w:pPr>
      <w:r>
        <w:rPr>
          <w:rFonts w:ascii="Calibri" w:hAnsi="Calibri"/>
          <w:b w:val="0"/>
          <w:i w:val="0"/>
          <w:color w:val="262626"/>
          <w:sz w:val="21"/>
        </w:rPr>
        <w:t>SCR Platform supports full white-label deployment: custom organization branding (logo, color scheme, font), custom domain with automatic SSL provisioning, and branded email communications all sent from the partner's own identity. The bidirectional CRM sync with Salesforce and HubSpot ensures deals flow between systems automatically. The webhook system delivers real-time event notifications — HMAC-signed for security — across 12 platform event types. The Excel add-in enables financial modellers to pull live SCR data directly into their spreadsheets using custom functions. The full REST API with versioning and per-key rate limits supports any custom integration requirement.</w:t>
      </w:r>
    </w:p>
    <w:p>
      <w:r>
        <w:br w:type="page"/>
      </w:r>
    </w:p>
    <w:p>
      <w:pPr>
        <w:spacing w:before="360" w:after="120"/>
        <w:pBdr>
          <w:bottom w:val="single" w:sz="6" w:space="1" w:color="1F3864"/>
        </w:pBdr>
      </w:pPr>
      <w:r>
        <w:rPr>
          <w:rFonts w:ascii="Calibri" w:hAnsi="Calibri"/>
          <w:b/>
          <w:i w:val="0"/>
          <w:color w:val="1F3864"/>
          <w:sz w:val="32"/>
        </w:rPr>
        <w:t>4. Core Capabilities — The Investment Lifecycle</w:t>
      </w:r>
    </w:p>
    <w:p>
      <w:pPr>
        <w:spacing w:before="280" w:after="80"/>
      </w:pPr>
      <w:r>
        <w:rPr>
          <w:rFonts w:ascii="Calibri" w:hAnsi="Calibri"/>
          <w:b/>
          <w:i w:val="0"/>
          <w:color w:val="2F5496"/>
          <w:sz w:val="26"/>
        </w:rPr>
        <w:t>4A. Deal Sourcing &amp; Screening</w:t>
      </w:r>
    </w:p>
    <w:p>
      <w:pPr>
        <w:spacing w:before="200" w:after="60"/>
      </w:pPr>
      <w:r>
        <w:rPr>
          <w:rFonts w:ascii="Calibri" w:hAnsi="Calibri"/>
          <w:b/>
          <w:i w:val="0"/>
          <w:color w:val="4172C4"/>
          <w:sz w:val="22"/>
        </w:rPr>
        <w:t>Signal Score™ — AI-Powered Project Rating</w:t>
      </w:r>
    </w:p>
    <w:p>
      <w:pPr>
        <w:spacing w:before="0" w:after="100"/>
      </w:pPr>
      <w:r>
        <w:rPr>
          <w:rFonts w:ascii="Calibri" w:hAnsi="Calibri"/>
          <w:b w:val="0"/>
          <w:i w:val="0"/>
          <w:color w:val="262626"/>
          <w:sz w:val="21"/>
        </w:rPr>
        <w:t xml:space="preserve">The </w:t>
      </w:r>
      <w:r>
        <w:rPr>
          <w:rFonts w:ascii="Calibri" w:hAnsi="Calibri"/>
          <w:b/>
          <w:i w:val="0"/>
          <w:color w:val="262626"/>
          <w:sz w:val="21"/>
        </w:rPr>
        <w:t>Signal Score™</w:t>
      </w:r>
      <w:r>
        <w:rPr>
          <w:rFonts w:ascii="Calibri" w:hAnsi="Calibri"/>
          <w:b w:val="0"/>
          <w:i w:val="0"/>
          <w:color w:val="262626"/>
          <w:sz w:val="21"/>
        </w:rPr>
        <w:t xml:space="preserve"> is SCR Platform's flagship analytical engine — a multi-dimensional AI scoring system that produces a single, explainable viability rating for every project on the platform. Unlike simple checklists or static models, the Signal Score combines deterministic rule-based criteria with AI document analysis to assess each project across six weighted dimensions:</w:t>
      </w:r>
    </w:p>
    <w:p>
      <w:pPr>
        <w:pStyle w:val="ListBullet"/>
        <w:spacing w:before="20" w:after="40"/>
        <w:ind w:left="360"/>
      </w:pPr>
      <w:r>
        <w:rPr>
          <w:rFonts w:ascii="Calibri" w:hAnsi="Calibri"/>
          <w:b w:val="0"/>
          <w:i w:val="0"/>
          <w:color w:val="262626"/>
          <w:sz w:val="21"/>
        </w:rPr>
        <w:t>Project Viability (20% weight) — site feasibility, technology selection, grid connection, EPC contracts, permits, third-party technical review across 9 criteria</w:t>
      </w:r>
    </w:p>
    <w:p>
      <w:pPr>
        <w:pStyle w:val="ListBullet"/>
        <w:spacing w:before="20" w:after="40"/>
        <w:ind w:left="360"/>
      </w:pPr>
      <w:r>
        <w:rPr>
          <w:rFonts w:ascii="Calibri" w:hAnsi="Calibri"/>
          <w:b w:val="0"/>
          <w:i w:val="0"/>
          <w:color w:val="262626"/>
          <w:sz w:val="21"/>
        </w:rPr>
        <w:t>Financial Planning (20% weight) — revenue model, cost structure, capital stack, financial projections, insurance, tax credits, DSCR analysis across 8 criteria</w:t>
      </w:r>
    </w:p>
    <w:p>
      <w:pPr>
        <w:pStyle w:val="ListBullet"/>
        <w:spacing w:before="20" w:after="40"/>
        <w:ind w:left="360"/>
      </w:pPr>
      <w:r>
        <w:rPr>
          <w:rFonts w:ascii="Calibri" w:hAnsi="Calibri"/>
          <w:b w:val="0"/>
          <w:i w:val="0"/>
          <w:color w:val="262626"/>
          <w:sz w:val="21"/>
        </w:rPr>
        <w:t>ESG &amp; Impact (15% weight) — carbon reduction methodology, social impact, community engagement, governance, SDG alignment across 7 criteria</w:t>
      </w:r>
    </w:p>
    <w:p>
      <w:pPr>
        <w:pStyle w:val="ListBullet"/>
        <w:spacing w:before="20" w:after="40"/>
        <w:ind w:left="360"/>
      </w:pPr>
      <w:r>
        <w:rPr>
          <w:rFonts w:ascii="Calibri" w:hAnsi="Calibri"/>
          <w:b w:val="0"/>
          <w:i w:val="0"/>
          <w:color w:val="262626"/>
          <w:sz w:val="21"/>
        </w:rPr>
        <w:t>Risk Assessment (15% weight) — permits obtained, environmental compliance, land rights, regulatory approvals, legal structure across 7 criteria</w:t>
      </w:r>
    </w:p>
    <w:p>
      <w:pPr>
        <w:pStyle w:val="ListBullet"/>
        <w:spacing w:before="20" w:after="40"/>
        <w:ind w:left="360"/>
      </w:pPr>
      <w:r>
        <w:rPr>
          <w:rFonts w:ascii="Calibri" w:hAnsi="Calibri"/>
          <w:b w:val="0"/>
          <w:i w:val="0"/>
          <w:color w:val="262626"/>
          <w:sz w:val="21"/>
        </w:rPr>
        <w:t>Team Strength (15% weight) — core team experience, track record, advisory board, key partnerships, project management across 6 criteria</w:t>
      </w:r>
    </w:p>
    <w:p>
      <w:pPr>
        <w:pStyle w:val="ListBullet"/>
        <w:spacing w:before="20" w:after="40"/>
        <w:ind w:left="360"/>
      </w:pPr>
      <w:r>
        <w:rPr>
          <w:rFonts w:ascii="Calibri" w:hAnsi="Calibri"/>
          <w:b w:val="0"/>
          <w:i w:val="0"/>
          <w:color w:val="262626"/>
          <w:sz w:val="21"/>
        </w:rPr>
        <w:t>Market Opportunity (15% weight) — market sizing, competitive analysis, demand validation, exit strategy, macro alignment across 6 criteria</w:t>
      </w:r>
    </w:p>
    <w:p>
      <w:pPr>
        <w:spacing w:before="0" w:after="100"/>
      </w:pPr>
      <w:r>
        <w:rPr>
          <w:rFonts w:ascii="Calibri" w:hAnsi="Calibri"/>
          <w:b w:val="0"/>
          <w:i w:val="0"/>
          <w:color w:val="262626"/>
          <w:sz w:val="21"/>
        </w:rPr>
        <w:t>Each dimension score is calculated from 48 specific criteria, each assigned point values based on materiality. Scores are fully explainable: the Score Explainability timeline shows every change to the score over time, with factor-level attribution explaining which inputs moved the score and by how much. Organisations can adjust the dimension weights to match their investment mandate — a climate-focused fund might weight ESG higher; an infrastructure debt fund might weight financial planning more heavily. Scores are backtested against historical deal outcomes to validate predictive accuracy, producing AUC-ROC statistics that demonstrate the score's ability to distinguish successful from unsuccessful investments.</w:t>
      </w:r>
    </w:p>
    <w:p>
      <w:pPr>
        <w:spacing w:before="0" w:after="100"/>
      </w:pPr>
      <w:r>
        <w:rPr>
          <w:rFonts w:ascii="Calibri" w:hAnsi="Calibri"/>
          <w:b w:val="0"/>
          <w:i w:val="0"/>
          <w:color w:val="262626"/>
          <w:sz w:val="21"/>
        </w:rPr>
        <w:t>The system supports batch scoring of up to 50 projects simultaneously, a live 'quick score' mode that produces a metadata-based estimate without triggering a full AI analysis, and a gap analysis report that identifies the specific actions a project developer should take to improve their score — presented as a prioritized improvement roadmap.</w:t>
      </w:r>
    </w:p>
    <w:p>
      <w:pPr>
        <w:spacing w:before="200" w:after="60"/>
      </w:pPr>
      <w:r>
        <w:rPr>
          <w:rFonts w:ascii="Calibri" w:hAnsi="Calibri"/>
          <w:b/>
          <w:i w:val="0"/>
          <w:color w:val="4172C4"/>
          <w:sz w:val="22"/>
        </w:rPr>
        <w:t>Smart Screener — Natural Language Deal Discovery</w:t>
      </w:r>
    </w:p>
    <w:p>
      <w:pPr>
        <w:spacing w:before="0" w:after="100"/>
      </w:pPr>
      <w:r>
        <w:rPr>
          <w:rFonts w:ascii="Calibri" w:hAnsi="Calibri"/>
          <w:b w:val="0"/>
          <w:i w:val="0"/>
          <w:color w:val="262626"/>
          <w:sz w:val="21"/>
        </w:rPr>
        <w:t xml:space="preserve">The </w:t>
      </w:r>
      <w:r>
        <w:rPr>
          <w:rFonts w:ascii="Calibri" w:hAnsi="Calibri"/>
          <w:b/>
          <w:i w:val="0"/>
          <w:color w:val="262626"/>
          <w:sz w:val="21"/>
        </w:rPr>
        <w:t>Smart Screener</w:t>
      </w:r>
      <w:r>
        <w:rPr>
          <w:rFonts w:ascii="Calibri" w:hAnsi="Calibri"/>
          <w:b w:val="0"/>
          <w:i w:val="0"/>
          <w:color w:val="262626"/>
          <w:sz w:val="21"/>
        </w:rPr>
        <w:t xml:space="preserve"> eliminates the need for analysts to navigate complex filter interfaces. Instead, users type their search criteria in plain English: "Show me operational solar projects in Spain or Portugal with an IRR above 8% and a capacity above 20 MW" — and the AI translates this into a precise set of structured filters applied against the full project universe. Results are ranked by relevance and powered by OpenSearch full-text indexing across all project metadata and extracted document content. Searches can be saved with notification opt-in, so analysts receive an alert whenever a new project matching their criteria is added to the platform.</w:t>
      </w:r>
    </w:p>
    <w:p>
      <w:pPr>
        <w:spacing w:before="200" w:after="60"/>
      </w:pPr>
      <w:r>
        <w:rPr>
          <w:rFonts w:ascii="Calibri" w:hAnsi="Calibri"/>
          <w:b/>
          <w:i w:val="0"/>
          <w:color w:val="4172C4"/>
          <w:sz w:val="22"/>
        </w:rPr>
        <w:t>Watchlists — Intelligent Portfolio Monitoring</w:t>
      </w:r>
    </w:p>
    <w:p>
      <w:pPr>
        <w:spacing w:before="0" w:after="100"/>
      </w:pPr>
      <w:r>
        <w:rPr>
          <w:rFonts w:ascii="Calibri" w:hAnsi="Calibri"/>
          <w:b/>
          <w:i w:val="0"/>
          <w:color w:val="262626"/>
          <w:sz w:val="21"/>
        </w:rPr>
        <w:t>Watchlists</w:t>
      </w:r>
      <w:r>
        <w:rPr>
          <w:rFonts w:ascii="Calibri" w:hAnsi="Calibri"/>
          <w:b w:val="0"/>
          <w:i w:val="0"/>
          <w:color w:val="262626"/>
          <w:sz w:val="21"/>
        </w:rPr>
        <w:t xml:space="preserve"> allow investors to define monitoring criteria — either against specific projects or across the broader market — and receive automated alerts when conditions are met. Criteria can include signal score thresholds, performance metric movements, covenant status changes, or new document availability. Multiple watchlist types support different monitoring use cases: market trend tracking, competitive deal flow monitoring, and portfolio-level covenant surveillance. All alert activity is tracked, with unread alert counts displayed in the navigation.</w:t>
      </w:r>
    </w:p>
    <w:p>
      <w:pPr>
        <w:spacing w:before="200" w:after="60"/>
      </w:pPr>
      <w:r>
        <w:rPr>
          <w:rFonts w:ascii="Calibri" w:hAnsi="Calibri"/>
          <w:b/>
          <w:i w:val="0"/>
          <w:color w:val="4172C4"/>
          <w:sz w:val="22"/>
        </w:rPr>
        <w:t>Comparable Transactions (Comps) — Market-Anchored Valuation</w:t>
      </w:r>
    </w:p>
    <w:p>
      <w:pPr>
        <w:spacing w:before="0" w:after="100"/>
      </w:pPr>
      <w:r>
        <w:rPr>
          <w:rFonts w:ascii="Calibri" w:hAnsi="Calibri"/>
          <w:b w:val="0"/>
          <w:i w:val="0"/>
          <w:color w:val="262626"/>
          <w:sz w:val="21"/>
        </w:rPr>
        <w:t xml:space="preserve">The </w:t>
      </w:r>
      <w:r>
        <w:rPr>
          <w:rFonts w:ascii="Calibri" w:hAnsi="Calibri"/>
          <w:b/>
          <w:i w:val="0"/>
          <w:color w:val="262626"/>
          <w:sz w:val="21"/>
        </w:rPr>
        <w:t>Comparables</w:t>
      </w:r>
      <w:r>
        <w:rPr>
          <w:rFonts w:ascii="Calibri" w:hAnsi="Calibri"/>
          <w:b w:val="0"/>
          <w:i w:val="0"/>
          <w:color w:val="262626"/>
          <w:sz w:val="21"/>
        </w:rPr>
        <w:t xml:space="preserve"> module provides a growing database of real transaction data covering solar, wind, hydro, BESS, biomass, and infrastructure deals. Each comparable record captures: deal name, asset type, geography, close year, deal size in EUR, capacity in MW, EV per MW, equity IRR, stage at close, and a data quality flag (confirmed, estimated, or rumored). The AI-powered similarity engine identifies the most relevant comparable deals for any project being evaluated, producing a similarity score and plain-English rationale for each match. Valuations can then be implied from the comparable set using EV-per-MW or EBITDA-multiple methodologies, with confidence levels reflecting the quality and quantity of comparable data available. Comps can be imported in bulk via CSV upload.</w:t>
      </w:r>
    </w:p>
    <w:p>
      <w:pPr>
        <w:spacing w:before="200" w:after="60"/>
      </w:pPr>
      <w:r>
        <w:rPr>
          <w:rFonts w:ascii="Calibri" w:hAnsi="Calibri"/>
          <w:b/>
          <w:i w:val="0"/>
          <w:color w:val="4172C4"/>
          <w:sz w:val="22"/>
        </w:rPr>
        <w:t>Investor Matching</w:t>
      </w:r>
    </w:p>
    <w:p>
      <w:pPr>
        <w:spacing w:before="0" w:after="100"/>
      </w:pPr>
      <w:r>
        <w:rPr>
          <w:rFonts w:ascii="Calibri" w:hAnsi="Calibri"/>
          <w:b w:val="0"/>
          <w:i w:val="0"/>
          <w:color w:val="262626"/>
          <w:sz w:val="21"/>
        </w:rPr>
        <w:t xml:space="preserve">The </w:t>
      </w:r>
      <w:r>
        <w:rPr>
          <w:rFonts w:ascii="Calibri" w:hAnsi="Calibri"/>
          <w:b/>
          <w:i w:val="0"/>
          <w:color w:val="262626"/>
          <w:sz w:val="21"/>
        </w:rPr>
        <w:t>Matching</w:t>
      </w:r>
      <w:r>
        <w:rPr>
          <w:rFonts w:ascii="Calibri" w:hAnsi="Calibri"/>
          <w:b w:val="0"/>
          <w:i w:val="0"/>
          <w:color w:val="262626"/>
          <w:sz w:val="21"/>
        </w:rPr>
        <w:t xml:space="preserve"> module pairs projects with compatible investors based on mandate alignment, geography, asset class preferences, ticket size, stage, and ESG criteria. Match scores are calculated and explained, showing the specific alignment factors driving each recommendation. The warm introductions workflow enables platform participants to facilitate introductions between matched parties with tracked engagement.</w:t>
      </w:r>
    </w:p>
    <w:p>
      <w:pPr>
        <w:spacing w:before="200" w:after="60"/>
      </w:pPr>
      <w:r>
        <w:rPr>
          <w:rFonts w:ascii="Calibri" w:hAnsi="Calibri"/>
          <w:b/>
          <w:i w:val="0"/>
          <w:color w:val="4172C4"/>
          <w:sz w:val="22"/>
        </w:rPr>
        <w:t>Deal Pipeline Management</w:t>
      </w:r>
    </w:p>
    <w:p>
      <w:pPr>
        <w:spacing w:before="0" w:after="100"/>
      </w:pPr>
      <w:r>
        <w:rPr>
          <w:rFonts w:ascii="Calibri" w:hAnsi="Calibri"/>
          <w:b w:val="0"/>
          <w:i w:val="0"/>
          <w:color w:val="262626"/>
          <w:sz w:val="21"/>
        </w:rPr>
        <w:t xml:space="preserve">The </w:t>
      </w:r>
      <w:r>
        <w:rPr>
          <w:rFonts w:ascii="Calibri" w:hAnsi="Calibri"/>
          <w:b/>
          <w:i w:val="0"/>
          <w:color w:val="262626"/>
          <w:sz w:val="21"/>
        </w:rPr>
        <w:t>Deal Intelligence</w:t>
      </w:r>
      <w:r>
        <w:rPr>
          <w:rFonts w:ascii="Calibri" w:hAnsi="Calibri"/>
          <w:b w:val="0"/>
          <w:i w:val="0"/>
          <w:color w:val="262626"/>
          <w:sz w:val="21"/>
        </w:rPr>
        <w:t xml:space="preserve"> module organises the deal lifecycle across a five-stage pipeline: Discovered, Screening, Due Diligence, Negotiation, and Passed. The Discover tab shows all projects matching an investor's mandate criteria, with filtering by sector, geography, and score range. The Compare view enables side-by-side analysis of two to five projects simultaneously, drawing on all available data to surface the key differentiators. AI screening reports and investment memos are generated asynchronously and retrieved when complete.</w:t>
      </w:r>
    </w:p>
    <w:p>
      <w:pPr>
        <w:spacing w:before="280" w:after="80"/>
      </w:pPr>
      <w:r>
        <w:rPr>
          <w:rFonts w:ascii="Calibri" w:hAnsi="Calibri"/>
          <w:b/>
          <w:i w:val="0"/>
          <w:color w:val="2F5496"/>
          <w:sz w:val="26"/>
        </w:rPr>
        <w:t>4B. Due Diligence &amp; Document Management</w:t>
      </w:r>
    </w:p>
    <w:p>
      <w:pPr>
        <w:spacing w:before="200" w:after="60"/>
      </w:pPr>
      <w:r>
        <w:rPr>
          <w:rFonts w:ascii="Calibri" w:hAnsi="Calibri"/>
          <w:b/>
          <w:i w:val="0"/>
          <w:color w:val="4172C4"/>
          <w:sz w:val="22"/>
        </w:rPr>
        <w:t>AI Document Processing</w:t>
      </w:r>
    </w:p>
    <w:p>
      <w:pPr>
        <w:spacing w:before="0" w:after="100"/>
      </w:pPr>
      <w:r>
        <w:rPr>
          <w:rFonts w:ascii="Calibri" w:hAnsi="Calibri"/>
          <w:b w:val="0"/>
          <w:i w:val="0"/>
          <w:color w:val="262626"/>
          <w:sz w:val="21"/>
        </w:rPr>
        <w:t>Every document uploaded to SCR Platform passes through an automated AI processing pipeline. The system classifies the document type (financial statement, legal contract, ESG report, technical study, etc.), extracts structured data (KPIs, financial metrics, contractual terms, dates, counterparties), and makes the content available for downstream AI analysis across the platform. Batch processing supports entire data room ingestion — hundreds of documents can be processed overnight. Supported formats include PDF, XLSX, DOCX, and PPTX. Each extracted data point is tagged with its source document and page reference, enabling full traceability.</w:t>
      </w:r>
    </w:p>
    <w:p>
      <w:pPr>
        <w:spacing w:before="200" w:after="60"/>
      </w:pPr>
      <w:r>
        <w:rPr>
          <w:rFonts w:ascii="Calibri" w:hAnsi="Calibri"/>
          <w:b/>
          <w:i w:val="0"/>
          <w:color w:val="4172C4"/>
          <w:sz w:val="22"/>
        </w:rPr>
        <w:t>Virtual Data Room (VDR)</w:t>
      </w:r>
    </w:p>
    <w:p>
      <w:pPr>
        <w:spacing w:before="0" w:after="100"/>
      </w:pPr>
      <w:r>
        <w:rPr>
          <w:rFonts w:ascii="Calibri" w:hAnsi="Calibri"/>
          <w:b w:val="0"/>
          <w:i w:val="0"/>
          <w:color w:val="262626"/>
          <w:sz w:val="21"/>
        </w:rPr>
        <w:t xml:space="preserve">The SCR </w:t>
      </w:r>
      <w:r>
        <w:rPr>
          <w:rFonts w:ascii="Calibri" w:hAnsi="Calibri"/>
          <w:b/>
          <w:i w:val="0"/>
          <w:color w:val="262626"/>
          <w:sz w:val="21"/>
        </w:rPr>
        <w:t>Virtual Data Room</w:t>
      </w:r>
      <w:r>
        <w:rPr>
          <w:rFonts w:ascii="Calibri" w:hAnsi="Calibri"/>
          <w:b w:val="0"/>
          <w:i w:val="0"/>
          <w:color w:val="262626"/>
          <w:sz w:val="21"/>
        </w:rPr>
        <w:t xml:space="preserve"> provides secure, granular document sharing with the engagement analytics that institutional deal teams require. Access controls are set at the folder and document level, with full version history maintained for every file. Engagement analytics track which users viewed which documents, for how long, and which pages they spent most time on — giving deal teams real-time insight into LP and buyer interest. Downloaded documents are automatically watermarked. The Q&amp;A workflow within the data room enables structured question exchange between parties, with SLA tracking and escalation alerts for overdue responses. AI-suggested answers draw on the document library context to accelerate response preparation.</w:t>
      </w:r>
    </w:p>
    <w:p>
      <w:pPr>
        <w:spacing w:before="200" w:after="60"/>
      </w:pPr>
      <w:r>
        <w:rPr>
          <w:rFonts w:ascii="Calibri" w:hAnsi="Calibri"/>
          <w:b/>
          <w:i w:val="0"/>
          <w:color w:val="4172C4"/>
          <w:sz w:val="22"/>
        </w:rPr>
        <w:t>AI Document Redaction</w:t>
      </w:r>
    </w:p>
    <w:p>
      <w:pPr>
        <w:spacing w:before="0" w:after="100"/>
      </w:pPr>
      <w:r>
        <w:rPr>
          <w:rFonts w:ascii="Calibri" w:hAnsi="Calibri"/>
          <w:b w:val="0"/>
          <w:i w:val="0"/>
          <w:color w:val="262626"/>
          <w:sz w:val="21"/>
        </w:rPr>
        <w:t xml:space="preserve">Before sharing sensitive materials with third parties, the </w:t>
      </w:r>
      <w:r>
        <w:rPr>
          <w:rFonts w:ascii="Calibri" w:hAnsi="Calibri"/>
          <w:b/>
          <w:i w:val="0"/>
          <w:color w:val="262626"/>
          <w:sz w:val="21"/>
        </w:rPr>
        <w:t>Redaction</w:t>
      </w:r>
      <w:r>
        <w:rPr>
          <w:rFonts w:ascii="Calibri" w:hAnsi="Calibri"/>
          <w:b w:val="0"/>
          <w:i w:val="0"/>
          <w:color w:val="262626"/>
          <w:sz w:val="21"/>
        </w:rPr>
        <w:t xml:space="preserve"> module provides AI-assisted PII and confidential data removal. The AI detects sensitive entities across more than 15 categories — including personal names, financial figures, legal terms, counterparty identifiers, and proprietary commercial information. Detected entities are presented for human review before any redaction is applied. Once approved, a clean redacted PDF is generated with masked regions that contain no extractable text. Every redaction decision is recorded in the audit trail: who approved which redactions, on which document, at what time.</w:t>
      </w:r>
    </w:p>
    <w:p>
      <w:pPr>
        <w:spacing w:before="200" w:after="60"/>
      </w:pPr>
      <w:r>
        <w:rPr>
          <w:rFonts w:ascii="Calibri" w:hAnsi="Calibri"/>
          <w:b/>
          <w:i w:val="0"/>
          <w:color w:val="4172C4"/>
          <w:sz w:val="22"/>
        </w:rPr>
        <w:t>PDF Viewer with Intelligence</w:t>
      </w:r>
    </w:p>
    <w:p>
      <w:pPr>
        <w:spacing w:before="0" w:after="100"/>
      </w:pPr>
      <w:r>
        <w:rPr>
          <w:rFonts w:ascii="Calibri" w:hAnsi="Calibri"/>
          <w:b w:val="0"/>
          <w:i w:val="0"/>
          <w:color w:val="262626"/>
          <w:sz w:val="21"/>
        </w:rPr>
        <w:t>Documents can be viewed in-browser through the integrated PDF viewer without any download. The viewer supports highlights, text annotations, bookmarks, and page-level comments. Annotations can be linked directly to Q&amp;A questions, creating traceable connections between specific document passages and deal team queries. Engagement is tracked at the page level, providing per-page view time analytics. The annotation sidebar displays all team annotations alongside the document for collaborative review.</w:t>
      </w:r>
    </w:p>
    <w:p>
      <w:pPr>
        <w:spacing w:before="200" w:after="60"/>
      </w:pPr>
      <w:r>
        <w:rPr>
          <w:rFonts w:ascii="Calibri" w:hAnsi="Calibri"/>
          <w:b/>
          <w:i w:val="0"/>
          <w:color w:val="4172C4"/>
          <w:sz w:val="22"/>
        </w:rPr>
        <w:t>Source Citations on Every AI Output</w:t>
      </w:r>
    </w:p>
    <w:p>
      <w:pPr>
        <w:spacing w:before="0" w:after="100"/>
      </w:pPr>
      <w:r>
        <w:rPr>
          <w:rFonts w:ascii="Calibri" w:hAnsi="Calibri"/>
          <w:b w:val="0"/>
          <w:i w:val="0"/>
          <w:color w:val="262626"/>
          <w:sz w:val="21"/>
        </w:rPr>
        <w:t>Every AI-generated analysis on the platform includes numbered source citations — [1], [2], [3] — linking each claim directly to the specific source document and paragraph from which it was derived. Clicking a citation opens the source document at the exact location. This citation architecture makes AI outputs fully audit-ready: regulators, LPs, and deal counterparties can verify the basis for every conclusion without relying on trust in the AI system alone. A dedicated Citations page provides an overview of all AI-generated content and its source traceability across the platform.</w:t>
      </w:r>
    </w:p>
    <w:p>
      <w:pPr>
        <w:spacing w:before="200" w:after="60"/>
      </w:pPr>
      <w:r>
        <w:rPr>
          <w:rFonts w:ascii="Calibri" w:hAnsi="Calibri"/>
          <w:b/>
          <w:i w:val="0"/>
          <w:color w:val="4172C4"/>
          <w:sz w:val="22"/>
        </w:rPr>
        <w:t>Data Lineage</w:t>
      </w:r>
    </w:p>
    <w:p>
      <w:pPr>
        <w:spacing w:before="0" w:after="100"/>
      </w:pPr>
      <w:r>
        <w:rPr>
          <w:rFonts w:ascii="Calibri" w:hAnsi="Calibri"/>
          <w:b/>
          <w:i w:val="0"/>
          <w:color w:val="262626"/>
          <w:sz w:val="21"/>
        </w:rPr>
        <w:t>Data Lineage</w:t>
      </w:r>
      <w:r>
        <w:rPr>
          <w:rFonts w:ascii="Calibri" w:hAnsi="Calibri"/>
          <w:b w:val="0"/>
          <w:i w:val="0"/>
          <w:color w:val="262626"/>
          <w:sz w:val="21"/>
        </w:rPr>
        <w:t xml:space="preserve"> tracking ensures that every computed value on the platform has a visible provenance chain. Any metric or derived figure carries a lineage indicator that, when clicked, reveals the complete transformation path: from raw data source, through extraction and computation steps, to the final displayed value. This is particularly important for financial metrics and ESG calculations, where regulatory reporting may require demonstration of how figures were derived. The lineage system is built as a first-class platform feature, not added retrospectively.</w:t>
      </w:r>
    </w:p>
    <w:p>
      <w:pPr>
        <w:spacing w:before="200" w:after="60"/>
      </w:pPr>
      <w:r>
        <w:rPr>
          <w:rFonts w:ascii="Calibri" w:hAnsi="Calibri"/>
          <w:b/>
          <w:i w:val="0"/>
          <w:color w:val="4172C4"/>
          <w:sz w:val="22"/>
        </w:rPr>
        <w:t>Due Diligence Checklist &amp; Tracker</w:t>
      </w:r>
    </w:p>
    <w:p>
      <w:pPr>
        <w:spacing w:before="0" w:after="100"/>
      </w:pPr>
      <w:r>
        <w:rPr>
          <w:rFonts w:ascii="Calibri" w:hAnsi="Calibri"/>
          <w:b w:val="0"/>
          <w:i w:val="0"/>
          <w:color w:val="262626"/>
          <w:sz w:val="21"/>
        </w:rPr>
        <w:t xml:space="preserve">Structured due diligence workflows are managed through the </w:t>
      </w:r>
      <w:r>
        <w:rPr>
          <w:rFonts w:ascii="Calibri" w:hAnsi="Calibri"/>
          <w:b/>
          <w:i w:val="0"/>
          <w:color w:val="262626"/>
          <w:sz w:val="21"/>
        </w:rPr>
        <w:t>Due Diligence</w:t>
      </w:r>
      <w:r>
        <w:rPr>
          <w:rFonts w:ascii="Calibri" w:hAnsi="Calibri"/>
          <w:b w:val="0"/>
          <w:i w:val="0"/>
          <w:color w:val="262626"/>
          <w:sz w:val="21"/>
        </w:rPr>
        <w:t xml:space="preserve"> module, which maintains item-level status tracking across all checklist categories. Each DD item records its status, assigned reviewer, completion date, and linked documents — giving deal teams a clear view of completion progress and outstanding items at any stage of the process.</w:t>
      </w:r>
    </w:p>
    <w:p>
      <w:pPr>
        <w:spacing w:before="200" w:after="60"/>
      </w:pPr>
      <w:r>
        <w:rPr>
          <w:rFonts w:ascii="Calibri" w:hAnsi="Calibri"/>
          <w:b/>
          <w:i w:val="0"/>
          <w:color w:val="4172C4"/>
          <w:sz w:val="22"/>
        </w:rPr>
        <w:t>Document Version History</w:t>
      </w:r>
    </w:p>
    <w:p>
      <w:pPr>
        <w:spacing w:before="0" w:after="100"/>
      </w:pPr>
      <w:r>
        <w:rPr>
          <w:rFonts w:ascii="Calibri" w:hAnsi="Calibri"/>
          <w:b w:val="0"/>
          <w:i w:val="0"/>
          <w:color w:val="262626"/>
          <w:sz w:val="21"/>
        </w:rPr>
        <w:t>Full version control is maintained for every document, capturing version number, file size, upload date, SHA-256 checksum, and uploader identity. The Access Log tab provides a complete record of every user who viewed each document version, supporting data room transparency requirements and regulatory audit trails.</w:t>
      </w:r>
    </w:p>
    <w:p>
      <w:pPr>
        <w:spacing w:before="280" w:after="80"/>
      </w:pPr>
      <w:r>
        <w:rPr>
          <w:rFonts w:ascii="Calibri" w:hAnsi="Calibri"/>
          <w:b/>
          <w:i w:val="0"/>
          <w:color w:val="2F5496"/>
          <w:sz w:val="26"/>
        </w:rPr>
        <w:t>4C. Investment Analysis &amp; AI</w:t>
      </w:r>
    </w:p>
    <w:p>
      <w:pPr>
        <w:spacing w:before="200" w:after="60"/>
      </w:pPr>
      <w:r>
        <w:rPr>
          <w:rFonts w:ascii="Calibri" w:hAnsi="Calibri"/>
          <w:b/>
          <w:i w:val="0"/>
          <w:color w:val="4172C4"/>
          <w:sz w:val="22"/>
        </w:rPr>
        <w:t>Ralph — AI Research Assistant</w:t>
      </w:r>
    </w:p>
    <w:p>
      <w:pPr>
        <w:spacing w:before="0" w:after="100"/>
      </w:pPr>
      <w:r>
        <w:rPr>
          <w:rFonts w:ascii="Calibri" w:hAnsi="Calibri"/>
          <w:b/>
          <w:i w:val="0"/>
          <w:color w:val="262626"/>
          <w:sz w:val="21"/>
        </w:rPr>
        <w:t>Ralph</w:t>
      </w:r>
      <w:r>
        <w:rPr>
          <w:rFonts w:ascii="Calibri" w:hAnsi="Calibri"/>
          <w:b w:val="0"/>
          <w:i w:val="0"/>
          <w:color w:val="262626"/>
          <w:sz w:val="21"/>
        </w:rPr>
        <w:t xml:space="preserve"> is SCR Platform's conversational AI analyst — an intelligent assistant that answers complex investment questions by reasoning over the platform's entire document and data library. Unlike generic AI chatbots, Ralph uses Retrieval-Augmented Generation (RAG): every answer is grounded in documents that have been uploaded to the platform, with source citations on every response. Ralph cannot hallucinate facts that are not present in the underlying data. Conversations are multi-turn with full context retention, and responses can be streamed in real-time. Ralph understands the full investment context — financial models, legal documents, ESG reports, technical studies — and can synthesize across all of them in a single answer.</w:t>
      </w:r>
    </w:p>
    <w:p>
      <w:pPr>
        <w:spacing w:before="0" w:after="100"/>
      </w:pPr>
      <w:r>
        <w:rPr>
          <w:rFonts w:ascii="Calibri" w:hAnsi="Calibri"/>
          <w:b w:val="0"/>
          <w:i w:val="0"/>
          <w:color w:val="262626"/>
          <w:sz w:val="21"/>
        </w:rPr>
        <w:t>Ralph's capabilities are extended through 19 specialised tools that give it direct access to platform data and analytical functions. Ralph can retrieve signal scores and risk assessments, run portfolio metric queries, search for similar projects, calculate carbon credits and tax credit eligibility, model equity waterfall scenarios, generate report sections, and review legal documents — all within a single conversation thread. A sliding panel interface keeps Ralph accessible from any page of the platform, with context-aware suggestions that anticipate the user's next question based on the current page.</w:t>
      </w:r>
    </w:p>
    <w:p>
      <w:pPr>
        <w:spacing w:before="200" w:after="60"/>
      </w:pPr>
      <w:r>
        <w:rPr>
          <w:rFonts w:ascii="Calibri" w:hAnsi="Calibri"/>
          <w:b/>
          <w:i w:val="0"/>
          <w:color w:val="4172C4"/>
          <w:sz w:val="22"/>
        </w:rPr>
        <w:t>Multi-AI Architecture</w:t>
      </w:r>
    </w:p>
    <w:p>
      <w:pPr>
        <w:spacing w:before="0" w:after="100"/>
      </w:pPr>
      <w:r>
        <w:rPr>
          <w:rFonts w:ascii="Calibri" w:hAnsi="Calibri"/>
          <w:b w:val="0"/>
          <w:i w:val="0"/>
          <w:color w:val="262626"/>
          <w:sz w:val="21"/>
        </w:rPr>
        <w:t xml:space="preserve">SCR Platform routes AI tasks across five leading providers — </w:t>
      </w:r>
      <w:r>
        <w:rPr>
          <w:rFonts w:ascii="Calibri" w:hAnsi="Calibri"/>
          <w:b/>
          <w:i w:val="0"/>
          <w:color w:val="262626"/>
          <w:sz w:val="21"/>
        </w:rPr>
        <w:t>Anthropic's Claude</w:t>
      </w:r>
      <w:r>
        <w:rPr>
          <w:rFonts w:ascii="Calibri" w:hAnsi="Calibri"/>
          <w:b w:val="0"/>
          <w:i w:val="0"/>
          <w:color w:val="262626"/>
          <w:sz w:val="21"/>
        </w:rPr>
        <w:t xml:space="preserve">, </w:t>
      </w:r>
      <w:r>
        <w:rPr>
          <w:rFonts w:ascii="Calibri" w:hAnsi="Calibri"/>
          <w:b/>
          <w:i w:val="0"/>
          <w:color w:val="262626"/>
          <w:sz w:val="21"/>
        </w:rPr>
        <w:t>Google's Gemini</w:t>
      </w:r>
      <w:r>
        <w:rPr>
          <w:rFonts w:ascii="Calibri" w:hAnsi="Calibri"/>
          <w:b w:val="0"/>
          <w:i w:val="0"/>
          <w:color w:val="262626"/>
          <w:sz w:val="21"/>
        </w:rPr>
        <w:t xml:space="preserve">, </w:t>
      </w:r>
      <w:r>
        <w:rPr>
          <w:rFonts w:ascii="Calibri" w:hAnsi="Calibri"/>
          <w:b/>
          <w:i w:val="0"/>
          <w:color w:val="262626"/>
          <w:sz w:val="21"/>
        </w:rPr>
        <w:t>xAI's Grok</w:t>
      </w:r>
      <w:r>
        <w:rPr>
          <w:rFonts w:ascii="Calibri" w:hAnsi="Calibri"/>
          <w:b w:val="0"/>
          <w:i w:val="0"/>
          <w:color w:val="262626"/>
          <w:sz w:val="21"/>
        </w:rPr>
        <w:t xml:space="preserve">, </w:t>
      </w:r>
      <w:r>
        <w:rPr>
          <w:rFonts w:ascii="Calibri" w:hAnsi="Calibri"/>
          <w:b/>
          <w:i w:val="0"/>
          <w:color w:val="262626"/>
          <w:sz w:val="21"/>
        </w:rPr>
        <w:t>OpenAI's GPT-4o</w:t>
      </w:r>
      <w:r>
        <w:rPr>
          <w:rFonts w:ascii="Calibri" w:hAnsi="Calibri"/>
          <w:b w:val="0"/>
          <w:i w:val="0"/>
          <w:color w:val="262626"/>
          <w:sz w:val="21"/>
        </w:rPr>
        <w:t xml:space="preserve">, and </w:t>
      </w:r>
      <w:r>
        <w:rPr>
          <w:rFonts w:ascii="Calibri" w:hAnsi="Calibri"/>
          <w:b/>
          <w:i w:val="0"/>
          <w:color w:val="262626"/>
          <w:sz w:val="21"/>
        </w:rPr>
        <w:t>DeepSeek</w:t>
      </w:r>
      <w:r>
        <w:rPr>
          <w:rFonts w:ascii="Calibri" w:hAnsi="Calibri"/>
          <w:b w:val="0"/>
          <w:i w:val="0"/>
          <w:color w:val="262626"/>
          <w:sz w:val="21"/>
        </w:rPr>
        <w:t xml:space="preserve"> — matching each of the 78 distinct task types to the model best suited for that specific job. Frontier models (Claude Opus) handle the highest-stakes tasks: project quality scoring, investment memo generation, and risk assessment. Long-document processing (legal contract review, transaction analysis) leverages Gemini's 1 million token context window. High-volume extraction tasks (document classification, KPI extraction, screener query parsing) are routed to Grok for speed and cost efficiency. Vision-based tasks (OCR on scanned documents) use GPT-4o's vision capabilities. DeepSeek handles non-sensitive, cost-optimised tasks such as digest generation and note enrichment — with an enforced policy preventing any confidential document content from being sent to DeepSeek's infrastructure.</w:t>
      </w:r>
    </w:p>
    <w:p>
      <w:pPr>
        <w:spacing w:before="0" w:after="100"/>
      </w:pPr>
      <w:r>
        <w:rPr>
          <w:rFonts w:ascii="Calibri" w:hAnsi="Calibri"/>
          <w:b w:val="0"/>
          <w:i w:val="0"/>
          <w:color w:val="262626"/>
          <w:sz w:val="21"/>
        </w:rPr>
        <w:t>Every routing rule includes an automatic fallback model: if a primary provider is unavailable or returns an error, the request is transparently rerouted to the designated fallback. This multi-provider architecture eliminates single-provider dependency risk and enables continuous optimisation of cost versus quality as the AI landscape evolves.</w:t>
      </w:r>
    </w:p>
    <w:p>
      <w:pPr>
        <w:spacing w:before="200" w:after="60"/>
      </w:pPr>
      <w:r>
        <w:rPr>
          <w:rFonts w:ascii="Calibri" w:hAnsi="Calibri"/>
          <w:b/>
          <w:i w:val="0"/>
          <w:color w:val="4172C4"/>
          <w:sz w:val="22"/>
        </w:rPr>
        <w:t>AI Feedback &amp; Continuous Quality Improvement</w:t>
      </w:r>
    </w:p>
    <w:p>
      <w:pPr>
        <w:spacing w:before="0" w:after="100"/>
      </w:pPr>
      <w:r>
        <w:rPr>
          <w:rFonts w:ascii="Calibri" w:hAnsi="Calibri"/>
          <w:b w:val="0"/>
          <w:i w:val="0"/>
          <w:color w:val="262626"/>
          <w:sz w:val="21"/>
        </w:rPr>
        <w:t>AI outputs on seven key platform pages — signal scoring, valuations, risk analysis, legal review, meeting preparation, investor signal scoring, and carbon analysis — include a feedback mechanism that allows users to rate the quality of the AI response. Feedback is tracked at the organization level, building a quality dataset that informs prompt improvement cycles. Organization-level AI quality dashboards enable platform administrators to identify systematic issues with specific task types.</w:t>
      </w:r>
    </w:p>
    <w:p>
      <w:pPr>
        <w:spacing w:before="200" w:after="60"/>
      </w:pPr>
      <w:r>
        <w:rPr>
          <w:rFonts w:ascii="Calibri" w:hAnsi="Calibri"/>
          <w:b/>
          <w:i w:val="0"/>
          <w:color w:val="4172C4"/>
          <w:sz w:val="22"/>
        </w:rPr>
        <w:t>Prompt Registry — Managed AI Behaviour</w:t>
      </w:r>
    </w:p>
    <w:p>
      <w:pPr>
        <w:spacing w:before="0" w:after="100"/>
      </w:pPr>
      <w:r>
        <w:rPr>
          <w:rFonts w:ascii="Calibri" w:hAnsi="Calibri"/>
          <w:b w:val="0"/>
          <w:i w:val="0"/>
          <w:color w:val="262626"/>
          <w:sz w:val="21"/>
        </w:rPr>
        <w:t xml:space="preserve">Every AI task on the platform uses a centrally managed, versioned prompt maintained in the </w:t>
      </w:r>
      <w:r>
        <w:rPr>
          <w:rFonts w:ascii="Calibri" w:hAnsi="Calibri"/>
          <w:b/>
          <w:i w:val="0"/>
          <w:color w:val="262626"/>
          <w:sz w:val="21"/>
        </w:rPr>
        <w:t>Prompt Registry</w:t>
      </w:r>
      <w:r>
        <w:rPr>
          <w:rFonts w:ascii="Calibri" w:hAnsi="Calibri"/>
          <w:b w:val="0"/>
          <w:i w:val="0"/>
          <w:color w:val="262626"/>
          <w:sz w:val="21"/>
        </w:rPr>
        <w:t>. Platform administrators can edit the instructions given to any AI model through the admin interface — without requiring engineering changes or redeployments. The registry supports A/B testing: two prompt versions can be run simultaneously across different organisation cohorts, with quality metrics compared to identify the superior version. A complete audit trail of every prompt change — who changed it, when, and what it changed from and to — is maintained for governance purposes.</w:t>
      </w:r>
    </w:p>
    <w:p>
      <w:pPr>
        <w:spacing w:before="200" w:after="60"/>
      </w:pPr>
      <w:r>
        <w:rPr>
          <w:rFonts w:ascii="Calibri" w:hAnsi="Calibri"/>
          <w:b/>
          <w:i w:val="0"/>
          <w:color w:val="4172C4"/>
          <w:sz w:val="22"/>
        </w:rPr>
        <w:t>Risk Analysis</w:t>
      </w:r>
    </w:p>
    <w:p>
      <w:pPr>
        <w:spacing w:before="0" w:after="100"/>
      </w:pPr>
      <w:r>
        <w:rPr>
          <w:rFonts w:ascii="Calibri" w:hAnsi="Calibri"/>
          <w:b w:val="0"/>
          <w:i w:val="0"/>
          <w:color w:val="262626"/>
          <w:sz w:val="21"/>
        </w:rPr>
        <w:t xml:space="preserve">The </w:t>
      </w:r>
      <w:r>
        <w:rPr>
          <w:rFonts w:ascii="Calibri" w:hAnsi="Calibri"/>
          <w:b/>
          <w:i w:val="0"/>
          <w:color w:val="262626"/>
          <w:sz w:val="21"/>
        </w:rPr>
        <w:t>Risk</w:t>
      </w:r>
      <w:r>
        <w:rPr>
          <w:rFonts w:ascii="Calibri" w:hAnsi="Calibri"/>
          <w:b w:val="0"/>
          <w:i w:val="0"/>
          <w:color w:val="262626"/>
          <w:sz w:val="21"/>
        </w:rPr>
        <w:t xml:space="preserve"> module provides structured, AI-assisted risk assessment for individual projects and across portfolios. Risk profiles are assessed across technical, financial, regulatory, ESG, and market dimensions, with AI identifying mitigation strategies for each flagged risk. The Stress Testing feature models portfolio performance under defined adverse scenarios, enabling fund managers to quantify downside exposure before it materialises.</w:t>
      </w:r>
    </w:p>
    <w:p>
      <w:pPr>
        <w:spacing w:before="200" w:after="60"/>
      </w:pPr>
      <w:r>
        <w:rPr>
          <w:rFonts w:ascii="Calibri" w:hAnsi="Calibri"/>
          <w:b/>
          <w:i w:val="0"/>
          <w:color w:val="4172C4"/>
          <w:sz w:val="22"/>
        </w:rPr>
        <w:t>Legal Document Intelligence</w:t>
      </w:r>
    </w:p>
    <w:p>
      <w:pPr>
        <w:spacing w:before="0" w:after="100"/>
      </w:pPr>
      <w:r>
        <w:rPr>
          <w:rFonts w:ascii="Calibri" w:hAnsi="Calibri"/>
          <w:b w:val="0"/>
          <w:i w:val="0"/>
          <w:color w:val="262626"/>
          <w:sz w:val="21"/>
        </w:rPr>
        <w:t xml:space="preserve">The </w:t>
      </w:r>
      <w:r>
        <w:rPr>
          <w:rFonts w:ascii="Calibri" w:hAnsi="Calibri"/>
          <w:b/>
          <w:i w:val="0"/>
          <w:color w:val="262626"/>
          <w:sz w:val="21"/>
        </w:rPr>
        <w:t>Legal</w:t>
      </w:r>
      <w:r>
        <w:rPr>
          <w:rFonts w:ascii="Calibri" w:hAnsi="Calibri"/>
          <w:b w:val="0"/>
          <w:i w:val="0"/>
          <w:color w:val="262626"/>
          <w:sz w:val="21"/>
        </w:rPr>
        <w:t xml:space="preserve"> module applies AI review to legal documents — term sheets, NDAs, subscription agreements, PPAs, and side letters. The AI identifies key clauses, flags unusual or potentially problematic terms, extracts material conditions and obligations, and assesses document completeness against standard templates. AI-generated document templates are available for the five most common transaction document types, customisable to organisational requirements.</w:t>
      </w:r>
    </w:p>
    <w:p>
      <w:pPr>
        <w:spacing w:before="200" w:after="60"/>
      </w:pPr>
      <w:r>
        <w:rPr>
          <w:rFonts w:ascii="Calibri" w:hAnsi="Calibri"/>
          <w:b/>
          <w:i w:val="0"/>
          <w:color w:val="4172C4"/>
          <w:sz w:val="22"/>
        </w:rPr>
        <w:t>Carbon Credits &amp; ESG Analysis</w:t>
      </w:r>
    </w:p>
    <w:p>
      <w:pPr>
        <w:spacing w:before="0" w:after="100"/>
      </w:pPr>
      <w:r>
        <w:rPr>
          <w:rFonts w:ascii="Calibri" w:hAnsi="Calibri"/>
          <w:b w:val="0"/>
          <w:i w:val="0"/>
          <w:color w:val="262626"/>
          <w:sz w:val="21"/>
        </w:rPr>
        <w:t xml:space="preserve">The </w:t>
      </w:r>
      <w:r>
        <w:rPr>
          <w:rFonts w:ascii="Calibri" w:hAnsi="Calibri"/>
          <w:b/>
          <w:i w:val="0"/>
          <w:color w:val="262626"/>
          <w:sz w:val="21"/>
        </w:rPr>
        <w:t>Carbon Credits</w:t>
      </w:r>
      <w:r>
        <w:rPr>
          <w:rFonts w:ascii="Calibri" w:hAnsi="Calibri"/>
          <w:b w:val="0"/>
          <w:i w:val="0"/>
          <w:color w:val="262626"/>
          <w:sz w:val="21"/>
        </w:rPr>
        <w:t xml:space="preserve"> module calculates projected carbon offset volumes for renewable energy and impact projects, supporting carbon credit certification tracking and registry linkage. The </w:t>
      </w:r>
      <w:r>
        <w:rPr>
          <w:rFonts w:ascii="Calibri" w:hAnsi="Calibri"/>
          <w:b/>
          <w:i w:val="0"/>
          <w:color w:val="262626"/>
          <w:sz w:val="21"/>
        </w:rPr>
        <w:t>ESG</w:t>
      </w:r>
      <w:r>
        <w:rPr>
          <w:rFonts w:ascii="Calibri" w:hAnsi="Calibri"/>
          <w:b w:val="0"/>
          <w:i w:val="0"/>
          <w:color w:val="262626"/>
          <w:sz w:val="21"/>
        </w:rPr>
        <w:t xml:space="preserve"> module provides portfolio-level ESG dashboards, taxonomy alignment assessment (NACE/GICS cross-referenced), and AI-generated ESG narrative sections for LP reporting. Impact metrics are tracked across social, environmental, and economic dimensions, with SDG alignment mapping for each project.</w:t>
      </w:r>
    </w:p>
    <w:p>
      <w:pPr>
        <w:spacing w:before="200" w:after="60"/>
      </w:pPr>
      <w:r>
        <w:rPr>
          <w:rFonts w:ascii="Calibri" w:hAnsi="Calibri"/>
          <w:b/>
          <w:i w:val="0"/>
          <w:color w:val="4172C4"/>
          <w:sz w:val="22"/>
        </w:rPr>
        <w:t>Valuation &amp; Financial Modelling</w:t>
      </w:r>
    </w:p>
    <w:p>
      <w:pPr>
        <w:spacing w:before="0" w:after="100"/>
      </w:pPr>
      <w:r>
        <w:rPr>
          <w:rFonts w:ascii="Calibri" w:hAnsi="Calibri"/>
          <w:b w:val="0"/>
          <w:i w:val="0"/>
          <w:color w:val="262626"/>
          <w:sz w:val="21"/>
        </w:rPr>
        <w:t xml:space="preserve">SCR Platform provides multiple integrated financial analysis tools: a </w:t>
      </w:r>
      <w:r>
        <w:rPr>
          <w:rFonts w:ascii="Calibri" w:hAnsi="Calibri"/>
          <w:b/>
          <w:i w:val="0"/>
          <w:color w:val="262626"/>
          <w:sz w:val="21"/>
        </w:rPr>
        <w:t>Valuation</w:t>
      </w:r>
      <w:r>
        <w:rPr>
          <w:rFonts w:ascii="Calibri" w:hAnsi="Calibri"/>
          <w:b w:val="0"/>
          <w:i w:val="0"/>
          <w:color w:val="262626"/>
          <w:sz w:val="21"/>
        </w:rPr>
        <w:t xml:space="preserve"> module for formal appraisals, an </w:t>
      </w:r>
      <w:r>
        <w:rPr>
          <w:rFonts w:ascii="Calibri" w:hAnsi="Calibri"/>
          <w:b/>
          <w:i w:val="0"/>
          <w:color w:val="262626"/>
          <w:sz w:val="21"/>
        </w:rPr>
        <w:t>Equity Calculator</w:t>
      </w:r>
      <w:r>
        <w:rPr>
          <w:rFonts w:ascii="Calibri" w:hAnsi="Calibri"/>
          <w:b w:val="0"/>
          <w:i w:val="0"/>
          <w:color w:val="262626"/>
          <w:sz w:val="21"/>
        </w:rPr>
        <w:t xml:space="preserve"> for waterfall modelling, a Value Quantifier for asset worth estimation, Capital Efficiency analysis, Financial Model Templates for standardised projections, and </w:t>
      </w:r>
      <w:r>
        <w:rPr>
          <w:rFonts w:ascii="Calibri" w:hAnsi="Calibri"/>
          <w:b/>
          <w:i w:val="0"/>
          <w:color w:val="262626"/>
          <w:sz w:val="21"/>
        </w:rPr>
        <w:t>Tax Credit Analysis</w:t>
      </w:r>
      <w:r>
        <w:rPr>
          <w:rFonts w:ascii="Calibri" w:hAnsi="Calibri"/>
          <w:b w:val="0"/>
          <w:i w:val="0"/>
          <w:color w:val="262626"/>
          <w:sz w:val="21"/>
        </w:rPr>
        <w:t xml:space="preserve"> for investment incentive quantification. Financial calculations throughout the platform are deterministic Python — no financial figure is ever generated by AI inference alone.</w:t>
      </w:r>
    </w:p>
    <w:p>
      <w:pPr>
        <w:spacing w:before="280" w:after="80"/>
      </w:pPr>
      <w:r>
        <w:rPr>
          <w:rFonts w:ascii="Calibri" w:hAnsi="Calibri"/>
          <w:b/>
          <w:i w:val="0"/>
          <w:color w:val="2F5496"/>
          <w:sz w:val="26"/>
        </w:rPr>
        <w:t>4D. Portfolio Management</w:t>
      </w:r>
    </w:p>
    <w:p>
      <w:pPr>
        <w:spacing w:before="200" w:after="60"/>
      </w:pPr>
      <w:r>
        <w:rPr>
          <w:rFonts w:ascii="Calibri" w:hAnsi="Calibri"/>
          <w:b/>
          <w:i w:val="0"/>
          <w:color w:val="4172C4"/>
          <w:sz w:val="22"/>
        </w:rPr>
        <w:t>Metric Snapshots &amp; Trend Analysis</w:t>
      </w:r>
    </w:p>
    <w:p>
      <w:pPr>
        <w:spacing w:before="0" w:after="100"/>
      </w:pPr>
      <w:r>
        <w:rPr>
          <w:rFonts w:ascii="Calibri" w:hAnsi="Calibri"/>
          <w:b w:val="0"/>
          <w:i w:val="0"/>
          <w:color w:val="262626"/>
          <w:sz w:val="21"/>
        </w:rPr>
        <w:t>Every night, the platform captures a snapshot of all key metrics for every project in the portfolio, building a continuously growing historical database of project performance. These daily snapshots power the trend analysis views across the platform — showing how any metric has evolved over time, identifying inflection points, and detecting anomalous movements. Portfolio managers no longer need to reconstruct historical performance from scattered spreadsheet versions; the platform maintains a complete, queryable time series for every tracked metric.</w:t>
      </w:r>
    </w:p>
    <w:p>
      <w:pPr>
        <w:spacing w:before="200" w:after="60"/>
      </w:pPr>
      <w:r>
        <w:rPr>
          <w:rFonts w:ascii="Calibri" w:hAnsi="Calibri"/>
          <w:b/>
          <w:i w:val="0"/>
          <w:color w:val="4172C4"/>
          <w:sz w:val="22"/>
        </w:rPr>
        <w:t>Benchmark Framework</w:t>
      </w:r>
    </w:p>
    <w:p>
      <w:pPr>
        <w:spacing w:before="0" w:after="100"/>
      </w:pPr>
      <w:r>
        <w:rPr>
          <w:rFonts w:ascii="Calibri" w:hAnsi="Calibri"/>
          <w:b w:val="0"/>
          <w:i w:val="0"/>
          <w:color w:val="262626"/>
          <w:sz w:val="21"/>
        </w:rPr>
        <w:t xml:space="preserve">The </w:t>
      </w:r>
      <w:r>
        <w:rPr>
          <w:rFonts w:ascii="Calibri" w:hAnsi="Calibri"/>
          <w:b/>
          <w:i w:val="0"/>
          <w:color w:val="262626"/>
          <w:sz w:val="21"/>
        </w:rPr>
        <w:t>Benchmarking</w:t>
      </w:r>
      <w:r>
        <w:rPr>
          <w:rFonts w:ascii="Calibri" w:hAnsi="Calibri"/>
          <w:b w:val="0"/>
          <w:i w:val="0"/>
          <w:color w:val="262626"/>
          <w:sz w:val="21"/>
        </w:rPr>
        <w:t xml:space="preserve"> system computes nightly aggregates across the platform's anonymised dataset, enabling any project to be positioned against a relevant peer group. Benchmark views show quartile positioning — 'Your solar project's IRR sits at the 75th percentile of comparable assets in the same geography and vintage year' — with J-curve comparison and vintage-year analysis for fund-level benchmarking. Platform administrators can configure custom benchmark definitions for specific asset classes, geographies, or fund strategies.</w:t>
      </w:r>
    </w:p>
    <w:p>
      <w:pPr>
        <w:spacing w:before="200" w:after="60"/>
      </w:pPr>
      <w:r>
        <w:rPr>
          <w:rFonts w:ascii="Calibri" w:hAnsi="Calibri"/>
          <w:b/>
          <w:i w:val="0"/>
          <w:color w:val="4172C4"/>
          <w:sz w:val="22"/>
        </w:rPr>
        <w:t>Covenant &amp; KPI Monitoring</w:t>
      </w:r>
    </w:p>
    <w:p>
      <w:pPr>
        <w:spacing w:before="0" w:after="100"/>
      </w:pPr>
      <w:r>
        <w:rPr>
          <w:rFonts w:ascii="Calibri" w:hAnsi="Calibri"/>
          <w:b w:val="0"/>
          <w:i w:val="0"/>
          <w:color w:val="262626"/>
          <w:sz w:val="21"/>
        </w:rPr>
        <w:t>The Monitoring module enables fund managers to define financial and operational covenants for each investment and automates their daily verification against the latest available data. The system operates on a three-state model: Compliant, Warning (approaching threshold), and Breach. Instant notifications are sent to the responsible portfolio manager whenever any covenant changes state. A historical covenant compliance timeline shows when each covenant was compliant, in warning, and in breach — supporting board reporting and LP transparency obligations. Custom KPI tracking extends beyond covenants to any metric the fund manager wishes to monitor continuously.</w:t>
      </w:r>
    </w:p>
    <w:p>
      <w:pPr>
        <w:spacing w:before="200" w:after="60"/>
      </w:pPr>
      <w:r>
        <w:rPr>
          <w:rFonts w:ascii="Calibri" w:hAnsi="Calibri"/>
          <w:b/>
          <w:i w:val="0"/>
          <w:color w:val="4172C4"/>
          <w:sz w:val="22"/>
        </w:rPr>
        <w:t>Cashflow Pacing Model</w:t>
      </w:r>
    </w:p>
    <w:p>
      <w:pPr>
        <w:spacing w:before="0" w:after="100"/>
      </w:pPr>
      <w:r>
        <w:rPr>
          <w:rFonts w:ascii="Calibri" w:hAnsi="Calibri"/>
          <w:b w:val="0"/>
          <w:i w:val="0"/>
          <w:color w:val="262626"/>
          <w:sz w:val="21"/>
        </w:rPr>
        <w:t xml:space="preserve">The </w:t>
      </w:r>
      <w:r>
        <w:rPr>
          <w:rFonts w:ascii="Calibri" w:hAnsi="Calibri"/>
          <w:b/>
          <w:i w:val="0"/>
          <w:color w:val="262626"/>
          <w:sz w:val="21"/>
        </w:rPr>
        <w:t>Pacing</w:t>
      </w:r>
      <w:r>
        <w:rPr>
          <w:rFonts w:ascii="Calibri" w:hAnsi="Calibri"/>
          <w:b w:val="0"/>
          <w:i w:val="0"/>
          <w:color w:val="262626"/>
          <w:sz w:val="21"/>
        </w:rPr>
        <w:t xml:space="preserve"> module models projected capital drawdowns and distributions over the full fund life, producing the J-curve analysis that LPs and fund administrators require. Scenario analysis supports base case, upside, and downside projections, with asset-class-specific default assumptions built in for solar, wind, real estate, and infrastructure. Actual capital flow is tracked against the projected pacing model, with variance highlighted automatically. Pacing reports are generated in LP-ready format, integrating directly into the automated LP report workflow.</w:t>
      </w:r>
    </w:p>
    <w:p>
      <w:pPr>
        <w:spacing w:before="200" w:after="60"/>
      </w:pPr>
      <w:r>
        <w:rPr>
          <w:rFonts w:ascii="Calibri" w:hAnsi="Calibri"/>
          <w:b/>
          <w:i w:val="0"/>
          <w:color w:val="4172C4"/>
          <w:sz w:val="22"/>
        </w:rPr>
        <w:t>Score Explainability — 'What Changed?'</w:t>
      </w:r>
    </w:p>
    <w:p>
      <w:pPr>
        <w:spacing w:before="0" w:after="100"/>
      </w:pPr>
      <w:r>
        <w:rPr>
          <w:rFonts w:ascii="Calibri" w:hAnsi="Calibri"/>
          <w:b w:val="0"/>
          <w:i w:val="0"/>
          <w:color w:val="262626"/>
          <w:sz w:val="21"/>
        </w:rPr>
        <w:t xml:space="preserve">The </w:t>
      </w:r>
      <w:r>
        <w:rPr>
          <w:rFonts w:ascii="Calibri" w:hAnsi="Calibri"/>
          <w:b/>
          <w:i w:val="0"/>
          <w:color w:val="262626"/>
          <w:sz w:val="21"/>
        </w:rPr>
        <w:t>Score Explainability</w:t>
      </w:r>
      <w:r>
        <w:rPr>
          <w:rFonts w:ascii="Calibri" w:hAnsi="Calibri"/>
          <w:b w:val="0"/>
          <w:i w:val="0"/>
          <w:color w:val="262626"/>
          <w:sz w:val="21"/>
        </w:rPr>
        <w:t xml:space="preserve"> feature answers the question that portfolio managers ask most frequently after a signal score update: 'What changed?' A timestamped timeline shows every score change event with a plain-English explanation of which factors drove the movement — e.g., 'Financial Planning score increased by 8 points: detailed financial projections uploaded and validated.' This transparency allows portfolio managers to investigate score movements rapidly, understand the impact of project developments on the investment thesis, and respond proactively to deteriorating trends.</w:t>
      </w:r>
    </w:p>
    <w:p>
      <w:pPr>
        <w:spacing w:before="200" w:after="60"/>
      </w:pPr>
      <w:r>
        <w:rPr>
          <w:rFonts w:ascii="Calibri" w:hAnsi="Calibri"/>
          <w:b/>
          <w:i w:val="0"/>
          <w:color w:val="4172C4"/>
          <w:sz w:val="22"/>
        </w:rPr>
        <w:t>Score Backtesting &amp; Accuracy Validation</w:t>
      </w:r>
    </w:p>
    <w:p>
      <w:pPr>
        <w:spacing w:before="0" w:after="100"/>
      </w:pPr>
      <w:r>
        <w:rPr>
          <w:rFonts w:ascii="Calibri" w:hAnsi="Calibri"/>
          <w:b w:val="0"/>
          <w:i w:val="0"/>
          <w:color w:val="262626"/>
          <w:sz w:val="21"/>
        </w:rPr>
        <w:t xml:space="preserve">The </w:t>
      </w:r>
      <w:r>
        <w:rPr>
          <w:rFonts w:ascii="Calibri" w:hAnsi="Calibri"/>
          <w:b/>
          <w:i w:val="0"/>
          <w:color w:val="262626"/>
          <w:sz w:val="21"/>
        </w:rPr>
        <w:t>Backtesting</w:t>
      </w:r>
      <w:r>
        <w:rPr>
          <w:rFonts w:ascii="Calibri" w:hAnsi="Calibri"/>
          <w:b w:val="0"/>
          <w:i w:val="0"/>
          <w:color w:val="262626"/>
          <w:sz w:val="21"/>
        </w:rPr>
        <w:t xml:space="preserve"> module tests Signal Score predictions against historical deal outcomes, calculating standard accuracy metrics including AUC-ROC, precision, and recall. This produces a statistically defensible measure of the score's predictive value — enabling fund managers to present to LPs and investment committees with quantified evidence that the scoring system works: projects scoring above specific thresholds have demonstrated materially higher success rates in the historical dataset.</w:t>
      </w:r>
    </w:p>
    <w:p>
      <w:pPr>
        <w:spacing w:before="200" w:after="60"/>
      </w:pPr>
      <w:r>
        <w:rPr>
          <w:rFonts w:ascii="Calibri" w:hAnsi="Calibri"/>
          <w:b/>
          <w:i w:val="0"/>
          <w:color w:val="4172C4"/>
          <w:sz w:val="22"/>
        </w:rPr>
        <w:t>Portfolio Overview &amp; Company Tracking</w:t>
      </w:r>
    </w:p>
    <w:p>
      <w:pPr>
        <w:spacing w:before="0" w:after="100"/>
      </w:pPr>
      <w:r>
        <w:rPr>
          <w:rFonts w:ascii="Calibri" w:hAnsi="Calibri"/>
          <w:b w:val="0"/>
          <w:i w:val="0"/>
          <w:color w:val="262626"/>
          <w:sz w:val="21"/>
        </w:rPr>
        <w:t xml:space="preserve">The </w:t>
      </w:r>
      <w:r>
        <w:rPr>
          <w:rFonts w:ascii="Calibri" w:hAnsi="Calibri"/>
          <w:b/>
          <w:i w:val="0"/>
          <w:color w:val="262626"/>
          <w:sz w:val="21"/>
        </w:rPr>
        <w:t>Portfolio</w:t>
      </w:r>
      <w:r>
        <w:rPr>
          <w:rFonts w:ascii="Calibri" w:hAnsi="Calibri"/>
          <w:b w:val="0"/>
          <w:i w:val="0"/>
          <w:color w:val="262626"/>
          <w:sz w:val="21"/>
        </w:rPr>
        <w:t xml:space="preserve"> module provides a consolidated view of all fund holdings, with company-level pages drilling into individual asset performance. Portfolio analytics — deal flow analysis, sector concentration, geographic distribution, vintage year performance, and attribution by asset class — are available in dedicated analytics views.</w:t>
      </w:r>
    </w:p>
    <w:p>
      <w:pPr>
        <w:spacing w:before="280" w:after="80"/>
      </w:pPr>
      <w:r>
        <w:rPr>
          <w:rFonts w:ascii="Calibri" w:hAnsi="Calibri"/>
          <w:b/>
          <w:i w:val="0"/>
          <w:color w:val="2F5496"/>
          <w:sz w:val="26"/>
        </w:rPr>
        <w:t>4E. LP Reporting &amp; Communication</w:t>
      </w:r>
    </w:p>
    <w:p>
      <w:pPr>
        <w:spacing w:before="200" w:after="60"/>
      </w:pPr>
      <w:r>
        <w:rPr>
          <w:rFonts w:ascii="Calibri" w:hAnsi="Calibri"/>
          <w:b/>
          <w:i w:val="0"/>
          <w:color w:val="4172C4"/>
          <w:sz w:val="22"/>
        </w:rPr>
        <w:t>Automated LP Reports</w:t>
      </w:r>
    </w:p>
    <w:p>
      <w:pPr>
        <w:spacing w:before="0" w:after="100"/>
      </w:pPr>
      <w:r>
        <w:rPr>
          <w:rFonts w:ascii="Calibri" w:hAnsi="Calibri"/>
          <w:b w:val="0"/>
          <w:i w:val="0"/>
          <w:color w:val="262626"/>
          <w:sz w:val="21"/>
        </w:rPr>
        <w:t>SCR Platform automates the most time-consuming element of fund administration: LP report production. Reports are generated from eight system templates covering quarterly performance, annual fund summaries, ESG impact, project status, deal memos, carbon credits, investor signal scoring, and legal review summaries. Each template is fully configurable per fund and LP type, with sections that draw automatically from live platform data — performance metrics, benchmark positions, covenant status, ESG scores, pacing analysis, and expert commentary. Output formats include PDF, Excel, and PowerPoint, enabling distribution in whichever format LPs prefer. Scheduled report generation runs automatically at configured frequencies (daily through annually), eliminating the need to manually trigger each reporting cycle.</w:t>
      </w:r>
    </w:p>
    <w:p>
      <w:pPr>
        <w:spacing w:before="200" w:after="60"/>
      </w:pPr>
      <w:r>
        <w:rPr>
          <w:rFonts w:ascii="Calibri" w:hAnsi="Calibri"/>
          <w:b/>
          <w:i w:val="0"/>
          <w:color w:val="4172C4"/>
          <w:sz w:val="22"/>
        </w:rPr>
        <w:t>Q&amp;A Workflow</w:t>
      </w:r>
    </w:p>
    <w:p>
      <w:pPr>
        <w:spacing w:before="0" w:after="100"/>
      </w:pPr>
      <w:r>
        <w:rPr>
          <w:rFonts w:ascii="Calibri" w:hAnsi="Calibri"/>
          <w:b w:val="0"/>
          <w:i w:val="0"/>
          <w:color w:val="262626"/>
          <w:sz w:val="21"/>
        </w:rPr>
        <w:t xml:space="preserve">The </w:t>
      </w:r>
      <w:r>
        <w:rPr>
          <w:rFonts w:ascii="Calibri" w:hAnsi="Calibri"/>
          <w:b/>
          <w:i w:val="0"/>
          <w:color w:val="262626"/>
          <w:sz w:val="21"/>
        </w:rPr>
        <w:t>Q&amp;A Workflow</w:t>
      </w:r>
      <w:r>
        <w:rPr>
          <w:rFonts w:ascii="Calibri" w:hAnsi="Calibri"/>
          <w:b w:val="0"/>
          <w:i w:val="0"/>
          <w:color w:val="262626"/>
          <w:sz w:val="21"/>
        </w:rPr>
        <w:t xml:space="preserve"> module provides a structured, auditable channel for questions between deal parties — between LPs and the fund team, between investors and project developers, or within the deal team during due diligence. Each question is assigned to the appropriate respondent with a defined SLA deadline. The system checks SLA compliance every 30 minutes and escalates overdue items automatically. AI-suggested answers are generated from the relevant document context, reducing response preparation time. The complete Q&amp;A history is retained and audit-logged, providing a traceable record of all deal communications.</w:t>
      </w:r>
    </w:p>
    <w:p>
      <w:pPr>
        <w:spacing w:before="200" w:after="60"/>
      </w:pPr>
      <w:r>
        <w:rPr>
          <w:rFonts w:ascii="Calibri" w:hAnsi="Calibri"/>
          <w:b/>
          <w:i w:val="0"/>
          <w:color w:val="4172C4"/>
          <w:sz w:val="22"/>
        </w:rPr>
        <w:t>Notification Digest</w:t>
      </w:r>
    </w:p>
    <w:p>
      <w:pPr>
        <w:spacing w:before="0" w:after="100"/>
      </w:pPr>
      <w:r>
        <w:rPr>
          <w:rFonts w:ascii="Calibri" w:hAnsi="Calibri"/>
          <w:b w:val="0"/>
          <w:i w:val="0"/>
          <w:color w:val="262626"/>
          <w:sz w:val="21"/>
        </w:rPr>
        <w:t>The Digest system delivers personalised activity summaries to platform users at their preferred frequency. Each digest is AI-generated from the user's recent platform activity, summarising new documents uploaded, signal score changes, covenant alerts, Q&amp;A exchanges, and matching updates — all in a concise, readable format. Digest frequency and content preferences are configurable per user.</w:t>
      </w:r>
    </w:p>
    <w:p>
      <w:pPr>
        <w:spacing w:before="200" w:after="60"/>
      </w:pPr>
      <w:r>
        <w:rPr>
          <w:rFonts w:ascii="Calibri" w:hAnsi="Calibri"/>
          <w:b/>
          <w:i w:val="0"/>
          <w:color w:val="4172C4"/>
          <w:sz w:val="22"/>
        </w:rPr>
        <w:t>Engagement Analytics</w:t>
      </w:r>
    </w:p>
    <w:p>
      <w:pPr>
        <w:spacing w:before="0" w:after="100"/>
      </w:pPr>
      <w:r>
        <w:rPr>
          <w:rFonts w:ascii="Calibri" w:hAnsi="Calibri"/>
          <w:b w:val="0"/>
          <w:i w:val="0"/>
          <w:color w:val="262626"/>
          <w:sz w:val="21"/>
        </w:rPr>
        <w:t xml:space="preserve">The </w:t>
      </w:r>
      <w:r>
        <w:rPr>
          <w:rFonts w:ascii="Calibri" w:hAnsi="Calibri"/>
          <w:b/>
          <w:i w:val="0"/>
          <w:color w:val="262626"/>
          <w:sz w:val="21"/>
        </w:rPr>
        <w:t>Engagement Analytics</w:t>
      </w:r>
      <w:r>
        <w:rPr>
          <w:rFonts w:ascii="Calibri" w:hAnsi="Calibri"/>
          <w:b w:val="0"/>
          <w:i w:val="0"/>
          <w:color w:val="262626"/>
          <w:sz w:val="21"/>
        </w:rPr>
        <w:t xml:space="preserve"> module tracks detailed user interaction data across the platform — document views, page time, feature usage, and collaboration activity — providing fund managers with insight into how LPs and deal counterparties are engaging with shared materials. This data supports investor relations strategy and helps identify LPs who are actively reviewing materials versus those who are not engaging.</w:t>
      </w:r>
    </w:p>
    <w:p>
      <w:pPr>
        <w:spacing w:before="280" w:after="80"/>
      </w:pPr>
      <w:r>
        <w:rPr>
          <w:rFonts w:ascii="Calibri" w:hAnsi="Calibri"/>
          <w:b/>
          <w:i w:val="0"/>
          <w:color w:val="2F5496"/>
          <w:sz w:val="26"/>
        </w:rPr>
        <w:t>4F. Expert Insights &amp; Knowledge Management</w:t>
      </w:r>
    </w:p>
    <w:p>
      <w:pPr>
        <w:spacing w:before="200" w:after="60"/>
      </w:pPr>
      <w:r>
        <w:rPr>
          <w:rFonts w:ascii="Calibri" w:hAnsi="Calibri"/>
          <w:b/>
          <w:i w:val="0"/>
          <w:color w:val="4172C4"/>
          <w:sz w:val="22"/>
        </w:rPr>
        <w:t>Expert Notes System</w:t>
      </w:r>
    </w:p>
    <w:p>
      <w:pPr>
        <w:spacing w:before="0" w:after="100"/>
      </w:pPr>
      <w:r>
        <w:rPr>
          <w:rFonts w:ascii="Calibri" w:hAnsi="Calibri"/>
          <w:b w:val="0"/>
          <w:i w:val="0"/>
          <w:color w:val="262626"/>
          <w:sz w:val="21"/>
        </w:rPr>
        <w:t xml:space="preserve">The </w:t>
      </w:r>
      <w:r>
        <w:rPr>
          <w:rFonts w:ascii="Calibri" w:hAnsi="Calibri"/>
          <w:b/>
          <w:i w:val="0"/>
          <w:color w:val="262626"/>
          <w:sz w:val="21"/>
        </w:rPr>
        <w:t>Expert Insights</w:t>
      </w:r>
      <w:r>
        <w:rPr>
          <w:rFonts w:ascii="Calibri" w:hAnsi="Calibri"/>
          <w:b w:val="0"/>
          <w:i w:val="0"/>
          <w:color w:val="262626"/>
          <w:sz w:val="21"/>
        </w:rPr>
        <w:t xml:space="preserve"> module captures institutional knowledge that would otherwise live only in analysts' heads or scattered email threads — call notes, site visit observations, market intelligence, counterparty assessments, and sector expertise. Each note is AI-enriched on ingestion: the system automatically extracts named entities, tags relevant risk factors, detects sentiment, and links the insight to the relevant projects and deals. The full expert knowledge base is searchable by keyword, entity, project, or risk tag, making institutional memory systematically accessible across the team.</w:t>
      </w:r>
    </w:p>
    <w:p>
      <w:pPr>
        <w:spacing w:before="200" w:after="60"/>
      </w:pPr>
      <w:r>
        <w:rPr>
          <w:rFonts w:ascii="Calibri" w:hAnsi="Calibri"/>
          <w:b/>
          <w:i w:val="0"/>
          <w:color w:val="4172C4"/>
          <w:sz w:val="22"/>
        </w:rPr>
        <w:t>Meeting Preparation</w:t>
      </w:r>
    </w:p>
    <w:p>
      <w:pPr>
        <w:spacing w:before="0" w:after="100"/>
      </w:pPr>
      <w:r>
        <w:rPr>
          <w:rFonts w:ascii="Calibri" w:hAnsi="Calibri"/>
          <w:b w:val="0"/>
          <w:i w:val="0"/>
          <w:color w:val="262626"/>
          <w:sz w:val="21"/>
        </w:rPr>
        <w:t xml:space="preserve">The </w:t>
      </w:r>
      <w:r>
        <w:rPr>
          <w:rFonts w:ascii="Calibri" w:hAnsi="Calibri"/>
          <w:b/>
          <w:i w:val="0"/>
          <w:color w:val="262626"/>
          <w:sz w:val="21"/>
        </w:rPr>
        <w:t>Meeting Prep</w:t>
      </w:r>
      <w:r>
        <w:rPr>
          <w:rFonts w:ascii="Calibri" w:hAnsi="Calibri"/>
          <w:b w:val="0"/>
          <w:i w:val="0"/>
          <w:color w:val="262626"/>
          <w:sz w:val="21"/>
        </w:rPr>
        <w:t xml:space="preserve"> module generates structured briefing documents before investor meetings, LP calls, or deal presentations. Drawing on the project's complete data room, signal score, deal team notes, Q&amp;A history, and market comparables, the AI assembles a concise meeting brief — including background, key talking points, financial highlights, risk summary, and suggested questions — within minutes. These briefs are stored and tracked per meeting, building a historical record of deal engagement.</w:t>
      </w:r>
    </w:p>
    <w:p>
      <w:pPr>
        <w:spacing w:before="200" w:after="60"/>
      </w:pPr>
      <w:r>
        <w:rPr>
          <w:rFonts w:ascii="Calibri" w:hAnsi="Calibri"/>
          <w:b/>
          <w:i w:val="0"/>
          <w:color w:val="4172C4"/>
          <w:sz w:val="22"/>
        </w:rPr>
        <w:t>Board Advisor &amp; Strategic Tools</w:t>
      </w:r>
    </w:p>
    <w:p>
      <w:pPr>
        <w:spacing w:before="0" w:after="100"/>
      </w:pPr>
      <w:r>
        <w:rPr>
          <w:rFonts w:ascii="Calibri" w:hAnsi="Calibri"/>
          <w:b w:val="0"/>
          <w:i w:val="0"/>
          <w:color w:val="262626"/>
          <w:sz w:val="21"/>
        </w:rPr>
        <w:t xml:space="preserve">The </w:t>
      </w:r>
      <w:r>
        <w:rPr>
          <w:rFonts w:ascii="Calibri" w:hAnsi="Calibri"/>
          <w:b/>
          <w:i w:val="0"/>
          <w:color w:val="262626"/>
          <w:sz w:val="21"/>
        </w:rPr>
        <w:t>Board Advisor</w:t>
      </w:r>
      <w:r>
        <w:rPr>
          <w:rFonts w:ascii="Calibri" w:hAnsi="Calibri"/>
          <w:b w:val="0"/>
          <w:i w:val="0"/>
          <w:color w:val="262626"/>
          <w:sz w:val="21"/>
        </w:rPr>
        <w:t xml:space="preserve"> module provides AI-assisted strategic guidance, drawing on the platform's data and the user's specific context to generate board-level insights. The </w:t>
      </w:r>
      <w:r>
        <w:rPr>
          <w:rFonts w:ascii="Calibri" w:hAnsi="Calibri"/>
          <w:b/>
          <w:i w:val="0"/>
          <w:color w:val="262626"/>
          <w:sz w:val="21"/>
        </w:rPr>
        <w:t>Development OS</w:t>
      </w:r>
      <w:r>
        <w:rPr>
          <w:rFonts w:ascii="Calibri" w:hAnsi="Calibri"/>
          <w:b w:val="0"/>
          <w:i w:val="0"/>
          <w:color w:val="262626"/>
          <w:sz w:val="21"/>
        </w:rPr>
        <w:t xml:space="preserve"> provides project developers with a structured operating system for managing the development lifecycle of early-stage projects, from origination through to ready-to-build. The Ecosystem module maps the network of counterparties, advisors, and service providers connected to each project and fund.</w:t>
      </w:r>
    </w:p>
    <w:p>
      <w:r>
        <w:br w:type="page"/>
      </w:r>
    </w:p>
    <w:p>
      <w:pPr>
        <w:spacing w:before="360" w:after="120"/>
        <w:pBdr>
          <w:bottom w:val="single" w:sz="6" w:space="1" w:color="1F3864"/>
        </w:pBdr>
      </w:pPr>
      <w:r>
        <w:rPr>
          <w:rFonts w:ascii="Calibri" w:hAnsi="Calibri"/>
          <w:b/>
          <w:i w:val="0"/>
          <w:color w:val="1F3864"/>
          <w:sz w:val="32"/>
        </w:rPr>
        <w:t>5. Enterprise Features</w:t>
      </w:r>
    </w:p>
    <w:p>
      <w:pPr>
        <w:spacing w:before="280" w:after="80"/>
      </w:pPr>
      <w:r>
        <w:rPr>
          <w:rFonts w:ascii="Calibri" w:hAnsi="Calibri"/>
          <w:b/>
          <w:i w:val="0"/>
          <w:color w:val="2F5496"/>
          <w:sz w:val="26"/>
        </w:rPr>
        <w:t>5A. Security &amp; Compliance</w:t>
      </w:r>
    </w:p>
    <w:p>
      <w:pPr>
        <w:spacing w:before="0" w:after="100"/>
      </w:pPr>
      <w:r>
        <w:rPr>
          <w:rFonts w:ascii="Calibri" w:hAnsi="Calibri"/>
          <w:b w:val="0"/>
          <w:i w:val="0"/>
          <w:color w:val="262626"/>
          <w:sz w:val="21"/>
        </w:rPr>
        <w:t>Security and compliance are embedded into SCR Platform's architecture rather than layered on after the fact. The platform is designed to meet the requirements of institutional investors, regulated fund managers, and GDPR-subject data controllers.</w:t>
      </w:r>
    </w:p>
    <w:p>
      <w:pPr>
        <w:pStyle w:val="ListBullet"/>
        <w:spacing w:before="20" w:after="40"/>
        <w:ind w:left="360"/>
      </w:pPr>
      <w:r>
        <w:rPr>
          <w:rFonts w:ascii="Calibri" w:hAnsi="Calibri"/>
          <w:b/>
          <w:i w:val="0"/>
          <w:color w:val="262626"/>
          <w:sz w:val="21"/>
        </w:rPr>
        <w:t>Authentication:</w:t>
      </w:r>
      <w:r>
        <w:rPr>
          <w:rFonts w:ascii="Calibri" w:hAnsi="Calibri"/>
          <w:b w:val="0"/>
          <w:i w:val="0"/>
          <w:color w:val="262626"/>
          <w:sz w:val="21"/>
        </w:rPr>
        <w:t xml:space="preserve"> Enterprise SSO via Clerk, supporting SAML 2.0 and OIDC protocols. All sessions are cryptographically secured.</w:t>
      </w:r>
    </w:p>
    <w:p>
      <w:pPr>
        <w:pStyle w:val="ListBullet"/>
        <w:spacing w:before="20" w:after="40"/>
        <w:ind w:left="360"/>
      </w:pPr>
      <w:r>
        <w:rPr>
          <w:rFonts w:ascii="Calibri" w:hAnsi="Calibri"/>
          <w:b/>
          <w:i w:val="0"/>
          <w:color w:val="262626"/>
          <w:sz w:val="21"/>
        </w:rPr>
        <w:t>Authorization:</w:t>
      </w:r>
      <w:r>
        <w:rPr>
          <w:rFonts w:ascii="Calibri" w:hAnsi="Calibri"/>
          <w:b w:val="0"/>
          <w:i w:val="0"/>
          <w:color w:val="262626"/>
          <w:sz w:val="21"/>
        </w:rPr>
        <w:t xml:space="preserve"> Role-based access control with four permission levels (Admin, Manager, Analyst, Viewer) enforced at every API endpoint. Permissions are checked at the resource level, not just the route level.</w:t>
      </w:r>
    </w:p>
    <w:p>
      <w:pPr>
        <w:pStyle w:val="ListBullet"/>
        <w:spacing w:before="20" w:after="40"/>
        <w:ind w:left="360"/>
      </w:pPr>
      <w:r>
        <w:rPr>
          <w:rFonts w:ascii="Calibri" w:hAnsi="Calibri"/>
          <w:b/>
          <w:i w:val="0"/>
          <w:color w:val="262626"/>
          <w:sz w:val="21"/>
        </w:rPr>
        <w:t>Multi-Tenancy:</w:t>
      </w:r>
      <w:r>
        <w:rPr>
          <w:rFonts w:ascii="Calibri" w:hAnsi="Calibri"/>
          <w:b w:val="0"/>
          <w:i w:val="0"/>
          <w:color w:val="262626"/>
          <w:sz w:val="21"/>
        </w:rPr>
        <w:t xml:space="preserve"> Every database query in the platform is scoped by organisation ID through middleware-level enforcement. It is architecturally impossible for one organisation's data to be accessed by another tenant.</w:t>
      </w:r>
    </w:p>
    <w:p>
      <w:pPr>
        <w:pStyle w:val="ListBullet"/>
        <w:spacing w:before="20" w:after="40"/>
        <w:ind w:left="360"/>
      </w:pPr>
      <w:r>
        <w:rPr>
          <w:rFonts w:ascii="Calibri" w:hAnsi="Calibri"/>
          <w:b/>
          <w:i w:val="0"/>
          <w:color w:val="262626"/>
          <w:sz w:val="21"/>
        </w:rPr>
        <w:t>Audit Trail:</w:t>
      </w:r>
      <w:r>
        <w:rPr>
          <w:rFonts w:ascii="Calibri" w:hAnsi="Calibri"/>
          <w:b w:val="0"/>
          <w:i w:val="0"/>
          <w:color w:val="262626"/>
          <w:sz w:val="21"/>
        </w:rPr>
        <w:t xml:space="preserve"> Every create, update, and delete operation across the platform is immutably logged with user identity, timestamp, operation type, and affected resource identifiers. Audit logs are retained for 12 months with archive capability.</w:t>
      </w:r>
    </w:p>
    <w:p>
      <w:pPr>
        <w:pStyle w:val="ListBullet"/>
        <w:spacing w:before="20" w:after="40"/>
        <w:ind w:left="360"/>
      </w:pPr>
      <w:r>
        <w:rPr>
          <w:rFonts w:ascii="Calibri" w:hAnsi="Calibri"/>
          <w:b/>
          <w:i w:val="0"/>
          <w:color w:val="262626"/>
          <w:sz w:val="21"/>
        </w:rPr>
        <w:t>GDPR Compliance:</w:t>
      </w:r>
      <w:r>
        <w:rPr>
          <w:rFonts w:ascii="Calibri" w:hAnsi="Calibri"/>
          <w:b w:val="0"/>
          <w:i w:val="0"/>
          <w:color w:val="262626"/>
          <w:sz w:val="21"/>
        </w:rPr>
        <w:t xml:space="preserve"> The platform is hosted in AWS eu-west-1 (Ireland). Data processing agreements are maintained with all AI providers. Sensitive document content is restricted from non-EU-compliant AI providers by enforced routing policy.</w:t>
      </w:r>
    </w:p>
    <w:p>
      <w:pPr>
        <w:pStyle w:val="ListBullet"/>
        <w:spacing w:before="20" w:after="40"/>
        <w:ind w:left="360"/>
      </w:pPr>
      <w:r>
        <w:rPr>
          <w:rFonts w:ascii="Calibri" w:hAnsi="Calibri"/>
          <w:b/>
          <w:i w:val="0"/>
          <w:color w:val="262626"/>
          <w:sz w:val="21"/>
        </w:rPr>
        <w:t>AI Data Governance:</w:t>
      </w:r>
      <w:r>
        <w:rPr>
          <w:rFonts w:ascii="Calibri" w:hAnsi="Calibri"/>
          <w:b w:val="0"/>
          <w:i w:val="0"/>
          <w:color w:val="262626"/>
          <w:sz w:val="21"/>
        </w:rPr>
        <w:t xml:space="preserve"> DeepSeek is restricted to non-sensitive, non-document tasks only — a hard routing policy prevents confidential data from leaving EU-compliant infrastructure. Full audit trail of all AI model interactions.</w:t>
      </w:r>
    </w:p>
    <w:p>
      <w:pPr>
        <w:pStyle w:val="ListBullet"/>
        <w:spacing w:before="20" w:after="40"/>
        <w:ind w:left="360"/>
      </w:pPr>
      <w:r>
        <w:rPr>
          <w:rFonts w:ascii="Calibri" w:hAnsi="Calibri"/>
          <w:b/>
          <w:i w:val="0"/>
          <w:color w:val="262626"/>
          <w:sz w:val="21"/>
        </w:rPr>
        <w:t>Secrets Management:</w:t>
      </w:r>
      <w:r>
        <w:rPr>
          <w:rFonts w:ascii="Calibri" w:hAnsi="Calibri"/>
          <w:b w:val="0"/>
          <w:i w:val="0"/>
          <w:color w:val="262626"/>
          <w:sz w:val="21"/>
        </w:rPr>
        <w:t xml:space="preserve"> No credentials exist in application code. All secrets are managed via AWS Secrets Manager with per-environment isolation and automatic rotation support.</w:t>
      </w:r>
    </w:p>
    <w:p>
      <w:pPr>
        <w:pStyle w:val="ListBullet"/>
        <w:spacing w:before="20" w:after="40"/>
        <w:ind w:left="360"/>
      </w:pPr>
      <w:r>
        <w:rPr>
          <w:rFonts w:ascii="Calibri" w:hAnsi="Calibri"/>
          <w:b/>
          <w:i w:val="0"/>
          <w:color w:val="262626"/>
          <w:sz w:val="21"/>
        </w:rPr>
        <w:t>Encryption:</w:t>
      </w:r>
      <w:r>
        <w:rPr>
          <w:rFonts w:ascii="Calibri" w:hAnsi="Calibri"/>
          <w:b w:val="0"/>
          <w:i w:val="0"/>
          <w:color w:val="262626"/>
          <w:sz w:val="21"/>
        </w:rPr>
        <w:t xml:space="preserve"> All data is encrypted at rest (AES-256 via AWS KMS) and in transit (TLS 1.3). Backup data uses dedicated KMS keys in both primary and DR regions.</w:t>
      </w:r>
    </w:p>
    <w:p>
      <w:pPr>
        <w:pStyle w:val="ListBullet"/>
        <w:spacing w:before="20" w:after="40"/>
        <w:ind w:left="360"/>
      </w:pPr>
      <w:r>
        <w:rPr>
          <w:rFonts w:ascii="Calibri" w:hAnsi="Calibri"/>
          <w:b/>
          <w:i w:val="0"/>
          <w:color w:val="262626"/>
          <w:sz w:val="21"/>
        </w:rPr>
        <w:t>Error Monitoring:</w:t>
      </w:r>
      <w:r>
        <w:rPr>
          <w:rFonts w:ascii="Calibri" w:hAnsi="Calibri"/>
          <w:b w:val="0"/>
          <w:i w:val="0"/>
          <w:color w:val="262626"/>
          <w:sz w:val="21"/>
        </w:rPr>
        <w:t xml:space="preserve"> Real-time error detection via Sentry with PII scrubbing on all error payloads. Errors are classified by severity with automated alerting to the operations team.</w:t>
      </w:r>
    </w:p>
    <w:p>
      <w:pPr>
        <w:pStyle w:val="ListBullet"/>
        <w:spacing w:before="20" w:after="40"/>
        <w:ind w:left="360"/>
      </w:pPr>
      <w:r>
        <w:rPr>
          <w:rFonts w:ascii="Calibri" w:hAnsi="Calibri"/>
          <w:b/>
          <w:i w:val="0"/>
          <w:color w:val="262626"/>
          <w:sz w:val="21"/>
        </w:rPr>
        <w:t>Blockchain Audit Trail:</w:t>
      </w:r>
      <w:r>
        <w:rPr>
          <w:rFonts w:ascii="Calibri" w:hAnsi="Calibri"/>
          <w:b w:val="0"/>
          <w:i w:val="0"/>
          <w:color w:val="262626"/>
          <w:sz w:val="21"/>
        </w:rPr>
        <w:t xml:space="preserve"> Critical platform events are cryptographically anchored to the Polygon blockchain via Merkle tree hashing — providing an immutable, third-party-verifiable record of data integrity events.</w:t>
      </w:r>
    </w:p>
    <w:p>
      <w:pPr>
        <w:spacing w:before="280" w:after="80"/>
      </w:pPr>
      <w:r>
        <w:rPr>
          <w:rFonts w:ascii="Calibri" w:hAnsi="Calibri"/>
          <w:b/>
          <w:i w:val="0"/>
          <w:color w:val="2F5496"/>
          <w:sz w:val="26"/>
        </w:rPr>
        <w:t>5B. Integrations</w:t>
      </w:r>
    </w:p>
    <w:p>
      <w:pPr>
        <w:spacing w:before="200" w:after="60"/>
      </w:pPr>
      <w:r>
        <w:rPr>
          <w:rFonts w:ascii="Calibri" w:hAnsi="Calibri"/>
          <w:b/>
          <w:i w:val="0"/>
          <w:color w:val="4172C4"/>
          <w:sz w:val="22"/>
        </w:rPr>
        <w:t>Excel Add-in</w:t>
      </w:r>
    </w:p>
    <w:p>
      <w:pPr>
        <w:spacing w:before="0" w:after="100"/>
      </w:pPr>
      <w:r>
        <w:rPr>
          <w:rFonts w:ascii="Calibri" w:hAnsi="Calibri"/>
          <w:b w:val="0"/>
          <w:i w:val="0"/>
          <w:color w:val="262626"/>
          <w:sz w:val="21"/>
        </w:rPr>
        <w:t xml:space="preserve">The SCR </w:t>
      </w:r>
      <w:r>
        <w:rPr>
          <w:rFonts w:ascii="Calibri" w:hAnsi="Calibri"/>
          <w:b/>
          <w:i w:val="0"/>
          <w:color w:val="262626"/>
          <w:sz w:val="21"/>
        </w:rPr>
        <w:t>Excel Add-in</w:t>
      </w:r>
      <w:r>
        <w:rPr>
          <w:rFonts w:ascii="Calibri" w:hAnsi="Calibri"/>
          <w:b w:val="0"/>
          <w:i w:val="0"/>
          <w:color w:val="262626"/>
          <w:sz w:val="21"/>
        </w:rPr>
        <w:t xml:space="preserve"> enables financial modellers to embed live platform data directly into Excel spreadsheets using custom functions. Functions include pulling a project's current signal score, specific financial metrics, benchmark percentile positions, and covenant status — all updating automatically as the underlying platform data changes. The add-in works in both Excel desktop and Excel Online, ensuring compatibility with any investment professional's workflow.</w:t>
      </w:r>
    </w:p>
    <w:p>
      <w:pPr>
        <w:spacing w:before="200" w:after="60"/>
      </w:pPr>
      <w:r>
        <w:rPr>
          <w:rFonts w:ascii="Calibri" w:hAnsi="Calibri"/>
          <w:b/>
          <w:i w:val="0"/>
          <w:color w:val="4172C4"/>
          <w:sz w:val="22"/>
        </w:rPr>
        <w:t>Salesforce CRM Integration</w:t>
      </w:r>
    </w:p>
    <w:p>
      <w:pPr>
        <w:spacing w:before="0" w:after="100"/>
      </w:pPr>
      <w:r>
        <w:rPr>
          <w:rFonts w:ascii="Calibri" w:hAnsi="Calibri"/>
          <w:b w:val="0"/>
          <w:i w:val="0"/>
          <w:color w:val="262626"/>
          <w:sz w:val="21"/>
        </w:rPr>
        <w:t xml:space="preserve">The </w:t>
      </w:r>
      <w:r>
        <w:rPr>
          <w:rFonts w:ascii="Calibri" w:hAnsi="Calibri"/>
          <w:b/>
          <w:i w:val="0"/>
          <w:color w:val="262626"/>
          <w:sz w:val="21"/>
        </w:rPr>
        <w:t>Salesforce</w:t>
      </w:r>
      <w:r>
        <w:rPr>
          <w:rFonts w:ascii="Calibri" w:hAnsi="Calibri"/>
          <w:b w:val="0"/>
          <w:i w:val="0"/>
          <w:color w:val="262626"/>
          <w:sz w:val="21"/>
        </w:rPr>
        <w:t xml:space="preserve"> integration provides bidirectional synchronisation between SCR Platform and Salesforce CRM via OAuth 2.0 authorisation. Deal pipeline stages in Salesforce are mapped to SCR's lifecycle stages, and changes made in either system propagate automatically. Contact and account data flows between platforms, eliminating the need for duplicate data entry. The synchronisation cycle runs every 15 minutes, keeping both systems current. Access tokens are refreshed automatically on expiry.</w:t>
      </w:r>
    </w:p>
    <w:p>
      <w:pPr>
        <w:spacing w:before="200" w:after="60"/>
      </w:pPr>
      <w:r>
        <w:rPr>
          <w:rFonts w:ascii="Calibri" w:hAnsi="Calibri"/>
          <w:b/>
          <w:i w:val="0"/>
          <w:color w:val="4172C4"/>
          <w:sz w:val="22"/>
        </w:rPr>
        <w:t>HubSpot CRM Integration</w:t>
      </w:r>
    </w:p>
    <w:p>
      <w:pPr>
        <w:spacing w:before="0" w:after="100"/>
      </w:pPr>
      <w:r>
        <w:rPr>
          <w:rFonts w:ascii="Calibri" w:hAnsi="Calibri"/>
          <w:b/>
          <w:i w:val="0"/>
          <w:color w:val="262626"/>
          <w:sz w:val="21"/>
        </w:rPr>
        <w:t>HubSpot</w:t>
      </w:r>
      <w:r>
        <w:rPr>
          <w:rFonts w:ascii="Calibri" w:hAnsi="Calibri"/>
          <w:b w:val="0"/>
          <w:i w:val="0"/>
          <w:color w:val="262626"/>
          <w:sz w:val="21"/>
        </w:rPr>
        <w:t xml:space="preserve"> users benefit from the same bidirectional synchronisation available for Salesforce, with deal objects mapped between HubSpot's pipeline and SCR's deal management module. CRM objects synchronise on the same 15-minute cycle, with CRUD operations on deals and contacts flowing between platforms automatically.</w:t>
      </w:r>
    </w:p>
    <w:p>
      <w:pPr>
        <w:spacing w:before="200" w:after="60"/>
      </w:pPr>
      <w:r>
        <w:rPr>
          <w:rFonts w:ascii="Calibri" w:hAnsi="Calibri"/>
          <w:b/>
          <w:i w:val="0"/>
          <w:color w:val="4172C4"/>
          <w:sz w:val="22"/>
        </w:rPr>
        <w:t>Webhook Event System</w:t>
      </w:r>
    </w:p>
    <w:p>
      <w:pPr>
        <w:spacing w:before="0" w:after="100"/>
      </w:pPr>
      <w:r>
        <w:rPr>
          <w:rFonts w:ascii="Calibri" w:hAnsi="Calibri"/>
          <w:b w:val="0"/>
          <w:i w:val="0"/>
          <w:color w:val="262626"/>
          <w:sz w:val="21"/>
        </w:rPr>
        <w:t xml:space="preserve">The </w:t>
      </w:r>
      <w:r>
        <w:rPr>
          <w:rFonts w:ascii="Calibri" w:hAnsi="Calibri"/>
          <w:b/>
          <w:i w:val="0"/>
          <w:color w:val="262626"/>
          <w:sz w:val="21"/>
        </w:rPr>
        <w:t>Webhook</w:t>
      </w:r>
      <w:r>
        <w:rPr>
          <w:rFonts w:ascii="Calibri" w:hAnsi="Calibri"/>
          <w:b w:val="0"/>
          <w:i w:val="0"/>
          <w:color w:val="262626"/>
          <w:sz w:val="21"/>
        </w:rPr>
        <w:t xml:space="preserve"> system enables any external system to subscribe to real-time SCR Platform events across 12 event types:</w:t>
      </w:r>
    </w:p>
    <w:p>
      <w:pPr>
        <w:pStyle w:val="ListBullet"/>
        <w:spacing w:before="20" w:after="40"/>
        <w:ind w:left="360"/>
      </w:pPr>
      <w:r>
        <w:rPr>
          <w:rFonts w:ascii="Calibri" w:hAnsi="Calibri"/>
          <w:b w:val="0"/>
          <w:i w:val="0"/>
          <w:color w:val="262626"/>
          <w:sz w:val="21"/>
        </w:rPr>
        <w:t>Signal Score computed / threshold breach</w:t>
      </w:r>
    </w:p>
    <w:p>
      <w:pPr>
        <w:pStyle w:val="ListBullet"/>
        <w:spacing w:before="20" w:after="40"/>
        <w:ind w:left="360"/>
      </w:pPr>
      <w:r>
        <w:rPr>
          <w:rFonts w:ascii="Calibri" w:hAnsi="Calibri"/>
          <w:b w:val="0"/>
          <w:i w:val="0"/>
          <w:color w:val="262626"/>
          <w:sz w:val="21"/>
        </w:rPr>
        <w:t>Deal stage changed / AI screening complete</w:t>
      </w:r>
    </w:p>
    <w:p>
      <w:pPr>
        <w:pStyle w:val="ListBullet"/>
        <w:spacing w:before="20" w:after="40"/>
        <w:ind w:left="360"/>
      </w:pPr>
      <w:r>
        <w:rPr>
          <w:rFonts w:ascii="Calibri" w:hAnsi="Calibri"/>
          <w:b w:val="0"/>
          <w:i w:val="0"/>
          <w:color w:val="262626"/>
          <w:sz w:val="21"/>
        </w:rPr>
        <w:t>New investor match found / match score updated</w:t>
      </w:r>
    </w:p>
    <w:p>
      <w:pPr>
        <w:pStyle w:val="ListBullet"/>
        <w:spacing w:before="20" w:after="40"/>
        <w:ind w:left="360"/>
      </w:pPr>
      <w:r>
        <w:rPr>
          <w:rFonts w:ascii="Calibri" w:hAnsi="Calibri"/>
          <w:b w:val="0"/>
          <w:i w:val="0"/>
          <w:color w:val="262626"/>
          <w:sz w:val="21"/>
        </w:rPr>
        <w:t>Covenant breach / KPI variance detected</w:t>
      </w:r>
    </w:p>
    <w:p>
      <w:pPr>
        <w:pStyle w:val="ListBullet"/>
        <w:spacing w:before="20" w:after="40"/>
        <w:ind w:left="360"/>
      </w:pPr>
      <w:r>
        <w:rPr>
          <w:rFonts w:ascii="Calibri" w:hAnsi="Calibri"/>
          <w:b w:val="0"/>
          <w:i w:val="0"/>
          <w:color w:val="262626"/>
          <w:sz w:val="21"/>
        </w:rPr>
        <w:t>Document uploaded / document accessed</w:t>
      </w:r>
    </w:p>
    <w:p>
      <w:pPr>
        <w:pStyle w:val="ListBullet"/>
        <w:spacing w:before="20" w:after="40"/>
        <w:ind w:left="360"/>
      </w:pPr>
      <w:r>
        <w:rPr>
          <w:rFonts w:ascii="Calibri" w:hAnsi="Calibri"/>
          <w:b w:val="0"/>
          <w:i w:val="0"/>
          <w:color w:val="262626"/>
          <w:sz w:val="21"/>
        </w:rPr>
        <w:t>Project published / project status changed</w:t>
      </w:r>
    </w:p>
    <w:p>
      <w:pPr>
        <w:spacing w:before="0" w:after="100"/>
      </w:pPr>
      <w:r>
        <w:rPr>
          <w:rFonts w:ascii="Calibri" w:hAnsi="Calibri"/>
          <w:b w:val="0"/>
          <w:i w:val="0"/>
          <w:color w:val="262626"/>
          <w:sz w:val="21"/>
        </w:rPr>
        <w:t>All webhook payloads are signed with HMAC-SHA256 using a per-subscription secret key, enabling receivers to verify authenticity. Failed deliveries are retried automatically with exponential backoff. Subscriptions with persistent delivery failures are automatically disabled with logged error detail, preventing silent data loss. Wildcard subscriptions ('*') are supported for receivers that need all events.</w:t>
      </w:r>
    </w:p>
    <w:p>
      <w:pPr>
        <w:spacing w:before="200" w:after="60"/>
      </w:pPr>
      <w:r>
        <w:rPr>
          <w:rFonts w:ascii="Calibri" w:hAnsi="Calibri"/>
          <w:b/>
          <w:i w:val="0"/>
          <w:color w:val="4172C4"/>
          <w:sz w:val="22"/>
        </w:rPr>
        <w:t>REST API</w:t>
      </w:r>
    </w:p>
    <w:p>
      <w:pPr>
        <w:spacing w:before="0" w:after="100"/>
      </w:pPr>
      <w:r>
        <w:rPr>
          <w:rFonts w:ascii="Calibri" w:hAnsi="Calibri"/>
          <w:b w:val="0"/>
          <w:i w:val="0"/>
          <w:color w:val="262626"/>
          <w:sz w:val="21"/>
        </w:rPr>
        <w:t>The full SCR Platform API is available to external consumers under versioned paths. API keys are managed per organisation, with configurable per-key rate limits and scope restrictions. Bulk operation endpoints support high-volume data access patterns. All endpoints are documented in OpenAPI 3.0 with full request/response schemas, enabling automated SDK generation for any technology stack.</w:t>
      </w:r>
    </w:p>
    <w:p>
      <w:pPr>
        <w:spacing w:before="280" w:after="80"/>
      </w:pPr>
      <w:r>
        <w:rPr>
          <w:rFonts w:ascii="Calibri" w:hAnsi="Calibri"/>
          <w:b/>
          <w:i w:val="0"/>
          <w:color w:val="2F5496"/>
          <w:sz w:val="26"/>
        </w:rPr>
        <w:t>5C. White-Label &amp; Multi-Tenancy</w:t>
      </w:r>
    </w:p>
    <w:p>
      <w:pPr>
        <w:spacing w:before="0" w:after="100"/>
      </w:pPr>
      <w:r>
        <w:rPr>
          <w:rFonts w:ascii="Calibri" w:hAnsi="Calibri"/>
          <w:b w:val="0"/>
          <w:i w:val="0"/>
          <w:color w:val="262626"/>
          <w:sz w:val="21"/>
        </w:rPr>
        <w:t>SCR Platform supports full white-label deployment for fund administrators, technology resellers, and enterprise clients who wish to present the platform under their own brand. The customisation capabilities include:</w:t>
      </w:r>
    </w:p>
    <w:p>
      <w:pPr>
        <w:pStyle w:val="ListBullet"/>
        <w:spacing w:before="20" w:after="40"/>
        <w:ind w:left="360"/>
      </w:pPr>
      <w:r>
        <w:rPr>
          <w:rFonts w:ascii="Calibri" w:hAnsi="Calibri"/>
          <w:b/>
          <w:i w:val="0"/>
          <w:color w:val="262626"/>
          <w:sz w:val="21"/>
        </w:rPr>
        <w:t>Custom Branding:</w:t>
      </w:r>
      <w:r>
        <w:rPr>
          <w:rFonts w:ascii="Calibri" w:hAnsi="Calibri"/>
          <w:b w:val="0"/>
          <w:i w:val="0"/>
          <w:color w:val="262626"/>
          <w:sz w:val="21"/>
        </w:rPr>
        <w:t xml:space="preserve"> Organisation logo, primary colour (hex), accent colour, and font family — injected as CSS variables across the entire UI</w:t>
      </w:r>
    </w:p>
    <w:p>
      <w:pPr>
        <w:pStyle w:val="ListBullet"/>
        <w:spacing w:before="20" w:after="40"/>
        <w:ind w:left="360"/>
      </w:pPr>
      <w:r>
        <w:rPr>
          <w:rFonts w:ascii="Calibri" w:hAnsi="Calibri"/>
          <w:b/>
          <w:i w:val="0"/>
          <w:color w:val="262626"/>
          <w:sz w:val="21"/>
        </w:rPr>
        <w:t>Custom Domain:</w:t>
      </w:r>
      <w:r>
        <w:rPr>
          <w:rFonts w:ascii="Calibri" w:hAnsi="Calibri"/>
          <w:b w:val="0"/>
          <w:i w:val="0"/>
          <w:color w:val="262626"/>
          <w:sz w:val="21"/>
        </w:rPr>
        <w:t xml:space="preserve"> Clients access the platform on their own domain (e.g., deals.clientfund.com) with automatic DNS verification and SSL certificate provisioning</w:t>
      </w:r>
    </w:p>
    <w:p>
      <w:pPr>
        <w:pStyle w:val="ListBullet"/>
        <w:spacing w:before="20" w:after="40"/>
        <w:ind w:left="360"/>
      </w:pPr>
      <w:r>
        <w:rPr>
          <w:rFonts w:ascii="Calibri" w:hAnsi="Calibri"/>
          <w:b/>
          <w:i w:val="0"/>
          <w:color w:val="262626"/>
          <w:sz w:val="21"/>
        </w:rPr>
        <w:t>Branded Communications:</w:t>
      </w:r>
      <w:r>
        <w:rPr>
          <w:rFonts w:ascii="Calibri" w:hAnsi="Calibri"/>
          <w:b w:val="0"/>
          <w:i w:val="0"/>
          <w:color w:val="262626"/>
          <w:sz w:val="21"/>
        </w:rPr>
        <w:t xml:space="preserve"> All email notifications and reports are sent from the client's own email identity, maintaining brand consistency through the complete user journey</w:t>
      </w:r>
    </w:p>
    <w:p>
      <w:pPr>
        <w:pStyle w:val="ListBullet"/>
        <w:spacing w:before="20" w:after="40"/>
        <w:ind w:left="360"/>
      </w:pPr>
      <w:r>
        <w:rPr>
          <w:rFonts w:ascii="Calibri" w:hAnsi="Calibri"/>
          <w:b/>
          <w:i w:val="0"/>
          <w:color w:val="262626"/>
          <w:sz w:val="21"/>
        </w:rPr>
        <w:t>Organisational Isolation:</w:t>
      </w:r>
      <w:r>
        <w:rPr>
          <w:rFonts w:ascii="Calibri" w:hAnsi="Calibri"/>
          <w:b w:val="0"/>
          <w:i w:val="0"/>
          <w:color w:val="262626"/>
          <w:sz w:val="21"/>
        </w:rPr>
        <w:t xml:space="preserve"> Every tenant's data is completely isolated — users in one organisation cannot see any data from any other organisation, at any layer of the stack</w:t>
      </w:r>
    </w:p>
    <w:p>
      <w:pPr>
        <w:spacing w:before="280" w:after="80"/>
      </w:pPr>
      <w:r>
        <w:rPr>
          <w:rFonts w:ascii="Calibri" w:hAnsi="Calibri"/>
          <w:b/>
          <w:i w:val="0"/>
          <w:color w:val="2F5496"/>
          <w:sz w:val="26"/>
        </w:rPr>
        <w:t>5D. Feature Flags &amp; Gradual Rollout</w:t>
      </w:r>
    </w:p>
    <w:p>
      <w:pPr>
        <w:spacing w:before="0" w:after="100"/>
      </w:pPr>
      <w:r>
        <w:rPr>
          <w:rFonts w:ascii="Calibri" w:hAnsi="Calibri"/>
          <w:b w:val="0"/>
          <w:i w:val="0"/>
          <w:color w:val="262626"/>
          <w:sz w:val="21"/>
        </w:rPr>
        <w:t xml:space="preserve">Platform capabilities are governed by a </w:t>
      </w:r>
      <w:r>
        <w:rPr>
          <w:rFonts w:ascii="Calibri" w:hAnsi="Calibri"/>
          <w:b/>
          <w:i w:val="0"/>
          <w:color w:val="262626"/>
          <w:sz w:val="21"/>
        </w:rPr>
        <w:t>Feature Flag</w:t>
      </w:r>
      <w:r>
        <w:rPr>
          <w:rFonts w:ascii="Calibri" w:hAnsi="Calibri"/>
          <w:b w:val="0"/>
          <w:i w:val="0"/>
          <w:color w:val="262626"/>
          <w:sz w:val="21"/>
        </w:rPr>
        <w:t xml:space="preserve"> system that supports both global toggles and per-organisation overrides. Administrators can enable or disable any feature for the entire platform, set a gradual rollout percentage for phased launches, or override the global setting for specific organisations — enabling beta programmes where select clients receive early access to new capabilities before general availability. The Feature Flag admin interface also displays token usage by tier (Foundation, Professional, Enterprise), with monthly cycle tracking and reset dates.</w:t>
      </w:r>
    </w:p>
    <w:p>
      <w:pPr>
        <w:spacing w:before="280" w:after="80"/>
      </w:pPr>
      <w:r>
        <w:rPr>
          <w:rFonts w:ascii="Calibri" w:hAnsi="Calibri"/>
          <w:b/>
          <w:i w:val="0"/>
          <w:color w:val="2F5496"/>
          <w:sz w:val="26"/>
        </w:rPr>
        <w:t>5E. Usage Analytics &amp; Engagement Tracking</w:t>
      </w:r>
    </w:p>
    <w:p>
      <w:pPr>
        <w:spacing w:before="0" w:after="100"/>
      </w:pPr>
      <w:r>
        <w:rPr>
          <w:rFonts w:ascii="Calibri" w:hAnsi="Calibri"/>
          <w:b w:val="0"/>
          <w:i w:val="0"/>
          <w:color w:val="262626"/>
          <w:sz w:val="21"/>
        </w:rPr>
        <w:t>Every significant user action is recorded as a structured usage event: event type, user identity, resource type, resource identifier, and contextual metadata. This event stream powers organisation-level usage dashboards, feature adoption analysis, and customer success monitoring. Platform administrators can identify which features are actively used, which are underutilised, and which organisations are at risk of disengagement — enabling proactive customer success intervention.</w:t>
      </w:r>
    </w:p>
    <w:p>
      <w:pPr>
        <w:spacing w:before="280" w:after="80"/>
      </w:pPr>
      <w:r>
        <w:rPr>
          <w:rFonts w:ascii="Calibri" w:hAnsi="Calibri"/>
          <w:b/>
          <w:i w:val="0"/>
          <w:color w:val="2F5496"/>
          <w:sz w:val="26"/>
        </w:rPr>
        <w:t>5F. Gamification &amp; Engagement</w:t>
      </w:r>
    </w:p>
    <w:p>
      <w:pPr>
        <w:spacing w:before="0" w:after="100"/>
      </w:pPr>
      <w:r>
        <w:rPr>
          <w:rFonts w:ascii="Calibri" w:hAnsi="Calibri"/>
          <w:b w:val="0"/>
          <w:i w:val="0"/>
          <w:color w:val="262626"/>
          <w:sz w:val="21"/>
        </w:rPr>
        <w:t xml:space="preserve">The </w:t>
      </w:r>
      <w:r>
        <w:rPr>
          <w:rFonts w:ascii="Calibri" w:hAnsi="Calibri"/>
          <w:b/>
          <w:i w:val="0"/>
          <w:color w:val="262626"/>
          <w:sz w:val="21"/>
        </w:rPr>
        <w:t>Gamification</w:t>
      </w:r>
      <w:r>
        <w:rPr>
          <w:rFonts w:ascii="Calibri" w:hAnsi="Calibri"/>
          <w:b w:val="0"/>
          <w:i w:val="0"/>
          <w:color w:val="262626"/>
          <w:sz w:val="21"/>
        </w:rPr>
        <w:t xml:space="preserve"> module drives platform adoption and quality behaviours through a structured achievement system. Users earn Badges for completing meaningful platform milestones — completing a full due diligence checklist, achieving a Signal Score above a threshold, consistently uploading high-quality documentation. Quests define goal-oriented activities with progress tracking. Leaderboards surface top performers across the organisation. Badge awards are evaluated automatically by the platform's AI as part of the normal workflow, without requiring manual administration.</w:t>
      </w:r>
    </w:p>
    <w:p>
      <w:r>
        <w:br w:type="page"/>
      </w:r>
    </w:p>
    <w:p>
      <w:pPr>
        <w:spacing w:before="360" w:after="120"/>
        <w:pBdr>
          <w:bottom w:val="single" w:sz="6" w:space="1" w:color="1F3864"/>
        </w:pBdr>
      </w:pPr>
      <w:r>
        <w:rPr>
          <w:rFonts w:ascii="Calibri" w:hAnsi="Calibri"/>
          <w:b/>
          <w:i w:val="0"/>
          <w:color w:val="1F3864"/>
          <w:sz w:val="32"/>
        </w:rPr>
        <w:t>6. AI Architecture</w:t>
      </w:r>
    </w:p>
    <w:p>
      <w:pPr>
        <w:spacing w:before="280" w:after="80"/>
      </w:pPr>
      <w:r>
        <w:rPr>
          <w:rFonts w:ascii="Calibri" w:hAnsi="Calibri"/>
          <w:b/>
          <w:i w:val="0"/>
          <w:color w:val="2F5496"/>
          <w:sz w:val="26"/>
        </w:rPr>
        <w:t>6A. Multi-Provider AI Strategy</w:t>
      </w:r>
    </w:p>
    <w:p>
      <w:pPr>
        <w:spacing w:before="0" w:after="100"/>
      </w:pPr>
      <w:r>
        <w:rPr>
          <w:rFonts w:ascii="Calibri" w:hAnsi="Calibri"/>
          <w:b w:val="0"/>
          <w:i w:val="0"/>
          <w:color w:val="262626"/>
          <w:sz w:val="21"/>
        </w:rPr>
        <w:t>SCR Platform operates a deliberate multi-provider AI strategy — not out of necessity, but because no single AI provider is optimal for every task type. The platform simultaneously utilises five leading AI providers:</w:t>
      </w:r>
    </w:p>
    <w:p>
      <w:pPr>
        <w:pStyle w:val="ListBullet"/>
        <w:spacing w:before="20" w:after="40"/>
        <w:ind w:left="360"/>
      </w:pPr>
      <w:r>
        <w:rPr>
          <w:rFonts w:ascii="Calibri" w:hAnsi="Calibri"/>
          <w:b/>
          <w:i w:val="0"/>
          <w:color w:val="262626"/>
          <w:sz w:val="21"/>
        </w:rPr>
        <w:t>Anthropic (Claude Opus &amp; Sonnet) —</w:t>
      </w:r>
      <w:r>
        <w:rPr>
          <w:rFonts w:ascii="Calibri" w:hAnsi="Calibri"/>
          <w:b w:val="0"/>
          <w:i w:val="0"/>
          <w:color w:val="262626"/>
          <w:sz w:val="21"/>
        </w:rPr>
        <w:t xml:space="preserve"> highest-quality reasoning for critical investment decisions: project scoring, risk assessment, investment memo generation, and conversational research (Ralph)</w:t>
      </w:r>
    </w:p>
    <w:p>
      <w:pPr>
        <w:pStyle w:val="ListBullet"/>
        <w:spacing w:before="20" w:after="40"/>
        <w:ind w:left="360"/>
      </w:pPr>
      <w:r>
        <w:rPr>
          <w:rFonts w:ascii="Calibri" w:hAnsi="Calibri"/>
          <w:b/>
          <w:i w:val="0"/>
          <w:color w:val="262626"/>
          <w:sz w:val="21"/>
        </w:rPr>
        <w:t>Google (Gemini Pro &amp; Flash) —</w:t>
      </w:r>
      <w:r>
        <w:rPr>
          <w:rFonts w:ascii="Calibri" w:hAnsi="Calibri"/>
          <w:b w:val="0"/>
          <w:i w:val="0"/>
          <w:color w:val="262626"/>
          <w:sz w:val="21"/>
        </w:rPr>
        <w:t xml:space="preserve"> exceptional long-document processing, legal contract review, transaction analysis, and ESG report interpretation leveraging up to 1 million token context windows</w:t>
      </w:r>
    </w:p>
    <w:p>
      <w:pPr>
        <w:pStyle w:val="ListBullet"/>
        <w:spacing w:before="20" w:after="40"/>
        <w:ind w:left="360"/>
      </w:pPr>
      <w:r>
        <w:rPr>
          <w:rFonts w:ascii="Calibri" w:hAnsi="Calibri"/>
          <w:b/>
          <w:i w:val="0"/>
          <w:color w:val="262626"/>
          <w:sz w:val="21"/>
        </w:rPr>
        <w:t>xAI (Grok) —</w:t>
      </w:r>
      <w:r>
        <w:rPr>
          <w:rFonts w:ascii="Calibri" w:hAnsi="Calibri"/>
          <w:b w:val="0"/>
          <w:i w:val="0"/>
          <w:color w:val="262626"/>
          <w:sz w:val="21"/>
        </w:rPr>
        <w:t xml:space="preserve"> high-speed, high-volume extraction tasks: document classification, KPI extraction, clause identification, screener query parsing, and board advisor matching at 2 million token context scale</w:t>
      </w:r>
    </w:p>
    <w:p>
      <w:pPr>
        <w:pStyle w:val="ListBullet"/>
        <w:spacing w:before="20" w:after="40"/>
        <w:ind w:left="360"/>
      </w:pPr>
      <w:r>
        <w:rPr>
          <w:rFonts w:ascii="Calibri" w:hAnsi="Calibri"/>
          <w:b/>
          <w:i w:val="0"/>
          <w:color w:val="262626"/>
          <w:sz w:val="21"/>
        </w:rPr>
        <w:t>OpenAI (GPT-4o) —</w:t>
      </w:r>
      <w:r>
        <w:rPr>
          <w:rFonts w:ascii="Calibri" w:hAnsi="Calibri"/>
          <w:b w:val="0"/>
          <w:i w:val="0"/>
          <w:color w:val="262626"/>
          <w:sz w:val="21"/>
        </w:rPr>
        <w:t xml:space="preserve"> vision-based document processing: OCR on scanned documents, image extraction from PDFs, and visual analysis tasks</w:t>
      </w:r>
    </w:p>
    <w:p>
      <w:pPr>
        <w:pStyle w:val="ListBullet"/>
        <w:spacing w:before="20" w:after="40"/>
        <w:ind w:left="360"/>
      </w:pPr>
      <w:r>
        <w:rPr>
          <w:rFonts w:ascii="Calibri" w:hAnsi="Calibri"/>
          <w:b/>
          <w:i w:val="0"/>
          <w:color w:val="262626"/>
          <w:sz w:val="21"/>
        </w:rPr>
        <w:t>DeepSeek (V3.2) —</w:t>
      </w:r>
      <w:r>
        <w:rPr>
          <w:rFonts w:ascii="Calibri" w:hAnsi="Calibri"/>
          <w:b w:val="0"/>
          <w:i w:val="0"/>
          <w:color w:val="262626"/>
          <w:sz w:val="21"/>
        </w:rPr>
        <w:t xml:space="preserve"> cost-optimised processing for non-sensitive, internal tasks: digest generation, note enrichment, and persona extraction. Restricted by hard policy from receiving any confidential document content</w:t>
      </w:r>
    </w:p>
    <w:p>
      <w:pPr>
        <w:spacing w:before="0" w:after="100"/>
      </w:pPr>
      <w:r>
        <w:rPr>
          <w:rFonts w:ascii="Calibri" w:hAnsi="Calibri"/>
          <w:b w:val="0"/>
          <w:i w:val="0"/>
          <w:color w:val="262626"/>
          <w:sz w:val="21"/>
        </w:rPr>
        <w:t>Every routing rule includes a designated fallback model. If any primary provider is unavailable or returns an error, the task automatically reroutes to the fallback — providing uninterrupted AI capability even during provider outages. This architecture also enables continuous cost optimisation: as new, more capable models are released, routing rules can be updated centrally without application code changes.</w:t>
      </w:r>
    </w:p>
    <w:p>
      <w:pPr>
        <w:spacing w:before="280" w:after="80"/>
      </w:pPr>
      <w:r>
        <w:rPr>
          <w:rFonts w:ascii="Calibri" w:hAnsi="Calibri"/>
          <w:b/>
          <w:i w:val="0"/>
          <w:color w:val="2F5496"/>
          <w:sz w:val="26"/>
        </w:rPr>
        <w:t>6B. AI Task Categories</w:t>
      </w:r>
    </w:p>
    <w:p>
      <w:pPr>
        <w:spacing w:before="0" w:after="100"/>
      </w:pPr>
      <w:r>
        <w:rPr>
          <w:rFonts w:ascii="Calibri" w:hAnsi="Calibri"/>
          <w:b w:val="0"/>
          <w:i w:val="0"/>
          <w:color w:val="262626"/>
          <w:sz w:val="21"/>
        </w:rPr>
        <w:t>The platform's 78 AI task types are organised into six functional categories:</w:t>
      </w:r>
    </w:p>
    <w:tbl>
      <w:tblPr>
        <w:tblStyle w:val="TableGrid"/>
        <w:tblW w:type="auto" w:w="0"/>
        <w:jc w:val="left"/>
        <w:tblLook w:firstColumn="1" w:firstRow="1" w:lastColumn="0" w:lastRow="0" w:noHBand="0" w:noVBand="1" w:val="04A0"/>
      </w:tblPr>
      <w:tblGrid>
        <w:gridCol w:w="3120"/>
        <w:gridCol w:w="3120"/>
        <w:gridCol w:w="3120"/>
      </w:tblGrid>
      <w:tr>
        <w:tc>
          <w:tcPr>
            <w:tcW w:type="dxa" w:w="2016"/>
            <w:shd w:val="clear" w:color="auto" w:fill="2F5496"/>
          </w:tcPr>
          <w:p>
            <w:pPr>
              <w:spacing w:before="60" w:after="60"/>
            </w:pPr>
            <w:r>
              <w:rPr>
                <w:rFonts w:ascii="Calibri" w:hAnsi="Calibri"/>
                <w:b/>
                <w:i w:val="0"/>
                <w:color w:val="FFFFFF"/>
                <w:sz w:val="20"/>
              </w:rPr>
              <w:t>Category</w:t>
            </w:r>
          </w:p>
        </w:tc>
        <w:tc>
          <w:tcPr>
            <w:tcW w:type="dxa" w:w="4608"/>
            <w:shd w:val="clear" w:color="auto" w:fill="2F5496"/>
          </w:tcPr>
          <w:p>
            <w:pPr>
              <w:spacing w:before="60" w:after="60"/>
            </w:pPr>
            <w:r>
              <w:rPr>
                <w:rFonts w:ascii="Calibri" w:hAnsi="Calibri"/>
                <w:b/>
                <w:i w:val="0"/>
                <w:color w:val="FFFFFF"/>
                <w:sz w:val="20"/>
              </w:rPr>
              <w:t>Examples</w:t>
            </w:r>
          </w:p>
        </w:tc>
        <w:tc>
          <w:tcPr>
            <w:tcW w:type="dxa" w:w="2592"/>
            <w:shd w:val="clear" w:color="auto" w:fill="2F5496"/>
          </w:tcPr>
          <w:p>
            <w:pPr>
              <w:spacing w:before="60" w:after="60"/>
            </w:pPr>
            <w:r>
              <w:rPr>
                <w:rFonts w:ascii="Calibri" w:hAnsi="Calibri"/>
                <w:b/>
                <w:i w:val="0"/>
                <w:color w:val="FFFFFF"/>
                <w:sz w:val="20"/>
              </w:rPr>
              <w:t>Primary Provider</w:t>
            </w:r>
          </w:p>
        </w:tc>
      </w:tr>
      <w:tr>
        <w:tc>
          <w:tcPr>
            <w:tcW w:type="dxa" w:w="2016"/>
            <w:shd w:val="clear" w:color="auto" w:fill="FFFFFF"/>
          </w:tcPr>
          <w:p>
            <w:pPr>
              <w:spacing w:before="40" w:after="40"/>
            </w:pPr>
            <w:r>
              <w:rPr>
                <w:rFonts w:ascii="Calibri" w:hAnsi="Calibri"/>
                <w:b w:val="0"/>
                <w:i w:val="0"/>
                <w:color w:val="262626"/>
                <w:sz w:val="20"/>
              </w:rPr>
              <w:t>Investment Scoring</w:t>
            </w:r>
          </w:p>
        </w:tc>
        <w:tc>
          <w:tcPr>
            <w:tcW w:type="dxa" w:w="4608"/>
            <w:shd w:val="clear" w:color="auto" w:fill="FFFFFF"/>
          </w:tcPr>
          <w:p>
            <w:pPr>
              <w:spacing w:before="40" w:after="40"/>
            </w:pPr>
            <w:r>
              <w:rPr>
                <w:rFonts w:ascii="Calibri" w:hAnsi="Calibri"/>
                <w:b w:val="0"/>
                <w:i w:val="0"/>
                <w:color w:val="262626"/>
                <w:sz w:val="20"/>
              </w:rPr>
              <w:t>Project quality assessment, dimension scoring, strengths &amp; gaps analysis, investor fit scoring</w:t>
            </w:r>
          </w:p>
        </w:tc>
        <w:tc>
          <w:tcPr>
            <w:tcW w:type="dxa" w:w="2592"/>
            <w:shd w:val="clear" w:color="auto" w:fill="FFFFFF"/>
          </w:tcPr>
          <w:p>
            <w:pPr>
              <w:spacing w:before="40" w:after="40"/>
            </w:pPr>
            <w:r>
              <w:rPr>
                <w:rFonts w:ascii="Calibri" w:hAnsi="Calibri"/>
                <w:b w:val="0"/>
                <w:i w:val="0"/>
                <w:color w:val="262626"/>
                <w:sz w:val="20"/>
              </w:rPr>
              <w:t>Anthropic Claude</w:t>
            </w:r>
          </w:p>
        </w:tc>
      </w:tr>
      <w:tr>
        <w:tc>
          <w:tcPr>
            <w:tcW w:type="dxa" w:w="2016"/>
            <w:shd w:val="clear" w:color="auto" w:fill="F2F2F2"/>
          </w:tcPr>
          <w:p>
            <w:pPr>
              <w:spacing w:before="40" w:after="40"/>
            </w:pPr>
            <w:r>
              <w:rPr>
                <w:rFonts w:ascii="Calibri" w:hAnsi="Calibri"/>
                <w:b w:val="0"/>
                <w:i w:val="0"/>
                <w:color w:val="262626"/>
                <w:sz w:val="20"/>
              </w:rPr>
              <w:t>Document Understanding</w:t>
            </w:r>
          </w:p>
        </w:tc>
        <w:tc>
          <w:tcPr>
            <w:tcW w:type="dxa" w:w="4608"/>
            <w:shd w:val="clear" w:color="auto" w:fill="F2F2F2"/>
          </w:tcPr>
          <w:p>
            <w:pPr>
              <w:spacing w:before="40" w:after="40"/>
            </w:pPr>
            <w:r>
              <w:rPr>
                <w:rFonts w:ascii="Calibri" w:hAnsi="Calibri"/>
                <w:b w:val="0"/>
                <w:i w:val="0"/>
                <w:color w:val="262626"/>
                <w:sz w:val="20"/>
              </w:rPr>
              <w:t>KPI extraction, clause identification, financial metric extraction, completeness check, entity extraction</w:t>
            </w:r>
          </w:p>
        </w:tc>
        <w:tc>
          <w:tcPr>
            <w:tcW w:type="dxa" w:w="2592"/>
            <w:shd w:val="clear" w:color="auto" w:fill="F2F2F2"/>
          </w:tcPr>
          <w:p>
            <w:pPr>
              <w:spacing w:before="40" w:after="40"/>
            </w:pPr>
            <w:r>
              <w:rPr>
                <w:rFonts w:ascii="Calibri" w:hAnsi="Calibri"/>
                <w:b w:val="0"/>
                <w:i w:val="0"/>
                <w:color w:val="262626"/>
                <w:sz w:val="20"/>
              </w:rPr>
              <w:t>xAI Grok / Gemini</w:t>
            </w:r>
          </w:p>
        </w:tc>
      </w:tr>
      <w:tr>
        <w:tc>
          <w:tcPr>
            <w:tcW w:type="dxa" w:w="2016"/>
            <w:shd w:val="clear" w:color="auto" w:fill="FFFFFF"/>
          </w:tcPr>
          <w:p>
            <w:pPr>
              <w:spacing w:before="40" w:after="40"/>
            </w:pPr>
            <w:r>
              <w:rPr>
                <w:rFonts w:ascii="Calibri" w:hAnsi="Calibri"/>
                <w:b w:val="0"/>
                <w:i w:val="0"/>
                <w:color w:val="262626"/>
                <w:sz w:val="20"/>
              </w:rPr>
              <w:t>Strategic Analysis</w:t>
            </w:r>
          </w:p>
        </w:tc>
        <w:tc>
          <w:tcPr>
            <w:tcW w:type="dxa" w:w="4608"/>
            <w:shd w:val="clear" w:color="auto" w:fill="FFFFFF"/>
          </w:tcPr>
          <w:p>
            <w:pPr>
              <w:spacing w:before="40" w:after="40"/>
            </w:pPr>
            <w:r>
              <w:rPr>
                <w:rFonts w:ascii="Calibri" w:hAnsi="Calibri"/>
                <w:b w:val="0"/>
                <w:i w:val="0"/>
                <w:color w:val="262626"/>
                <w:sz w:val="20"/>
              </w:rPr>
              <w:t>Risk assessment, deal screening, investment memo, legal document review, contract comparison</w:t>
            </w:r>
          </w:p>
        </w:tc>
        <w:tc>
          <w:tcPr>
            <w:tcW w:type="dxa" w:w="2592"/>
            <w:shd w:val="clear" w:color="auto" w:fill="FFFFFF"/>
          </w:tcPr>
          <w:p>
            <w:pPr>
              <w:spacing w:before="40" w:after="40"/>
            </w:pPr>
            <w:r>
              <w:rPr>
                <w:rFonts w:ascii="Calibri" w:hAnsi="Calibri"/>
                <w:b w:val="0"/>
                <w:i w:val="0"/>
                <w:color w:val="262626"/>
                <w:sz w:val="20"/>
              </w:rPr>
              <w:t>Anthropic Claude / Gemini</w:t>
            </w:r>
          </w:p>
        </w:tc>
      </w:tr>
      <w:tr>
        <w:tc>
          <w:tcPr>
            <w:tcW w:type="dxa" w:w="2016"/>
            <w:shd w:val="clear" w:color="auto" w:fill="F2F2F2"/>
          </w:tcPr>
          <w:p>
            <w:pPr>
              <w:spacing w:before="40" w:after="40"/>
            </w:pPr>
            <w:r>
              <w:rPr>
                <w:rFonts w:ascii="Calibri" w:hAnsi="Calibri"/>
                <w:b w:val="0"/>
                <w:i w:val="0"/>
                <w:color w:val="262626"/>
                <w:sz w:val="20"/>
              </w:rPr>
              <w:t>Research &amp; Q&amp;A</w:t>
            </w:r>
          </w:p>
        </w:tc>
        <w:tc>
          <w:tcPr>
            <w:tcW w:type="dxa" w:w="4608"/>
            <w:shd w:val="clear" w:color="auto" w:fill="F2F2F2"/>
          </w:tcPr>
          <w:p>
            <w:pPr>
              <w:spacing w:before="40" w:after="40"/>
            </w:pPr>
            <w:r>
              <w:rPr>
                <w:rFonts w:ascii="Calibri" w:hAnsi="Calibri"/>
                <w:b w:val="0"/>
                <w:i w:val="0"/>
                <w:color w:val="262626"/>
                <w:sz w:val="20"/>
              </w:rPr>
              <w:t>RAG-grounded question answering, portfolio queries, deal comparisons, market context (Ralph)</w:t>
            </w:r>
          </w:p>
        </w:tc>
        <w:tc>
          <w:tcPr>
            <w:tcW w:type="dxa" w:w="2592"/>
            <w:shd w:val="clear" w:color="auto" w:fill="F2F2F2"/>
          </w:tcPr>
          <w:p>
            <w:pPr>
              <w:spacing w:before="40" w:after="40"/>
            </w:pPr>
            <w:r>
              <w:rPr>
                <w:rFonts w:ascii="Calibri" w:hAnsi="Calibri"/>
                <w:b w:val="0"/>
                <w:i w:val="0"/>
                <w:color w:val="262626"/>
                <w:sz w:val="20"/>
              </w:rPr>
              <w:t>Anthropic Claude</w:t>
            </w:r>
          </w:p>
        </w:tc>
      </w:tr>
      <w:tr>
        <w:tc>
          <w:tcPr>
            <w:tcW w:type="dxa" w:w="2016"/>
            <w:shd w:val="clear" w:color="auto" w:fill="FFFFFF"/>
          </w:tcPr>
          <w:p>
            <w:pPr>
              <w:spacing w:before="40" w:after="40"/>
            </w:pPr>
            <w:r>
              <w:rPr>
                <w:rFonts w:ascii="Calibri" w:hAnsi="Calibri"/>
                <w:b w:val="0"/>
                <w:i w:val="0"/>
                <w:color w:val="262626"/>
                <w:sz w:val="20"/>
              </w:rPr>
              <w:t>Writing &amp; Reporting</w:t>
            </w:r>
          </w:p>
        </w:tc>
        <w:tc>
          <w:tcPr>
            <w:tcW w:type="dxa" w:w="4608"/>
            <w:shd w:val="clear" w:color="auto" w:fill="FFFFFF"/>
          </w:tcPr>
          <w:p>
            <w:pPr>
              <w:spacing w:before="40" w:after="40"/>
            </w:pPr>
            <w:r>
              <w:rPr>
                <w:rFonts w:ascii="Calibri" w:hAnsi="Calibri"/>
                <w:b w:val="0"/>
                <w:i w:val="0"/>
                <w:color w:val="262626"/>
                <w:sz w:val="20"/>
              </w:rPr>
              <w:t>LP narrative generation, ESG report sections, business plan text, legal document drafting, digest summaries</w:t>
            </w:r>
          </w:p>
        </w:tc>
        <w:tc>
          <w:tcPr>
            <w:tcW w:type="dxa" w:w="2592"/>
            <w:shd w:val="clear" w:color="auto" w:fill="FFFFFF"/>
          </w:tcPr>
          <w:p>
            <w:pPr>
              <w:spacing w:before="40" w:after="40"/>
            </w:pPr>
            <w:r>
              <w:rPr>
                <w:rFonts w:ascii="Calibri" w:hAnsi="Calibri"/>
                <w:b w:val="0"/>
                <w:i w:val="0"/>
                <w:color w:val="262626"/>
                <w:sz w:val="20"/>
              </w:rPr>
              <w:t>Claude Sonnet / DeepSeek</w:t>
            </w:r>
          </w:p>
        </w:tc>
      </w:tr>
      <w:tr>
        <w:tc>
          <w:tcPr>
            <w:tcW w:type="dxa" w:w="2016"/>
            <w:shd w:val="clear" w:color="auto" w:fill="F2F2F2"/>
          </w:tcPr>
          <w:p>
            <w:pPr>
              <w:spacing w:before="40" w:after="40"/>
            </w:pPr>
            <w:r>
              <w:rPr>
                <w:rFonts w:ascii="Calibri" w:hAnsi="Calibri"/>
                <w:b w:val="0"/>
                <w:i w:val="0"/>
                <w:color w:val="262626"/>
                <w:sz w:val="20"/>
              </w:rPr>
              <w:t>Classification &amp; Enrichment</w:t>
            </w:r>
          </w:p>
        </w:tc>
        <w:tc>
          <w:tcPr>
            <w:tcW w:type="dxa" w:w="4608"/>
            <w:shd w:val="clear" w:color="auto" w:fill="F2F2F2"/>
          </w:tcPr>
          <w:p>
            <w:pPr>
              <w:spacing w:before="40" w:after="40"/>
            </w:pPr>
            <w:r>
              <w:rPr>
                <w:rFonts w:ascii="Calibri" w:hAnsi="Calibri"/>
                <w:b w:val="0"/>
                <w:i w:val="0"/>
                <w:color w:val="262626"/>
                <w:sz w:val="20"/>
              </w:rPr>
              <w:t>Document type classification, screener query parsing, expert note enrichment, redactable entity detection</w:t>
            </w:r>
          </w:p>
        </w:tc>
        <w:tc>
          <w:tcPr>
            <w:tcW w:type="dxa" w:w="2592"/>
            <w:shd w:val="clear" w:color="auto" w:fill="F2F2F2"/>
          </w:tcPr>
          <w:p>
            <w:pPr>
              <w:spacing w:before="40" w:after="40"/>
            </w:pPr>
            <w:r>
              <w:rPr>
                <w:rFonts w:ascii="Calibri" w:hAnsi="Calibri"/>
                <w:b w:val="0"/>
                <w:i w:val="0"/>
                <w:color w:val="262626"/>
                <w:sz w:val="20"/>
              </w:rPr>
              <w:t>xAI Grok / DeepSeek</w:t>
            </w:r>
          </w:p>
        </w:tc>
      </w:tr>
    </w:tbl>
    <w:p/>
    <w:p>
      <w:pPr>
        <w:spacing w:before="280" w:after="80"/>
      </w:pPr>
      <w:r>
        <w:rPr>
          <w:rFonts w:ascii="Calibri" w:hAnsi="Calibri"/>
          <w:b/>
          <w:i w:val="0"/>
          <w:color w:val="2F5496"/>
          <w:sz w:val="26"/>
        </w:rPr>
        <w:t>6C. AI Quality &amp; Governance</w:t>
      </w:r>
    </w:p>
    <w:p>
      <w:pPr>
        <w:spacing w:before="0" w:after="100"/>
      </w:pPr>
      <w:r>
        <w:rPr>
          <w:rFonts w:ascii="Calibri" w:hAnsi="Calibri"/>
          <w:b w:val="0"/>
          <w:i w:val="0"/>
          <w:color w:val="262626"/>
          <w:sz w:val="21"/>
        </w:rPr>
        <w:t>The platform maintains rigorous governance over AI behaviour across three layers:</w:t>
      </w:r>
    </w:p>
    <w:p>
      <w:pPr>
        <w:pStyle w:val="ListBullet"/>
        <w:spacing w:before="20" w:after="40"/>
        <w:ind w:left="360"/>
      </w:pPr>
      <w:r>
        <w:rPr>
          <w:rFonts w:ascii="Calibri" w:hAnsi="Calibri"/>
          <w:b/>
          <w:i w:val="0"/>
          <w:color w:val="262626"/>
          <w:sz w:val="21"/>
        </w:rPr>
        <w:t>Prompt Management:</w:t>
      </w:r>
      <w:r>
        <w:rPr>
          <w:rFonts w:ascii="Calibri" w:hAnsi="Calibri"/>
          <w:b w:val="0"/>
          <w:i w:val="0"/>
          <w:color w:val="262626"/>
          <w:sz w:val="21"/>
        </w:rPr>
        <w:t xml:space="preserve"> Every AI task uses a centrally versioned prompt. Administrators edit prompts through the admin UI — no code changes, no redeployments. Full audit trail of all prompt modifications.</w:t>
      </w:r>
    </w:p>
    <w:p>
      <w:pPr>
        <w:pStyle w:val="ListBullet"/>
        <w:spacing w:before="20" w:after="40"/>
        <w:ind w:left="360"/>
      </w:pPr>
      <w:r>
        <w:rPr>
          <w:rFonts w:ascii="Calibri" w:hAnsi="Calibri"/>
          <w:b/>
          <w:i w:val="0"/>
          <w:color w:val="262626"/>
          <w:sz w:val="21"/>
        </w:rPr>
        <w:t>Output Validation:</w:t>
      </w:r>
      <w:r>
        <w:rPr>
          <w:rFonts w:ascii="Calibri" w:hAnsi="Calibri"/>
          <w:b w:val="0"/>
          <w:i w:val="0"/>
          <w:color w:val="262626"/>
          <w:sz w:val="21"/>
        </w:rPr>
        <w:t xml:space="preserve"> All AI-generated structured outputs are validated against expected schemas before being stored or displayed. Invalid or low-confidence outputs trigger automatic repair or human review escalation.</w:t>
      </w:r>
    </w:p>
    <w:p>
      <w:pPr>
        <w:pStyle w:val="ListBullet"/>
        <w:spacing w:before="20" w:after="40"/>
        <w:ind w:left="360"/>
      </w:pPr>
      <w:r>
        <w:rPr>
          <w:rFonts w:ascii="Calibri" w:hAnsi="Calibri"/>
          <w:b/>
          <w:i w:val="0"/>
          <w:color w:val="262626"/>
          <w:sz w:val="21"/>
        </w:rPr>
        <w:t>Continuous Feedback:</w:t>
      </w:r>
      <w:r>
        <w:rPr>
          <w:rFonts w:ascii="Calibri" w:hAnsi="Calibri"/>
          <w:b w:val="0"/>
          <w:i w:val="0"/>
          <w:color w:val="262626"/>
          <w:sz w:val="21"/>
        </w:rPr>
        <w:t xml:space="preserve"> User ratings on AI outputs feed into a continuous improvement cycle. Prompt versions can be A/B tested across cohorts, with quality metrics compared to identify the superior version systematically.</w:t>
      </w:r>
    </w:p>
    <w:p>
      <w:pPr>
        <w:pStyle w:val="ListBullet"/>
        <w:spacing w:before="20" w:after="40"/>
        <w:ind w:left="360"/>
      </w:pPr>
      <w:r>
        <w:rPr>
          <w:rFonts w:ascii="Calibri" w:hAnsi="Calibri"/>
          <w:b/>
          <w:i w:val="0"/>
          <w:color w:val="262626"/>
          <w:sz w:val="21"/>
        </w:rPr>
        <w:t>Source Citation:</w:t>
      </w:r>
      <w:r>
        <w:rPr>
          <w:rFonts w:ascii="Calibri" w:hAnsi="Calibri"/>
          <w:b w:val="0"/>
          <w:i w:val="0"/>
          <w:color w:val="262626"/>
          <w:sz w:val="21"/>
        </w:rPr>
        <w:t xml:space="preserve"> Every AI analysis references the specific source documents and passages it drew from. Users can click through to the exact location in the source material.</w:t>
      </w:r>
    </w:p>
    <w:p>
      <w:pPr>
        <w:pStyle w:val="ListBullet"/>
        <w:spacing w:before="20" w:after="40"/>
        <w:ind w:left="360"/>
      </w:pPr>
      <w:r>
        <w:rPr>
          <w:rFonts w:ascii="Calibri" w:hAnsi="Calibri"/>
          <w:b/>
          <w:i w:val="0"/>
          <w:color w:val="262626"/>
          <w:sz w:val="21"/>
        </w:rPr>
        <w:t>Data Lineage:</w:t>
      </w:r>
      <w:r>
        <w:rPr>
          <w:rFonts w:ascii="Calibri" w:hAnsi="Calibri"/>
          <w:b w:val="0"/>
          <w:i w:val="0"/>
          <w:color w:val="262626"/>
          <w:sz w:val="21"/>
        </w:rPr>
        <w:t xml:space="preserve"> Every computed value traces back through its transformation chain to the original raw data source.</w:t>
      </w:r>
    </w:p>
    <w:p>
      <w:pPr>
        <w:pStyle w:val="ListBullet"/>
        <w:spacing w:before="20" w:after="40"/>
        <w:ind w:left="360"/>
      </w:pPr>
      <w:r>
        <w:rPr>
          <w:rFonts w:ascii="Calibri" w:hAnsi="Calibri"/>
          <w:b/>
          <w:i w:val="0"/>
          <w:color w:val="262626"/>
          <w:sz w:val="21"/>
        </w:rPr>
        <w:t>Provider Data Governance:</w:t>
      </w:r>
      <w:r>
        <w:rPr>
          <w:rFonts w:ascii="Calibri" w:hAnsi="Calibri"/>
          <w:b w:val="0"/>
          <w:i w:val="0"/>
          <w:color w:val="262626"/>
          <w:sz w:val="21"/>
        </w:rPr>
        <w:t xml:space="preserve"> Enforced routing policy prevents sensitive document content from reaching non-compliant AI providers.</w:t>
      </w:r>
    </w:p>
    <w:p>
      <w:pPr>
        <w:spacing w:before="280" w:after="80"/>
      </w:pPr>
      <w:r>
        <w:rPr>
          <w:rFonts w:ascii="Calibri" w:hAnsi="Calibri"/>
          <w:b/>
          <w:i w:val="0"/>
          <w:color w:val="2F5496"/>
          <w:sz w:val="26"/>
        </w:rPr>
        <w:t>6D. AI Cost Management</w:t>
      </w:r>
    </w:p>
    <w:p>
      <w:pPr>
        <w:spacing w:before="0" w:after="100"/>
      </w:pPr>
      <w:r>
        <w:rPr>
          <w:rFonts w:ascii="Calibri" w:hAnsi="Calibri"/>
          <w:b w:val="0"/>
          <w:i w:val="0"/>
          <w:color w:val="262626"/>
          <w:sz w:val="21"/>
        </w:rPr>
        <w:t xml:space="preserve">Real-time AI cost tracking operates at the individual call level, aggregated by provider, task type, and organisation. Each organisation is assigned a monthly AI budget with three tiers — Foundation, Professional, and Enterprise — with corresponding token limits. Graduated budget warnings fire at 80% consumption, and automatic enforcement blocks non-critical AI requests at 100%. The </w:t>
      </w:r>
      <w:r>
        <w:rPr>
          <w:rFonts w:ascii="Calibri" w:hAnsi="Calibri"/>
          <w:b/>
          <w:i w:val="0"/>
          <w:color w:val="262626"/>
          <w:sz w:val="21"/>
        </w:rPr>
        <w:t>AI Cost Management</w:t>
      </w:r>
      <w:r>
        <w:rPr>
          <w:rFonts w:ascii="Calibri" w:hAnsi="Calibri"/>
          <w:b w:val="0"/>
          <w:i w:val="0"/>
          <w:color w:val="262626"/>
          <w:sz w:val="21"/>
        </w:rPr>
        <w:t xml:space="preserve"> dashboard (admin-only) shows spend breakdown by provider and task type across all tenant organisations, enabling platform operators to identify cost anomalies and optimise routing configurations.</w:t>
      </w:r>
    </w:p>
    <w:p>
      <w:r>
        <w:br w:type="page"/>
      </w:r>
    </w:p>
    <w:p>
      <w:pPr>
        <w:spacing w:before="360" w:after="120"/>
        <w:pBdr>
          <w:bottom w:val="single" w:sz="6" w:space="1" w:color="1F3864"/>
        </w:pBdr>
      </w:pPr>
      <w:r>
        <w:rPr>
          <w:rFonts w:ascii="Calibri" w:hAnsi="Calibri"/>
          <w:b/>
          <w:i w:val="0"/>
          <w:color w:val="1F3864"/>
          <w:sz w:val="32"/>
        </w:rPr>
        <w:t>7. Automated Workflows &amp; Intelligence</w:t>
      </w:r>
    </w:p>
    <w:p>
      <w:pPr>
        <w:spacing w:before="0" w:after="100"/>
      </w:pPr>
      <w:r>
        <w:rPr>
          <w:rFonts w:ascii="Calibri" w:hAnsi="Calibri"/>
          <w:b w:val="0"/>
          <w:i w:val="0"/>
          <w:color w:val="262626"/>
          <w:sz w:val="21"/>
        </w:rPr>
        <w:t>SCR Platform operates 25 automated background workflows that run continuously without manual intervention — keeping data current, enforcing compliance deadlines, and delivering intelligence to users at the right moment. These automations are what make the platform feel continuously intelligent rather than requiring users to trigger every analysis manually.</w:t>
      </w:r>
    </w:p>
    <w:p>
      <w:pPr>
        <w:spacing w:before="280" w:after="80"/>
      </w:pPr>
      <w:r>
        <w:rPr>
          <w:rFonts w:ascii="Calibri" w:hAnsi="Calibri"/>
          <w:b/>
          <w:i w:val="0"/>
          <w:color w:val="2F5496"/>
          <w:sz w:val="26"/>
        </w:rPr>
        <w:t>7A. Daily Automations</w:t>
      </w:r>
    </w:p>
    <w:p>
      <w:pPr>
        <w:pStyle w:val="ListBullet"/>
        <w:spacing w:before="20" w:after="40"/>
        <w:ind w:left="360"/>
      </w:pPr>
      <w:r>
        <w:rPr>
          <w:rFonts w:ascii="Calibri" w:hAnsi="Calibri"/>
          <w:b w:val="0"/>
          <w:i w:val="0"/>
          <w:color w:val="262626"/>
          <w:sz w:val="21"/>
        </w:rPr>
        <w:t>Every morning at 8:00 UTC, the platform checks all compliance deadlines across every organisation and sends reminders to the responsible team members for items approaching their due date.</w:t>
      </w:r>
    </w:p>
    <w:p>
      <w:pPr>
        <w:pStyle w:val="ListBullet"/>
        <w:spacing w:before="20" w:after="40"/>
        <w:ind w:left="360"/>
      </w:pPr>
      <w:r>
        <w:rPr>
          <w:rFonts w:ascii="Calibri" w:hAnsi="Calibri"/>
          <w:b w:val="0"/>
          <w:i w:val="0"/>
          <w:color w:val="262626"/>
          <w:sz w:val="21"/>
        </w:rPr>
        <w:t>At 9:00 UTC, overdue compliance items are automatically flagged for escalation, ensuring no regulatory deadline is missed silently.</w:t>
      </w:r>
    </w:p>
    <w:p>
      <w:pPr>
        <w:pStyle w:val="ListBullet"/>
        <w:spacing w:before="20" w:after="40"/>
        <w:ind w:left="360"/>
      </w:pPr>
      <w:r>
        <w:rPr>
          <w:rFonts w:ascii="Calibri" w:hAnsi="Calibri"/>
          <w:b w:val="0"/>
          <w:i w:val="0"/>
          <w:color w:val="262626"/>
          <w:sz w:val="21"/>
        </w:rPr>
        <w:t>At 6:00 UTC, all investment covenants across the platform are evaluated against the latest available data — each moving to Compliant, Warning, or Breach state. Breach notifications are sent instantly.</w:t>
      </w:r>
    </w:p>
    <w:p>
      <w:pPr>
        <w:pStyle w:val="ListBullet"/>
        <w:spacing w:before="20" w:after="40"/>
        <w:ind w:left="360"/>
      </w:pPr>
      <w:r>
        <w:rPr>
          <w:rFonts w:ascii="Calibri" w:hAnsi="Calibri"/>
          <w:b w:val="0"/>
          <w:i w:val="0"/>
          <w:color w:val="262626"/>
          <w:sz w:val="21"/>
        </w:rPr>
        <w:t>At 6:30 UTC, fresh market data is pulled from the configured external feeds to keep benchmarks and market context current for the trading day.</w:t>
      </w:r>
    </w:p>
    <w:p>
      <w:pPr>
        <w:pStyle w:val="ListBullet"/>
        <w:spacing w:before="20" w:after="40"/>
        <w:ind w:left="360"/>
      </w:pPr>
      <w:r>
        <w:rPr>
          <w:rFonts w:ascii="Calibri" w:hAnsi="Calibri"/>
          <w:b w:val="0"/>
          <w:i w:val="0"/>
          <w:color w:val="262626"/>
          <w:sz w:val="21"/>
        </w:rPr>
        <w:t>At 15:00 UTC, the latest EUR foreign exchange rates are fetched from the ECB for use in multi-currency financial calculations.</w:t>
      </w:r>
    </w:p>
    <w:p>
      <w:pPr>
        <w:pStyle w:val="ListBullet"/>
        <w:spacing w:before="20" w:after="40"/>
        <w:ind w:left="360"/>
      </w:pPr>
      <w:r>
        <w:rPr>
          <w:rFonts w:ascii="Calibri" w:hAnsi="Calibri"/>
          <w:b w:val="0"/>
          <w:i w:val="0"/>
          <w:color w:val="262626"/>
          <w:sz w:val="21"/>
        </w:rPr>
        <w:t>Each night at 2:00 UTC, a complete snapshot of all project KPIs is recorded — building the historical trend database that powers performance tracking and benchmark comparison.</w:t>
      </w:r>
    </w:p>
    <w:p>
      <w:pPr>
        <w:pStyle w:val="ListBullet"/>
        <w:spacing w:before="20" w:after="40"/>
        <w:ind w:left="360"/>
      </w:pPr>
      <w:r>
        <w:rPr>
          <w:rFonts w:ascii="Calibri" w:hAnsi="Calibri"/>
          <w:b w:val="0"/>
          <w:i w:val="0"/>
          <w:color w:val="262626"/>
          <w:sz w:val="21"/>
        </w:rPr>
        <w:t>At 3:00 UTC, benchmark aggregates are recomputed across the platform's anonymised dataset — updating peer group comparisons, quartile positions, and J-curve benchmarks for all active funds.</w:t>
      </w:r>
    </w:p>
    <w:p>
      <w:pPr>
        <w:pStyle w:val="ListBullet"/>
        <w:spacing w:before="20" w:after="40"/>
        <w:ind w:left="360"/>
      </w:pPr>
      <w:r>
        <w:rPr>
          <w:rFonts w:ascii="Calibri" w:hAnsi="Calibri"/>
          <w:b w:val="0"/>
          <w:i w:val="0"/>
          <w:color w:val="262626"/>
          <w:sz w:val="21"/>
        </w:rPr>
        <w:t>At 2:00 UTC, the nightly backup orchestrator runs an 8-step pipeline: logical database backup with cross-region replication, OpenSearch snapshot, secrets inventory, RDS snapshot verification, S3 replication status check, table count audit, and health report generation.</w:t>
      </w:r>
    </w:p>
    <w:p>
      <w:pPr>
        <w:pStyle w:val="ListBullet"/>
        <w:spacing w:before="20" w:after="40"/>
        <w:ind w:left="360"/>
      </w:pPr>
      <w:r>
        <w:rPr>
          <w:rFonts w:ascii="Calibri" w:hAnsi="Calibri"/>
          <w:b w:val="0"/>
          <w:i w:val="0"/>
          <w:color w:val="262626"/>
          <w:sz w:val="21"/>
        </w:rPr>
        <w:t>On Sundays at 5:00 UTC, an automated restore test validates backup integrity — downloading the latest backup, performing a schema-level restore, verifying table counts, and checking the DR region.</w:t>
      </w:r>
    </w:p>
    <w:p>
      <w:pPr>
        <w:pStyle w:val="ListBullet"/>
        <w:spacing w:before="20" w:after="40"/>
        <w:ind w:left="360"/>
      </w:pPr>
      <w:r>
        <w:rPr>
          <w:rFonts w:ascii="Calibri" w:hAnsi="Calibri"/>
          <w:b w:val="0"/>
          <w:i w:val="0"/>
          <w:color w:val="262626"/>
          <w:sz w:val="21"/>
        </w:rPr>
        <w:t>At 4:30 UTC, data retention policies are enforced across high-volume tables — removing data that has exceeded its retention window in batches to avoid database lock contention.</w:t>
      </w:r>
    </w:p>
    <w:p>
      <w:pPr>
        <w:pStyle w:val="ListBullet"/>
        <w:spacing w:before="20" w:after="40"/>
        <w:ind w:left="360"/>
      </w:pPr>
      <w:r>
        <w:rPr>
          <w:rFonts w:ascii="Calibri" w:hAnsi="Calibri"/>
          <w:b w:val="0"/>
          <w:i w:val="0"/>
          <w:color w:val="262626"/>
          <w:sz w:val="21"/>
        </w:rPr>
        <w:t>On the 28th of each month at 0:30 UTC, database partitions are pre-created for the coming months — maintaining query performance on large time-series tables.</w:t>
      </w:r>
    </w:p>
    <w:p>
      <w:pPr>
        <w:pStyle w:val="ListBullet"/>
        <w:spacing w:before="20" w:after="40"/>
        <w:ind w:left="360"/>
      </w:pPr>
      <w:r>
        <w:rPr>
          <w:rFonts w:ascii="Calibri" w:hAnsi="Calibri"/>
          <w:b w:val="0"/>
          <w:i w:val="0"/>
          <w:color w:val="262626"/>
          <w:sz w:val="21"/>
        </w:rPr>
        <w:t>On Sundays at 20:00 UTC, personalised activity digests are generated and dispatched to all users with digest preferences configured.</w:t>
      </w:r>
    </w:p>
    <w:p>
      <w:pPr>
        <w:spacing w:before="280" w:after="80"/>
      </w:pPr>
      <w:r>
        <w:rPr>
          <w:rFonts w:ascii="Calibri" w:hAnsi="Calibri"/>
          <w:b/>
          <w:i w:val="0"/>
          <w:color w:val="2F5496"/>
          <w:sz w:val="26"/>
        </w:rPr>
        <w:t>7B. High-Frequency Continuous Monitoring</w:t>
      </w:r>
    </w:p>
    <w:p>
      <w:pPr>
        <w:pStyle w:val="ListBullet"/>
        <w:spacing w:before="20" w:after="40"/>
        <w:ind w:left="360"/>
      </w:pPr>
      <w:r>
        <w:rPr>
          <w:rFonts w:ascii="Calibri" w:hAnsi="Calibri"/>
          <w:b w:val="0"/>
          <w:i w:val="0"/>
          <w:color w:val="262626"/>
          <w:sz w:val="21"/>
        </w:rPr>
        <w:t>Every 5 minutes, failed webhook deliveries are retried with exponential backoff — ensuring event-driven integrations receive their notifications even after transient delivery failures.</w:t>
      </w:r>
    </w:p>
    <w:p>
      <w:pPr>
        <w:pStyle w:val="ListBullet"/>
        <w:spacing w:before="20" w:after="40"/>
        <w:ind w:left="360"/>
      </w:pPr>
      <w:r>
        <w:rPr>
          <w:rFonts w:ascii="Calibri" w:hAnsi="Calibri"/>
          <w:b w:val="0"/>
          <w:i w:val="0"/>
          <w:color w:val="262626"/>
          <w:sz w:val="21"/>
        </w:rPr>
        <w:t>Every 15 minutes, CRM connections for all Salesforce and HubSpot integrations are synchronised bidirectionally — keeping deal and contact data current across all connected systems.</w:t>
      </w:r>
    </w:p>
    <w:p>
      <w:pPr>
        <w:pStyle w:val="ListBullet"/>
        <w:spacing w:before="20" w:after="40"/>
        <w:ind w:left="360"/>
      </w:pPr>
      <w:r>
        <w:rPr>
          <w:rFonts w:ascii="Calibri" w:hAnsi="Calibri"/>
          <w:b w:val="0"/>
          <w:i w:val="0"/>
          <w:color w:val="262626"/>
          <w:sz w:val="21"/>
        </w:rPr>
        <w:t>Every 15 minutes, watchlist criteria across all active watchlists are evaluated against new platform data — triggering alerts to users when their monitoring criteria are satisfied.</w:t>
      </w:r>
    </w:p>
    <w:p>
      <w:pPr>
        <w:pStyle w:val="ListBullet"/>
        <w:spacing w:before="20" w:after="40"/>
        <w:ind w:left="360"/>
      </w:pPr>
      <w:r>
        <w:rPr>
          <w:rFonts w:ascii="Calibri" w:hAnsi="Calibri"/>
          <w:b w:val="0"/>
          <w:i w:val="0"/>
          <w:color w:val="262626"/>
          <w:sz w:val="21"/>
        </w:rPr>
        <w:t>Every 30 minutes, all open Q&amp;A items are evaluated against their SLA deadlines. Items approaching or exceeding their response deadline are escalated automatically to the responsible team member.</w:t>
      </w:r>
    </w:p>
    <w:p>
      <w:pPr>
        <w:pStyle w:val="ListBullet"/>
        <w:spacing w:before="20" w:after="40"/>
        <w:ind w:left="360"/>
      </w:pPr>
      <w:r>
        <w:rPr>
          <w:rFonts w:ascii="Calibri" w:hAnsi="Calibri"/>
          <w:b w:val="0"/>
          <w:i w:val="0"/>
          <w:color w:val="262626"/>
          <w:sz w:val="21"/>
        </w:rPr>
        <w:t>Every hour, signal scores are checked for potential live updates based on newly available metadata — surfacing score changes to analysts without requiring a full recalculation cycle.</w:t>
      </w:r>
    </w:p>
    <w:p>
      <w:pPr>
        <w:pStyle w:val="ListBullet"/>
        <w:spacing w:before="20" w:after="40"/>
        <w:ind w:left="360"/>
      </w:pPr>
      <w:r>
        <w:rPr>
          <w:rFonts w:ascii="Calibri" w:hAnsi="Calibri"/>
          <w:b w:val="0"/>
          <w:i w:val="0"/>
          <w:color w:val="262626"/>
          <w:sz w:val="21"/>
        </w:rPr>
        <w:t>Every hour, FRED market data feeds are refreshed to keep US Treasury rates, Federal Funds Rate, CPI, and other economic series current.</w:t>
      </w:r>
    </w:p>
    <w:p>
      <w:pPr>
        <w:pStyle w:val="ListBullet"/>
        <w:spacing w:before="20" w:after="40"/>
        <w:ind w:left="360"/>
      </w:pPr>
      <w:r>
        <w:rPr>
          <w:rFonts w:ascii="Calibri" w:hAnsi="Calibri"/>
          <w:b w:val="0"/>
          <w:i w:val="0"/>
          <w:color w:val="262626"/>
          <w:sz w:val="21"/>
        </w:rPr>
        <w:t>Every 6 hours, blockchain anchoring batches are processed — grouping recent audit events into Merkle trees and anchoring the root hash to the Polygon blockchain for immutable record.</w:t>
      </w:r>
    </w:p>
    <w:p>
      <w:pPr>
        <w:pStyle w:val="ListBullet"/>
        <w:spacing w:before="20" w:after="40"/>
        <w:ind w:left="360"/>
      </w:pPr>
      <w:r>
        <w:rPr>
          <w:rFonts w:ascii="Calibri" w:hAnsi="Calibri"/>
          <w:b w:val="0"/>
          <w:i w:val="0"/>
          <w:color w:val="262626"/>
          <w:sz w:val="21"/>
        </w:rPr>
        <w:t>Every 6 hours, the risk monitoring cycle runs across all portfolio assets — identifying new risk signals and updating risk profiles.</w:t>
      </w:r>
    </w:p>
    <w:p>
      <w:pPr>
        <w:pStyle w:val="ListBullet"/>
        <w:spacing w:before="20" w:after="40"/>
        <w:ind w:left="360"/>
      </w:pPr>
      <w:r>
        <w:rPr>
          <w:rFonts w:ascii="Calibri" w:hAnsi="Calibri"/>
          <w:b w:val="0"/>
          <w:i w:val="0"/>
          <w:color w:val="262626"/>
          <w:sz w:val="21"/>
        </w:rPr>
        <w:t>Every 12 hours, climate data from NOAA is refreshed for market context and ESG calculations.</w:t>
      </w:r>
    </w:p>
    <w:p>
      <w:pPr>
        <w:pStyle w:val="ListBullet"/>
        <w:spacing w:before="20" w:after="40"/>
        <w:ind w:left="360"/>
      </w:pPr>
      <w:r>
        <w:rPr>
          <w:rFonts w:ascii="Calibri" w:hAnsi="Calibri"/>
          <w:b w:val="0"/>
          <w:i w:val="0"/>
          <w:color w:val="262626"/>
          <w:sz w:val="21"/>
        </w:rPr>
        <w:t>Every 6 hours, regulatory data from Regulations.gov is updated to keep compliance monitoring current with the latest rule changes.</w:t>
      </w:r>
    </w:p>
    <w:p>
      <w:pPr>
        <w:spacing w:before="280" w:after="80"/>
      </w:pPr>
      <w:r>
        <w:rPr>
          <w:rFonts w:ascii="Calibri" w:hAnsi="Calibri"/>
          <w:b/>
          <w:i w:val="0"/>
          <w:color w:val="2F5496"/>
          <w:sz w:val="26"/>
        </w:rPr>
        <w:t>7C. Event-Driven Intelligence</w:t>
      </w:r>
    </w:p>
    <w:p>
      <w:pPr>
        <w:spacing w:before="0" w:after="100"/>
      </w:pPr>
      <w:r>
        <w:rPr>
          <w:rFonts w:ascii="Calibri" w:hAnsi="Calibri"/>
          <w:b w:val="0"/>
          <w:i w:val="0"/>
          <w:color w:val="262626"/>
          <w:sz w:val="21"/>
        </w:rPr>
        <w:t>Beyond scheduled automations, the platform triggers immediate intelligent responses to user actions and data events:</w:t>
      </w:r>
    </w:p>
    <w:p>
      <w:pPr>
        <w:pStyle w:val="ListBullet"/>
        <w:spacing w:before="20" w:after="40"/>
        <w:ind w:left="360"/>
      </w:pPr>
      <w:r>
        <w:rPr>
          <w:rFonts w:ascii="Calibri" w:hAnsi="Calibri"/>
          <w:b w:val="0"/>
          <w:i w:val="0"/>
          <w:color w:val="262626"/>
          <w:sz w:val="21"/>
        </w:rPr>
        <w:t>When a new document is uploaded, the AI processing pipeline automatically classifies the document type, extracts structured data, and makes the content available for search and AI analysis — typically completing within seconds.</w:t>
      </w:r>
    </w:p>
    <w:p>
      <w:pPr>
        <w:pStyle w:val="ListBullet"/>
        <w:spacing w:before="20" w:after="40"/>
        <w:ind w:left="360"/>
      </w:pPr>
      <w:r>
        <w:rPr>
          <w:rFonts w:ascii="Calibri" w:hAnsi="Calibri"/>
          <w:b w:val="0"/>
          <w:i w:val="0"/>
          <w:color w:val="262626"/>
          <w:sz w:val="21"/>
        </w:rPr>
        <w:t>When a Signal Score calculation completes, the platform evaluates whether badge awards are triggered, checks watchlist thresholds, and dispatches webhook events to all subscribed external systems.</w:t>
      </w:r>
    </w:p>
    <w:p>
      <w:pPr>
        <w:pStyle w:val="ListBullet"/>
        <w:spacing w:before="20" w:after="40"/>
        <w:ind w:left="360"/>
      </w:pPr>
      <w:r>
        <w:rPr>
          <w:rFonts w:ascii="Calibri" w:hAnsi="Calibri"/>
          <w:b w:val="0"/>
          <w:i w:val="0"/>
          <w:color w:val="262626"/>
          <w:sz w:val="21"/>
        </w:rPr>
        <w:t>When a covenant breach is detected during the nightly check, email and in-platform notifications are dispatched instantly to the responsible portfolio manager — no waiting for a human to notice.</w:t>
      </w:r>
    </w:p>
    <w:p>
      <w:pPr>
        <w:pStyle w:val="ListBullet"/>
        <w:spacing w:before="20" w:after="40"/>
        <w:ind w:left="360"/>
      </w:pPr>
      <w:r>
        <w:rPr>
          <w:rFonts w:ascii="Calibri" w:hAnsi="Calibri"/>
          <w:b w:val="0"/>
          <w:i w:val="0"/>
          <w:color w:val="262626"/>
          <w:sz w:val="21"/>
        </w:rPr>
        <w:t>When a Q&amp;A item's SLA deadline passes without a response, an escalation notification is sent automatically to the team lead.</w:t>
      </w:r>
    </w:p>
    <w:p>
      <w:pPr>
        <w:pStyle w:val="ListBullet"/>
        <w:spacing w:before="20" w:after="40"/>
        <w:ind w:left="360"/>
      </w:pPr>
      <w:r>
        <w:rPr>
          <w:rFonts w:ascii="Calibri" w:hAnsi="Calibri"/>
          <w:b w:val="0"/>
          <w:i w:val="0"/>
          <w:color w:val="262626"/>
          <w:sz w:val="21"/>
        </w:rPr>
        <w:t>When a deal screening AI task completes, the deal is moved forward in the pipeline state and the requesting analyst receives a notification.</w:t>
      </w:r>
    </w:p>
    <w:p>
      <w:pPr>
        <w:pStyle w:val="ListBullet"/>
        <w:spacing w:before="20" w:after="40"/>
        <w:ind w:left="360"/>
      </w:pPr>
      <w:r>
        <w:rPr>
          <w:rFonts w:ascii="Calibri" w:hAnsi="Calibri"/>
          <w:b w:val="0"/>
          <w:i w:val="0"/>
          <w:color w:val="262626"/>
          <w:sz w:val="21"/>
        </w:rPr>
        <w:t>When a webhook delivery fails, the retry scheduler takes over immediately — attempting redelivery within 5 minutes and escalating through the backoff schedule if failures persist.</w:t>
      </w:r>
    </w:p>
    <w:p>
      <w:pPr>
        <w:pStyle w:val="ListBullet"/>
        <w:spacing w:before="20" w:after="40"/>
        <w:ind w:left="360"/>
      </w:pPr>
      <w:r>
        <w:rPr>
          <w:rFonts w:ascii="Calibri" w:hAnsi="Calibri"/>
          <w:b w:val="0"/>
          <w:i w:val="0"/>
          <w:color w:val="262626"/>
          <w:sz w:val="21"/>
        </w:rPr>
        <w:t>When an organisation's AI usage approaches its monthly budget ceiling, warning notifications are sent to platform administrators, with automatic enforcement engaging at the limit.</w:t>
      </w:r>
    </w:p>
    <w:p>
      <w:pPr>
        <w:spacing w:before="280" w:after="80"/>
      </w:pPr>
      <w:r>
        <w:rPr>
          <w:rFonts w:ascii="Calibri" w:hAnsi="Calibri"/>
          <w:b/>
          <w:i w:val="0"/>
          <w:color w:val="2F5496"/>
          <w:sz w:val="26"/>
        </w:rPr>
        <w:t>7D. Data Enrichment &amp; External Feeds</w:t>
      </w:r>
    </w:p>
    <w:p>
      <w:pPr>
        <w:pStyle w:val="ListBullet"/>
        <w:spacing w:before="20" w:after="40"/>
        <w:ind w:left="360"/>
      </w:pPr>
      <w:r>
        <w:rPr>
          <w:rFonts w:ascii="Calibri" w:hAnsi="Calibri"/>
          <w:b w:val="0"/>
          <w:i w:val="0"/>
          <w:color w:val="262626"/>
          <w:sz w:val="21"/>
        </w:rPr>
        <w:t>FRED (Federal Reserve Economic Data) — 10-Year Treasury yield, Federal Funds Rate, unemployment rate, CPI, S&amp;P500 index, and 30-year mortgage rate. Updated hourly to keep financial benchmarks current.</w:t>
      </w:r>
    </w:p>
    <w:p>
      <w:pPr>
        <w:pStyle w:val="ListBullet"/>
        <w:spacing w:before="20" w:after="40"/>
        <w:ind w:left="360"/>
      </w:pPr>
      <w:r>
        <w:rPr>
          <w:rFonts w:ascii="Calibri" w:hAnsi="Calibri"/>
          <w:b w:val="0"/>
          <w:i w:val="0"/>
          <w:color w:val="262626"/>
          <w:sz w:val="21"/>
        </w:rPr>
        <w:t>World Bank — GDP growth rate, CPI inflation, and unemployment rate across global (WLD), US, EU, and GB regions. Updated daily.</w:t>
      </w:r>
    </w:p>
    <w:p>
      <w:pPr>
        <w:pStyle w:val="ListBullet"/>
        <w:spacing w:before="20" w:after="40"/>
        <w:ind w:left="360"/>
      </w:pPr>
      <w:r>
        <w:rPr>
          <w:rFonts w:ascii="Calibri" w:hAnsi="Calibri"/>
          <w:b w:val="0"/>
          <w:i w:val="0"/>
          <w:color w:val="262626"/>
          <w:sz w:val="21"/>
        </w:rPr>
        <w:t>ECB (European Central Bank) — EUR foreign exchange rates against all major currencies. Updated daily at 15:00 UTC when ECB publishes the daily reference rates.</w:t>
      </w:r>
    </w:p>
    <w:p>
      <w:pPr>
        <w:pStyle w:val="ListBullet"/>
        <w:spacing w:before="20" w:after="40"/>
        <w:ind w:left="360"/>
      </w:pPr>
      <w:r>
        <w:rPr>
          <w:rFonts w:ascii="Calibri" w:hAnsi="Calibri"/>
          <w:b w:val="0"/>
          <w:i w:val="0"/>
          <w:color w:val="262626"/>
          <w:sz w:val="21"/>
        </w:rPr>
        <w:t>Yahoo Finance — Equity market data for valuation context and comparable public market benchmarks. Updated hourly.</w:t>
      </w:r>
    </w:p>
    <w:p>
      <w:pPr>
        <w:pStyle w:val="ListBullet"/>
        <w:spacing w:before="20" w:after="40"/>
        <w:ind w:left="360"/>
      </w:pPr>
      <w:r>
        <w:rPr>
          <w:rFonts w:ascii="Calibri" w:hAnsi="Calibri"/>
          <w:b w:val="0"/>
          <w:i w:val="0"/>
          <w:color w:val="262626"/>
          <w:sz w:val="21"/>
        </w:rPr>
        <w:t>NOAA Climate — Climate and weather data for renewable energy yield modelling and climate risk assessment. Updated every 12 hours.</w:t>
      </w:r>
    </w:p>
    <w:p>
      <w:pPr>
        <w:pStyle w:val="ListBullet"/>
        <w:spacing w:before="20" w:after="40"/>
        <w:ind w:left="360"/>
      </w:pPr>
      <w:r>
        <w:rPr>
          <w:rFonts w:ascii="Calibri" w:hAnsi="Calibri"/>
          <w:b w:val="0"/>
          <w:i w:val="0"/>
          <w:color w:val="262626"/>
          <w:sz w:val="21"/>
        </w:rPr>
        <w:t>Regulations.gov — Regulatory update tracking for compliance calendar maintenance. Updated every 6 hours.</w:t>
      </w:r>
    </w:p>
    <w:p>
      <w:r>
        <w:br w:type="page"/>
      </w:r>
    </w:p>
    <w:p>
      <w:pPr>
        <w:spacing w:before="360" w:after="120"/>
        <w:pBdr>
          <w:bottom w:val="single" w:sz="6" w:space="1" w:color="1F3864"/>
        </w:pBdr>
      </w:pPr>
      <w:r>
        <w:rPr>
          <w:rFonts w:ascii="Calibri" w:hAnsi="Calibri"/>
          <w:b/>
          <w:i w:val="0"/>
          <w:color w:val="1F3864"/>
          <w:sz w:val="32"/>
        </w:rPr>
        <w:t>8. External Data Sources</w:t>
      </w:r>
    </w:p>
    <w:p>
      <w:pPr>
        <w:spacing w:before="0" w:after="100"/>
      </w:pPr>
      <w:r>
        <w:rPr>
          <w:rFonts w:ascii="Calibri" w:hAnsi="Calibri"/>
          <w:b w:val="0"/>
          <w:i w:val="0"/>
          <w:color w:val="262626"/>
          <w:sz w:val="21"/>
        </w:rPr>
        <w:t>SCR Platform integrates six external data sources that provide the market, regulatory, and economic context necessary for institutional-grade investment analysis. All external data is stored in the platform's database as time-series snapshots, enabling historical trend analysis and ensuring platform functionality even when external APIs are temporarily unavailable.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728"/>
            <w:shd w:val="clear" w:color="auto" w:fill="2F5496"/>
          </w:tcPr>
          <w:p>
            <w:pPr>
              <w:spacing w:before="60" w:after="60"/>
            </w:pPr>
            <w:r>
              <w:rPr>
                <w:rFonts w:ascii="Calibri" w:hAnsi="Calibri"/>
                <w:b/>
                <w:i w:val="0"/>
                <w:color w:val="FFFFFF"/>
                <w:sz w:val="20"/>
              </w:rPr>
              <w:t>Source</w:t>
            </w:r>
          </w:p>
        </w:tc>
        <w:tc>
          <w:tcPr>
            <w:tcW w:type="dxa" w:w="2880"/>
            <w:shd w:val="clear" w:color="auto" w:fill="2F5496"/>
          </w:tcPr>
          <w:p>
            <w:pPr>
              <w:spacing w:before="60" w:after="60"/>
            </w:pPr>
            <w:r>
              <w:rPr>
                <w:rFonts w:ascii="Calibri" w:hAnsi="Calibri"/>
                <w:b/>
                <w:i w:val="0"/>
                <w:color w:val="FFFFFF"/>
                <w:sz w:val="20"/>
              </w:rPr>
              <w:t>Data Provided</w:t>
            </w:r>
          </w:p>
        </w:tc>
        <w:tc>
          <w:tcPr>
            <w:tcW w:type="dxa" w:w="2016"/>
            <w:shd w:val="clear" w:color="auto" w:fill="2F5496"/>
          </w:tcPr>
          <w:p>
            <w:pPr>
              <w:spacing w:before="60" w:after="60"/>
            </w:pPr>
            <w:r>
              <w:rPr>
                <w:rFonts w:ascii="Calibri" w:hAnsi="Calibri"/>
                <w:b/>
                <w:i w:val="0"/>
                <w:color w:val="FFFFFF"/>
                <w:sz w:val="20"/>
              </w:rPr>
              <w:t>Refresh Frequency</w:t>
            </w:r>
          </w:p>
        </w:tc>
        <w:tc>
          <w:tcPr>
            <w:tcW w:type="dxa" w:w="3168"/>
            <w:shd w:val="clear" w:color="auto" w:fill="2F5496"/>
          </w:tcPr>
          <w:p>
            <w:pPr>
              <w:spacing w:before="60" w:after="60"/>
            </w:pPr>
            <w:r>
              <w:rPr>
                <w:rFonts w:ascii="Calibri" w:hAnsi="Calibri"/>
                <w:b/>
                <w:i w:val="0"/>
                <w:color w:val="FFFFFF"/>
                <w:sz w:val="20"/>
              </w:rPr>
              <w:t>Platform Use</w:t>
            </w:r>
          </w:p>
        </w:tc>
      </w:tr>
      <w:tr>
        <w:tc>
          <w:tcPr>
            <w:tcW w:type="dxa" w:w="1728"/>
            <w:shd w:val="clear" w:color="auto" w:fill="FFFFFF"/>
          </w:tcPr>
          <w:p>
            <w:pPr>
              <w:spacing w:before="40" w:after="40"/>
            </w:pPr>
            <w:r>
              <w:rPr>
                <w:rFonts w:ascii="Calibri" w:hAnsi="Calibri"/>
                <w:b w:val="0"/>
                <w:i w:val="0"/>
                <w:color w:val="262626"/>
                <w:sz w:val="20"/>
              </w:rPr>
              <w:t>FRED</w:t>
              <w:br/>
              <w:t>(Federal Reserve)</w:t>
            </w:r>
          </w:p>
        </w:tc>
        <w:tc>
          <w:tcPr>
            <w:tcW w:type="dxa" w:w="2880"/>
            <w:shd w:val="clear" w:color="auto" w:fill="FFFFFF"/>
          </w:tcPr>
          <w:p>
            <w:pPr>
              <w:spacing w:before="40" w:after="40"/>
            </w:pPr>
            <w:r>
              <w:rPr>
                <w:rFonts w:ascii="Calibri" w:hAnsi="Calibri"/>
                <w:b w:val="0"/>
                <w:i w:val="0"/>
                <w:color w:val="262626"/>
                <w:sz w:val="20"/>
              </w:rPr>
              <w:t>10Y Treasury Yield, Fed Funds Rate, CPI, Unemployment, S&amp;P500, 30Y Mortgage Rate</w:t>
            </w:r>
          </w:p>
        </w:tc>
        <w:tc>
          <w:tcPr>
            <w:tcW w:type="dxa" w:w="2016"/>
            <w:shd w:val="clear" w:color="auto" w:fill="FFFFFF"/>
          </w:tcPr>
          <w:p>
            <w:pPr>
              <w:spacing w:before="40" w:after="40"/>
            </w:pPr>
            <w:r>
              <w:rPr>
                <w:rFonts w:ascii="Calibri" w:hAnsi="Calibri"/>
                <w:b w:val="0"/>
                <w:i w:val="0"/>
                <w:color w:val="262626"/>
                <w:sz w:val="20"/>
              </w:rPr>
              <w:t>Hourly</w:t>
            </w:r>
          </w:p>
        </w:tc>
        <w:tc>
          <w:tcPr>
            <w:tcW w:type="dxa" w:w="3168"/>
            <w:shd w:val="clear" w:color="auto" w:fill="FFFFFF"/>
          </w:tcPr>
          <w:p>
            <w:pPr>
              <w:spacing w:before="40" w:after="40"/>
            </w:pPr>
            <w:r>
              <w:rPr>
                <w:rFonts w:ascii="Calibri" w:hAnsi="Calibri"/>
                <w:b w:val="0"/>
                <w:i w:val="0"/>
                <w:color w:val="262626"/>
                <w:sz w:val="20"/>
              </w:rPr>
              <w:t>Discount rates, financial benchmarks, macroeconomic context for valuations</w:t>
            </w:r>
          </w:p>
        </w:tc>
      </w:tr>
      <w:tr>
        <w:tc>
          <w:tcPr>
            <w:tcW w:type="dxa" w:w="1728"/>
            <w:shd w:val="clear" w:color="auto" w:fill="F2F2F2"/>
          </w:tcPr>
          <w:p>
            <w:pPr>
              <w:spacing w:before="40" w:after="40"/>
            </w:pPr>
            <w:r>
              <w:rPr>
                <w:rFonts w:ascii="Calibri" w:hAnsi="Calibri"/>
                <w:b w:val="0"/>
                <w:i w:val="0"/>
                <w:color w:val="262626"/>
                <w:sz w:val="20"/>
              </w:rPr>
              <w:t>World Bank</w:t>
            </w:r>
          </w:p>
        </w:tc>
        <w:tc>
          <w:tcPr>
            <w:tcW w:type="dxa" w:w="2880"/>
            <w:shd w:val="clear" w:color="auto" w:fill="F2F2F2"/>
          </w:tcPr>
          <w:p>
            <w:pPr>
              <w:spacing w:before="40" w:after="40"/>
            </w:pPr>
            <w:r>
              <w:rPr>
                <w:rFonts w:ascii="Calibri" w:hAnsi="Calibri"/>
                <w:b w:val="0"/>
                <w:i w:val="0"/>
                <w:color w:val="262626"/>
                <w:sz w:val="20"/>
              </w:rPr>
              <w:t>GDP Growth, CPI Inflation, Unemployment — global, US, EU, UK</w:t>
            </w:r>
          </w:p>
        </w:tc>
        <w:tc>
          <w:tcPr>
            <w:tcW w:type="dxa" w:w="2016"/>
            <w:shd w:val="clear" w:color="auto" w:fill="F2F2F2"/>
          </w:tcPr>
          <w:p>
            <w:pPr>
              <w:spacing w:before="40" w:after="40"/>
            </w:pPr>
            <w:r>
              <w:rPr>
                <w:rFonts w:ascii="Calibri" w:hAnsi="Calibri"/>
                <w:b w:val="0"/>
                <w:i w:val="0"/>
                <w:color w:val="262626"/>
                <w:sz w:val="20"/>
              </w:rPr>
              <w:t>Daily</w:t>
            </w:r>
          </w:p>
        </w:tc>
        <w:tc>
          <w:tcPr>
            <w:tcW w:type="dxa" w:w="3168"/>
            <w:shd w:val="clear" w:color="auto" w:fill="F2F2F2"/>
          </w:tcPr>
          <w:p>
            <w:pPr>
              <w:spacing w:before="40" w:after="40"/>
            </w:pPr>
            <w:r>
              <w:rPr>
                <w:rFonts w:ascii="Calibri" w:hAnsi="Calibri"/>
                <w:b w:val="0"/>
                <w:i w:val="0"/>
                <w:color w:val="262626"/>
                <w:sz w:val="20"/>
              </w:rPr>
              <w:t>Country-level macroeconomic benchmarks, market sizing, risk context</w:t>
            </w:r>
          </w:p>
        </w:tc>
      </w:tr>
      <w:tr>
        <w:tc>
          <w:tcPr>
            <w:tcW w:type="dxa" w:w="1728"/>
            <w:shd w:val="clear" w:color="auto" w:fill="FFFFFF"/>
          </w:tcPr>
          <w:p>
            <w:pPr>
              <w:spacing w:before="40" w:after="40"/>
            </w:pPr>
            <w:r>
              <w:rPr>
                <w:rFonts w:ascii="Calibri" w:hAnsi="Calibri"/>
                <w:b w:val="0"/>
                <w:i w:val="0"/>
                <w:color w:val="262626"/>
                <w:sz w:val="20"/>
              </w:rPr>
              <w:t>ECB</w:t>
              <w:br/>
              <w:t>(European Central Bank)</w:t>
            </w:r>
          </w:p>
        </w:tc>
        <w:tc>
          <w:tcPr>
            <w:tcW w:type="dxa" w:w="2880"/>
            <w:shd w:val="clear" w:color="auto" w:fill="FFFFFF"/>
          </w:tcPr>
          <w:p>
            <w:pPr>
              <w:spacing w:before="40" w:after="40"/>
            </w:pPr>
            <w:r>
              <w:rPr>
                <w:rFonts w:ascii="Calibri" w:hAnsi="Calibri"/>
                <w:b w:val="0"/>
                <w:i w:val="0"/>
                <w:color w:val="262626"/>
                <w:sz w:val="20"/>
              </w:rPr>
              <w:t>EUR/USD, EUR/GBP and all major EUR cross rates</w:t>
            </w:r>
          </w:p>
        </w:tc>
        <w:tc>
          <w:tcPr>
            <w:tcW w:type="dxa" w:w="2016"/>
            <w:shd w:val="clear" w:color="auto" w:fill="FFFFFF"/>
          </w:tcPr>
          <w:p>
            <w:pPr>
              <w:spacing w:before="40" w:after="40"/>
            </w:pPr>
            <w:r>
              <w:rPr>
                <w:rFonts w:ascii="Calibri" w:hAnsi="Calibri"/>
                <w:b w:val="0"/>
                <w:i w:val="0"/>
                <w:color w:val="262626"/>
                <w:sz w:val="20"/>
              </w:rPr>
              <w:t>Daily (15:00 UTC)</w:t>
            </w:r>
          </w:p>
        </w:tc>
        <w:tc>
          <w:tcPr>
            <w:tcW w:type="dxa" w:w="3168"/>
            <w:shd w:val="clear" w:color="auto" w:fill="FFFFFF"/>
          </w:tcPr>
          <w:p>
            <w:pPr>
              <w:spacing w:before="40" w:after="40"/>
            </w:pPr>
            <w:r>
              <w:rPr>
                <w:rFonts w:ascii="Calibri" w:hAnsi="Calibri"/>
                <w:b w:val="0"/>
                <w:i w:val="0"/>
                <w:color w:val="262626"/>
                <w:sz w:val="20"/>
              </w:rPr>
              <w:t>Multi-currency financial modelling, FX exposure tracking, EUR-denominated reporting</w:t>
            </w:r>
          </w:p>
        </w:tc>
      </w:tr>
      <w:tr>
        <w:tc>
          <w:tcPr>
            <w:tcW w:type="dxa" w:w="1728"/>
            <w:shd w:val="clear" w:color="auto" w:fill="F2F2F2"/>
          </w:tcPr>
          <w:p>
            <w:pPr>
              <w:spacing w:before="40" w:after="40"/>
            </w:pPr>
            <w:r>
              <w:rPr>
                <w:rFonts w:ascii="Calibri" w:hAnsi="Calibri"/>
                <w:b w:val="0"/>
                <w:i w:val="0"/>
                <w:color w:val="262626"/>
                <w:sz w:val="20"/>
              </w:rPr>
              <w:t>Yahoo Finance</w:t>
            </w:r>
          </w:p>
        </w:tc>
        <w:tc>
          <w:tcPr>
            <w:tcW w:type="dxa" w:w="2880"/>
            <w:shd w:val="clear" w:color="auto" w:fill="F2F2F2"/>
          </w:tcPr>
          <w:p>
            <w:pPr>
              <w:spacing w:before="40" w:after="40"/>
            </w:pPr>
            <w:r>
              <w:rPr>
                <w:rFonts w:ascii="Calibri" w:hAnsi="Calibri"/>
                <w:b w:val="0"/>
                <w:i w:val="0"/>
                <w:color w:val="262626"/>
                <w:sz w:val="20"/>
              </w:rPr>
              <w:t>Public equity market data and indices</w:t>
            </w:r>
          </w:p>
        </w:tc>
        <w:tc>
          <w:tcPr>
            <w:tcW w:type="dxa" w:w="2016"/>
            <w:shd w:val="clear" w:color="auto" w:fill="F2F2F2"/>
          </w:tcPr>
          <w:p>
            <w:pPr>
              <w:spacing w:before="40" w:after="40"/>
            </w:pPr>
            <w:r>
              <w:rPr>
                <w:rFonts w:ascii="Calibri" w:hAnsi="Calibri"/>
                <w:b w:val="0"/>
                <w:i w:val="0"/>
                <w:color w:val="262626"/>
                <w:sz w:val="20"/>
              </w:rPr>
              <w:t>Hourly</w:t>
            </w:r>
          </w:p>
        </w:tc>
        <w:tc>
          <w:tcPr>
            <w:tcW w:type="dxa" w:w="3168"/>
            <w:shd w:val="clear" w:color="auto" w:fill="F2F2F2"/>
          </w:tcPr>
          <w:p>
            <w:pPr>
              <w:spacing w:before="40" w:after="40"/>
            </w:pPr>
            <w:r>
              <w:rPr>
                <w:rFonts w:ascii="Calibri" w:hAnsi="Calibri"/>
                <w:b w:val="0"/>
                <w:i w:val="0"/>
                <w:color w:val="262626"/>
                <w:sz w:val="20"/>
              </w:rPr>
              <w:t>Comparable public market benchmarks, market context for private valuations</w:t>
            </w:r>
          </w:p>
        </w:tc>
      </w:tr>
      <w:tr>
        <w:tc>
          <w:tcPr>
            <w:tcW w:type="dxa" w:w="1728"/>
            <w:shd w:val="clear" w:color="auto" w:fill="FFFFFF"/>
          </w:tcPr>
          <w:p>
            <w:pPr>
              <w:spacing w:before="40" w:after="40"/>
            </w:pPr>
            <w:r>
              <w:rPr>
                <w:rFonts w:ascii="Calibri" w:hAnsi="Calibri"/>
                <w:b w:val="0"/>
                <w:i w:val="0"/>
                <w:color w:val="262626"/>
                <w:sz w:val="20"/>
              </w:rPr>
              <w:t>NOAA Climate</w:t>
            </w:r>
          </w:p>
        </w:tc>
        <w:tc>
          <w:tcPr>
            <w:tcW w:type="dxa" w:w="2880"/>
            <w:shd w:val="clear" w:color="auto" w:fill="FFFFFF"/>
          </w:tcPr>
          <w:p>
            <w:pPr>
              <w:spacing w:before="40" w:after="40"/>
            </w:pPr>
            <w:r>
              <w:rPr>
                <w:rFonts w:ascii="Calibri" w:hAnsi="Calibri"/>
                <w:b w:val="0"/>
                <w:i w:val="0"/>
                <w:color w:val="262626"/>
                <w:sz w:val="20"/>
              </w:rPr>
              <w:t>Climate and weather data</w:t>
            </w:r>
          </w:p>
        </w:tc>
        <w:tc>
          <w:tcPr>
            <w:tcW w:type="dxa" w:w="2016"/>
            <w:shd w:val="clear" w:color="auto" w:fill="FFFFFF"/>
          </w:tcPr>
          <w:p>
            <w:pPr>
              <w:spacing w:before="40" w:after="40"/>
            </w:pPr>
            <w:r>
              <w:rPr>
                <w:rFonts w:ascii="Calibri" w:hAnsi="Calibri"/>
                <w:b w:val="0"/>
                <w:i w:val="0"/>
                <w:color w:val="262626"/>
                <w:sz w:val="20"/>
              </w:rPr>
              <w:t>Every 12 hours</w:t>
            </w:r>
          </w:p>
        </w:tc>
        <w:tc>
          <w:tcPr>
            <w:tcW w:type="dxa" w:w="3168"/>
            <w:shd w:val="clear" w:color="auto" w:fill="FFFFFF"/>
          </w:tcPr>
          <w:p>
            <w:pPr>
              <w:spacing w:before="40" w:after="40"/>
            </w:pPr>
            <w:r>
              <w:rPr>
                <w:rFonts w:ascii="Calibri" w:hAnsi="Calibri"/>
                <w:b w:val="0"/>
                <w:i w:val="0"/>
                <w:color w:val="262626"/>
                <w:sz w:val="20"/>
              </w:rPr>
              <w:t>Renewable energy yield modelling, climate risk assessment for infrastructure investments</w:t>
            </w:r>
          </w:p>
        </w:tc>
      </w:tr>
      <w:tr>
        <w:tc>
          <w:tcPr>
            <w:tcW w:type="dxa" w:w="1728"/>
            <w:shd w:val="clear" w:color="auto" w:fill="F2F2F2"/>
          </w:tcPr>
          <w:p>
            <w:pPr>
              <w:spacing w:before="40" w:after="40"/>
            </w:pPr>
            <w:r>
              <w:rPr>
                <w:rFonts w:ascii="Calibri" w:hAnsi="Calibri"/>
                <w:b w:val="0"/>
                <w:i w:val="0"/>
                <w:color w:val="262626"/>
                <w:sz w:val="20"/>
              </w:rPr>
              <w:t>Regulations.gov</w:t>
            </w:r>
          </w:p>
        </w:tc>
        <w:tc>
          <w:tcPr>
            <w:tcW w:type="dxa" w:w="2880"/>
            <w:shd w:val="clear" w:color="auto" w:fill="F2F2F2"/>
          </w:tcPr>
          <w:p>
            <w:pPr>
              <w:spacing w:before="40" w:after="40"/>
            </w:pPr>
            <w:r>
              <w:rPr>
                <w:rFonts w:ascii="Calibri" w:hAnsi="Calibri"/>
                <w:b w:val="0"/>
                <w:i w:val="0"/>
                <w:color w:val="262626"/>
                <w:sz w:val="20"/>
              </w:rPr>
              <w:t>US regulatory updates and rule changes</w:t>
            </w:r>
          </w:p>
        </w:tc>
        <w:tc>
          <w:tcPr>
            <w:tcW w:type="dxa" w:w="2016"/>
            <w:shd w:val="clear" w:color="auto" w:fill="F2F2F2"/>
          </w:tcPr>
          <w:p>
            <w:pPr>
              <w:spacing w:before="40" w:after="40"/>
            </w:pPr>
            <w:r>
              <w:rPr>
                <w:rFonts w:ascii="Calibri" w:hAnsi="Calibri"/>
                <w:b w:val="0"/>
                <w:i w:val="0"/>
                <w:color w:val="262626"/>
                <w:sz w:val="20"/>
              </w:rPr>
              <w:t>Every 6 hours</w:t>
            </w:r>
          </w:p>
        </w:tc>
        <w:tc>
          <w:tcPr>
            <w:tcW w:type="dxa" w:w="3168"/>
            <w:shd w:val="clear" w:color="auto" w:fill="F2F2F2"/>
          </w:tcPr>
          <w:p>
            <w:pPr>
              <w:spacing w:before="40" w:after="40"/>
            </w:pPr>
            <w:r>
              <w:rPr>
                <w:rFonts w:ascii="Calibri" w:hAnsi="Calibri"/>
                <w:b w:val="0"/>
                <w:i w:val="0"/>
                <w:color w:val="262626"/>
                <w:sz w:val="20"/>
              </w:rPr>
              <w:t>Compliance calendar maintenance, regulatory risk monitoring</w:t>
            </w:r>
          </w:p>
        </w:tc>
      </w:tr>
    </w:tbl>
    <w:p/>
    <w:p>
      <w:r>
        <w:br w:type="page"/>
      </w:r>
    </w:p>
    <w:p>
      <w:pPr>
        <w:spacing w:before="360" w:after="120"/>
        <w:pBdr>
          <w:bottom w:val="single" w:sz="6" w:space="1" w:color="1F3864"/>
        </w:pBdr>
      </w:pPr>
      <w:r>
        <w:rPr>
          <w:rFonts w:ascii="Calibri" w:hAnsi="Calibri"/>
          <w:b/>
          <w:i w:val="0"/>
          <w:color w:val="1F3864"/>
          <w:sz w:val="32"/>
        </w:rPr>
        <w:t>9. Reporting &amp; Output Formats</w:t>
      </w:r>
    </w:p>
    <w:p>
      <w:pPr>
        <w:spacing w:before="0" w:after="100"/>
      </w:pPr>
      <w:r>
        <w:rPr>
          <w:rFonts w:ascii="Calibri" w:hAnsi="Calibri"/>
          <w:b w:val="0"/>
          <w:i w:val="0"/>
          <w:color w:val="262626"/>
          <w:sz w:val="21"/>
        </w:rPr>
        <w:t>SCR Platform produces a comprehensive range of report types in multiple output formats, all driven from live platform data and customisable to organisational requirements.</w:t>
      </w:r>
    </w:p>
    <w:p>
      <w:pPr>
        <w:spacing w:before="280" w:after="80"/>
      </w:pPr>
      <w:r>
        <w:rPr>
          <w:rFonts w:ascii="Calibri" w:hAnsi="Calibri"/>
          <w:b/>
          <w:i w:val="0"/>
          <w:color w:val="2F5496"/>
          <w:sz w:val="26"/>
        </w:rPr>
        <w:t>9A. Report Types</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2F5496"/>
          </w:tcPr>
          <w:p>
            <w:pPr>
              <w:spacing w:before="60" w:after="60"/>
            </w:pPr>
            <w:r>
              <w:rPr>
                <w:rFonts w:ascii="Calibri" w:hAnsi="Calibri"/>
                <w:b/>
                <w:i w:val="0"/>
                <w:color w:val="FFFFFF"/>
                <w:sz w:val="20"/>
              </w:rPr>
              <w:t>Report</w:t>
            </w:r>
          </w:p>
        </w:tc>
        <w:tc>
          <w:tcPr>
            <w:tcW w:type="dxa" w:w="1728"/>
            <w:shd w:val="clear" w:color="auto" w:fill="2F5496"/>
          </w:tcPr>
          <w:p>
            <w:pPr>
              <w:spacing w:before="60" w:after="60"/>
            </w:pPr>
            <w:r>
              <w:rPr>
                <w:rFonts w:ascii="Calibri" w:hAnsi="Calibri"/>
                <w:b/>
                <w:i w:val="0"/>
                <w:color w:val="FFFFFF"/>
                <w:sz w:val="20"/>
              </w:rPr>
              <w:t>Category</w:t>
            </w:r>
          </w:p>
        </w:tc>
        <w:tc>
          <w:tcPr>
            <w:tcW w:type="dxa" w:w="5472"/>
            <w:shd w:val="clear" w:color="auto" w:fill="2F5496"/>
          </w:tcPr>
          <w:p>
            <w:pPr>
              <w:spacing w:before="60" w:after="60"/>
            </w:pPr>
            <w:r>
              <w:rPr>
                <w:rFonts w:ascii="Calibri" w:hAnsi="Calibri"/>
                <w:b/>
                <w:i w:val="0"/>
                <w:color w:val="FFFFFF"/>
                <w:sz w:val="20"/>
              </w:rPr>
              <w:t>Key Contents</w:t>
            </w:r>
          </w:p>
        </w:tc>
      </w:tr>
      <w:tr>
        <w:tc>
          <w:tcPr>
            <w:tcW w:type="dxa" w:w="2592"/>
            <w:shd w:val="clear" w:color="auto" w:fill="FFFFFF"/>
          </w:tcPr>
          <w:p>
            <w:pPr>
              <w:spacing w:before="40" w:after="40"/>
            </w:pPr>
            <w:r>
              <w:rPr>
                <w:rFonts w:ascii="Calibri" w:hAnsi="Calibri"/>
                <w:b w:val="0"/>
                <w:i w:val="0"/>
                <w:color w:val="262626"/>
                <w:sz w:val="20"/>
              </w:rPr>
              <w:t>LP Quarterly Report</w:t>
            </w:r>
          </w:p>
        </w:tc>
        <w:tc>
          <w:tcPr>
            <w:tcW w:type="dxa" w:w="1728"/>
            <w:shd w:val="clear" w:color="auto" w:fill="FFFFFF"/>
          </w:tcPr>
          <w:p>
            <w:pPr>
              <w:spacing w:before="40" w:after="40"/>
            </w:pPr>
            <w:r>
              <w:rPr>
                <w:rFonts w:ascii="Calibri" w:hAnsi="Calibri"/>
                <w:b w:val="0"/>
                <w:i w:val="0"/>
                <w:color w:val="262626"/>
                <w:sz w:val="20"/>
              </w:rPr>
              <w:t>Performance</w:t>
            </w:r>
          </w:p>
        </w:tc>
        <w:tc>
          <w:tcPr>
            <w:tcW w:type="dxa" w:w="5472"/>
            <w:shd w:val="clear" w:color="auto" w:fill="FFFFFF"/>
          </w:tcPr>
          <w:p>
            <w:pPr>
              <w:spacing w:before="40" w:after="40"/>
            </w:pPr>
            <w:r>
              <w:rPr>
                <w:rFonts w:ascii="Calibri" w:hAnsi="Calibri"/>
                <w:b w:val="0"/>
                <w:i w:val="0"/>
                <w:color w:val="262626"/>
                <w:sz w:val="20"/>
              </w:rPr>
              <w:t>Fund performance summary, portfolio updates, benchmark positioning, covenant status, pacing analysis, ESG metrics</w:t>
            </w:r>
          </w:p>
        </w:tc>
      </w:tr>
      <w:tr>
        <w:tc>
          <w:tcPr>
            <w:tcW w:type="dxa" w:w="2592"/>
            <w:shd w:val="clear" w:color="auto" w:fill="F2F2F2"/>
          </w:tcPr>
          <w:p>
            <w:pPr>
              <w:spacing w:before="40" w:after="40"/>
            </w:pPr>
            <w:r>
              <w:rPr>
                <w:rFonts w:ascii="Calibri" w:hAnsi="Calibri"/>
                <w:b w:val="0"/>
                <w:i w:val="0"/>
                <w:color w:val="262626"/>
                <w:sz w:val="20"/>
              </w:rPr>
              <w:t>Portfolio Performance Report</w:t>
            </w:r>
          </w:p>
        </w:tc>
        <w:tc>
          <w:tcPr>
            <w:tcW w:type="dxa" w:w="1728"/>
            <w:shd w:val="clear" w:color="auto" w:fill="F2F2F2"/>
          </w:tcPr>
          <w:p>
            <w:pPr>
              <w:spacing w:before="40" w:after="40"/>
            </w:pPr>
            <w:r>
              <w:rPr>
                <w:rFonts w:ascii="Calibri" w:hAnsi="Calibri"/>
                <w:b w:val="0"/>
                <w:i w:val="0"/>
                <w:color w:val="262626"/>
                <w:sz w:val="20"/>
              </w:rPr>
              <w:t>Performance</w:t>
            </w:r>
          </w:p>
        </w:tc>
        <w:tc>
          <w:tcPr>
            <w:tcW w:type="dxa" w:w="5472"/>
            <w:shd w:val="clear" w:color="auto" w:fill="F2F2F2"/>
          </w:tcPr>
          <w:p>
            <w:pPr>
              <w:spacing w:before="40" w:after="40"/>
            </w:pPr>
            <w:r>
              <w:rPr>
                <w:rFonts w:ascii="Calibri" w:hAnsi="Calibri"/>
                <w:b w:val="0"/>
                <w:i w:val="0"/>
                <w:color w:val="262626"/>
                <w:sz w:val="20"/>
              </w:rPr>
              <w:t>Holdings breakdown, attribution analysis, vintage year comparison, benchmark quartiles</w:t>
            </w:r>
          </w:p>
        </w:tc>
      </w:tr>
      <w:tr>
        <w:tc>
          <w:tcPr>
            <w:tcW w:type="dxa" w:w="2592"/>
            <w:shd w:val="clear" w:color="auto" w:fill="FFFFFF"/>
          </w:tcPr>
          <w:p>
            <w:pPr>
              <w:spacing w:before="40" w:after="40"/>
            </w:pPr>
            <w:r>
              <w:rPr>
                <w:rFonts w:ascii="Calibri" w:hAnsi="Calibri"/>
                <w:b w:val="0"/>
                <w:i w:val="0"/>
                <w:color w:val="262626"/>
                <w:sz w:val="20"/>
              </w:rPr>
              <w:t>ESG Impact Report</w:t>
            </w:r>
          </w:p>
        </w:tc>
        <w:tc>
          <w:tcPr>
            <w:tcW w:type="dxa" w:w="1728"/>
            <w:shd w:val="clear" w:color="auto" w:fill="FFFFFF"/>
          </w:tcPr>
          <w:p>
            <w:pPr>
              <w:spacing w:before="40" w:after="40"/>
            </w:pPr>
            <w:r>
              <w:rPr>
                <w:rFonts w:ascii="Calibri" w:hAnsi="Calibri"/>
                <w:b w:val="0"/>
                <w:i w:val="0"/>
                <w:color w:val="262626"/>
                <w:sz w:val="20"/>
              </w:rPr>
              <w:t>ESG</w:t>
            </w:r>
          </w:p>
        </w:tc>
        <w:tc>
          <w:tcPr>
            <w:tcW w:type="dxa" w:w="5472"/>
            <w:shd w:val="clear" w:color="auto" w:fill="FFFFFF"/>
          </w:tcPr>
          <w:p>
            <w:pPr>
              <w:spacing w:before="40" w:after="40"/>
            </w:pPr>
            <w:r>
              <w:rPr>
                <w:rFonts w:ascii="Calibri" w:hAnsi="Calibri"/>
                <w:b w:val="0"/>
                <w:i w:val="0"/>
                <w:color w:val="262626"/>
                <w:sz w:val="20"/>
              </w:rPr>
              <w:t>Carbon reduction metrics, taxonomy alignment, social impact KPIs, SDG mapping, governance assessment</w:t>
            </w:r>
          </w:p>
        </w:tc>
      </w:tr>
      <w:tr>
        <w:tc>
          <w:tcPr>
            <w:tcW w:type="dxa" w:w="2592"/>
            <w:shd w:val="clear" w:color="auto" w:fill="F2F2F2"/>
          </w:tcPr>
          <w:p>
            <w:pPr>
              <w:spacing w:before="40" w:after="40"/>
            </w:pPr>
            <w:r>
              <w:rPr>
                <w:rFonts w:ascii="Calibri" w:hAnsi="Calibri"/>
                <w:b w:val="0"/>
                <w:i w:val="0"/>
                <w:color w:val="262626"/>
                <w:sz w:val="20"/>
              </w:rPr>
              <w:t>Project Status Report</w:t>
            </w:r>
          </w:p>
        </w:tc>
        <w:tc>
          <w:tcPr>
            <w:tcW w:type="dxa" w:w="1728"/>
            <w:shd w:val="clear" w:color="auto" w:fill="F2F2F2"/>
          </w:tcPr>
          <w:p>
            <w:pPr>
              <w:spacing w:before="40" w:after="40"/>
            </w:pPr>
            <w:r>
              <w:rPr>
                <w:rFonts w:ascii="Calibri" w:hAnsi="Calibri"/>
                <w:b w:val="0"/>
                <w:i w:val="0"/>
                <w:color w:val="262626"/>
                <w:sz w:val="20"/>
              </w:rPr>
              <w:t>Project</w:t>
            </w:r>
          </w:p>
        </w:tc>
        <w:tc>
          <w:tcPr>
            <w:tcW w:type="dxa" w:w="5472"/>
            <w:shd w:val="clear" w:color="auto" w:fill="F2F2F2"/>
          </w:tcPr>
          <w:p>
            <w:pPr>
              <w:spacing w:before="40" w:after="40"/>
            </w:pPr>
            <w:r>
              <w:rPr>
                <w:rFonts w:ascii="Calibri" w:hAnsi="Calibri"/>
                <w:b w:val="0"/>
                <w:i w:val="0"/>
                <w:color w:val="262626"/>
                <w:sz w:val="20"/>
              </w:rPr>
              <w:t>Milestone progress, budget tracking, signal score trend, recent activity</w:t>
            </w:r>
          </w:p>
        </w:tc>
      </w:tr>
      <w:tr>
        <w:tc>
          <w:tcPr>
            <w:tcW w:type="dxa" w:w="2592"/>
            <w:shd w:val="clear" w:color="auto" w:fill="FFFFFF"/>
          </w:tcPr>
          <w:p>
            <w:pPr>
              <w:spacing w:before="40" w:after="40"/>
            </w:pPr>
            <w:r>
              <w:rPr>
                <w:rFonts w:ascii="Calibri" w:hAnsi="Calibri"/>
                <w:b w:val="0"/>
                <w:i w:val="0"/>
                <w:color w:val="262626"/>
                <w:sz w:val="20"/>
              </w:rPr>
              <w:t>Deal Memo</w:t>
            </w:r>
          </w:p>
        </w:tc>
        <w:tc>
          <w:tcPr>
            <w:tcW w:type="dxa" w:w="1728"/>
            <w:shd w:val="clear" w:color="auto" w:fill="FFFFFF"/>
          </w:tcPr>
          <w:p>
            <w:pPr>
              <w:spacing w:before="40" w:after="40"/>
            </w:pPr>
            <w:r>
              <w:rPr>
                <w:rFonts w:ascii="Calibri" w:hAnsi="Calibri"/>
                <w:b w:val="0"/>
                <w:i w:val="0"/>
                <w:color w:val="262626"/>
                <w:sz w:val="20"/>
              </w:rPr>
              <w:t>Portfolio</w:t>
            </w:r>
          </w:p>
        </w:tc>
        <w:tc>
          <w:tcPr>
            <w:tcW w:type="dxa" w:w="5472"/>
            <w:shd w:val="clear" w:color="auto" w:fill="FFFFFF"/>
          </w:tcPr>
          <w:p>
            <w:pPr>
              <w:spacing w:before="40" w:after="40"/>
            </w:pPr>
            <w:r>
              <w:rPr>
                <w:rFonts w:ascii="Calibri" w:hAnsi="Calibri"/>
                <w:b w:val="0"/>
                <w:i w:val="0"/>
                <w:color w:val="262626"/>
                <w:sz w:val="20"/>
              </w:rPr>
              <w:t>Investment thesis, financial analysis, risk summary, team assessment, mandate alignment, recommendation</w:t>
            </w:r>
          </w:p>
        </w:tc>
      </w:tr>
      <w:tr>
        <w:tc>
          <w:tcPr>
            <w:tcW w:type="dxa" w:w="2592"/>
            <w:shd w:val="clear" w:color="auto" w:fill="F2F2F2"/>
          </w:tcPr>
          <w:p>
            <w:pPr>
              <w:spacing w:before="40" w:after="40"/>
            </w:pPr>
            <w:r>
              <w:rPr>
                <w:rFonts w:ascii="Calibri" w:hAnsi="Calibri"/>
                <w:b w:val="0"/>
                <w:i w:val="0"/>
                <w:color w:val="262626"/>
                <w:sz w:val="20"/>
              </w:rPr>
              <w:t>Carbon Credits Report</w:t>
            </w:r>
          </w:p>
        </w:tc>
        <w:tc>
          <w:tcPr>
            <w:tcW w:type="dxa" w:w="1728"/>
            <w:shd w:val="clear" w:color="auto" w:fill="F2F2F2"/>
          </w:tcPr>
          <w:p>
            <w:pPr>
              <w:spacing w:before="40" w:after="40"/>
            </w:pPr>
            <w:r>
              <w:rPr>
                <w:rFonts w:ascii="Calibri" w:hAnsi="Calibri"/>
                <w:b w:val="0"/>
                <w:i w:val="0"/>
                <w:color w:val="262626"/>
                <w:sz w:val="20"/>
              </w:rPr>
              <w:t>ESG</w:t>
            </w:r>
          </w:p>
        </w:tc>
        <w:tc>
          <w:tcPr>
            <w:tcW w:type="dxa" w:w="5472"/>
            <w:shd w:val="clear" w:color="auto" w:fill="F2F2F2"/>
          </w:tcPr>
          <w:p>
            <w:pPr>
              <w:spacing w:before="40" w:after="40"/>
            </w:pPr>
            <w:r>
              <w:rPr>
                <w:rFonts w:ascii="Calibri" w:hAnsi="Calibri"/>
                <w:b w:val="0"/>
                <w:i w:val="0"/>
                <w:color w:val="262626"/>
                <w:sz w:val="20"/>
              </w:rPr>
              <w:t>Projected carbon offsets, certification status, registry details, methodology validation</w:t>
            </w:r>
          </w:p>
        </w:tc>
      </w:tr>
      <w:tr>
        <w:tc>
          <w:tcPr>
            <w:tcW w:type="dxa" w:w="2592"/>
            <w:shd w:val="clear" w:color="auto" w:fill="FFFFFF"/>
          </w:tcPr>
          <w:p>
            <w:pPr>
              <w:spacing w:before="40" w:after="40"/>
            </w:pPr>
            <w:r>
              <w:rPr>
                <w:rFonts w:ascii="Calibri" w:hAnsi="Calibri"/>
                <w:b w:val="0"/>
                <w:i w:val="0"/>
                <w:color w:val="262626"/>
                <w:sz w:val="20"/>
              </w:rPr>
              <w:t>Investor Signal Score Report</w:t>
            </w:r>
          </w:p>
        </w:tc>
        <w:tc>
          <w:tcPr>
            <w:tcW w:type="dxa" w:w="1728"/>
            <w:shd w:val="clear" w:color="auto" w:fill="FFFFFF"/>
          </w:tcPr>
          <w:p>
            <w:pPr>
              <w:spacing w:before="40" w:after="40"/>
            </w:pPr>
            <w:r>
              <w:rPr>
                <w:rFonts w:ascii="Calibri" w:hAnsi="Calibri"/>
                <w:b w:val="0"/>
                <w:i w:val="0"/>
                <w:color w:val="262626"/>
                <w:sz w:val="20"/>
              </w:rPr>
              <w:t>Performance</w:t>
            </w:r>
          </w:p>
        </w:tc>
        <w:tc>
          <w:tcPr>
            <w:tcW w:type="dxa" w:w="5472"/>
            <w:shd w:val="clear" w:color="auto" w:fill="FFFFFF"/>
          </w:tcPr>
          <w:p>
            <w:pPr>
              <w:spacing w:before="40" w:after="40"/>
            </w:pPr>
            <w:r>
              <w:rPr>
                <w:rFonts w:ascii="Calibri" w:hAnsi="Calibri"/>
                <w:b w:val="0"/>
                <w:i w:val="0"/>
                <w:color w:val="262626"/>
                <w:sz w:val="20"/>
              </w:rPr>
              <w:t>Investor scoring breakdown, deal compatibility analysis, match factors</w:t>
            </w:r>
          </w:p>
        </w:tc>
      </w:tr>
      <w:tr>
        <w:tc>
          <w:tcPr>
            <w:tcW w:type="dxa" w:w="2592"/>
            <w:shd w:val="clear" w:color="auto" w:fill="F2F2F2"/>
          </w:tcPr>
          <w:p>
            <w:pPr>
              <w:spacing w:before="40" w:after="40"/>
            </w:pPr>
            <w:r>
              <w:rPr>
                <w:rFonts w:ascii="Calibri" w:hAnsi="Calibri"/>
                <w:b w:val="0"/>
                <w:i w:val="0"/>
                <w:color w:val="262626"/>
                <w:sz w:val="20"/>
              </w:rPr>
              <w:t>Legal Review Summary</w:t>
            </w:r>
          </w:p>
        </w:tc>
        <w:tc>
          <w:tcPr>
            <w:tcW w:type="dxa" w:w="1728"/>
            <w:shd w:val="clear" w:color="auto" w:fill="F2F2F2"/>
          </w:tcPr>
          <w:p>
            <w:pPr>
              <w:spacing w:before="40" w:after="40"/>
            </w:pPr>
            <w:r>
              <w:rPr>
                <w:rFonts w:ascii="Calibri" w:hAnsi="Calibri"/>
                <w:b w:val="0"/>
                <w:i w:val="0"/>
                <w:color w:val="262626"/>
                <w:sz w:val="20"/>
              </w:rPr>
              <w:t>Compliance</w:t>
            </w:r>
          </w:p>
        </w:tc>
        <w:tc>
          <w:tcPr>
            <w:tcW w:type="dxa" w:w="5472"/>
            <w:shd w:val="clear" w:color="auto" w:fill="F2F2F2"/>
          </w:tcPr>
          <w:p>
            <w:pPr>
              <w:spacing w:before="40" w:after="40"/>
            </w:pPr>
            <w:r>
              <w:rPr>
                <w:rFonts w:ascii="Calibri" w:hAnsi="Calibri"/>
                <w:b w:val="0"/>
                <w:i w:val="0"/>
                <w:color w:val="262626"/>
                <w:sz w:val="20"/>
              </w:rPr>
              <w:t>Document completeness, flagged clauses, obligation summary, key terms extraction</w:t>
            </w:r>
          </w:p>
        </w:tc>
      </w:tr>
    </w:tbl>
    <w:p/>
    <w:p>
      <w:pPr>
        <w:spacing w:before="280" w:after="80"/>
      </w:pPr>
      <w:r>
        <w:rPr>
          <w:rFonts w:ascii="Calibri" w:hAnsi="Calibri"/>
          <w:b/>
          <w:i w:val="0"/>
          <w:color w:val="2F5496"/>
          <w:sz w:val="26"/>
        </w:rPr>
        <w:t>9B. Output Formats</w:t>
      </w:r>
    </w:p>
    <w:p>
      <w:pPr>
        <w:pStyle w:val="ListBullet"/>
        <w:spacing w:before="20" w:after="40"/>
        <w:ind w:left="360"/>
      </w:pPr>
      <w:r>
        <w:rPr>
          <w:rFonts w:ascii="Calibri" w:hAnsi="Calibri"/>
          <w:b/>
          <w:i w:val="0"/>
          <w:color w:val="262626"/>
          <w:sz w:val="21"/>
        </w:rPr>
        <w:t>PDF —</w:t>
      </w:r>
      <w:r>
        <w:rPr>
          <w:rFonts w:ascii="Calibri" w:hAnsi="Calibri"/>
          <w:b w:val="0"/>
          <w:i w:val="0"/>
          <w:color w:val="262626"/>
          <w:sz w:val="21"/>
        </w:rPr>
        <w:t xml:space="preserve"> Publication-quality reports with cover page, table of contents, charts, and branded styling. Suitable for LP distribution, regulatory filing, and board presentation.</w:t>
      </w:r>
    </w:p>
    <w:p>
      <w:pPr>
        <w:pStyle w:val="ListBullet"/>
        <w:spacing w:before="20" w:after="40"/>
        <w:ind w:left="360"/>
      </w:pPr>
      <w:r>
        <w:rPr>
          <w:rFonts w:ascii="Calibri" w:hAnsi="Calibri"/>
          <w:b/>
          <w:i w:val="0"/>
          <w:color w:val="262626"/>
          <w:sz w:val="21"/>
        </w:rPr>
        <w:t>Excel (XLSX) —</w:t>
      </w:r>
      <w:r>
        <w:rPr>
          <w:rFonts w:ascii="Calibri" w:hAnsi="Calibri"/>
          <w:b w:val="0"/>
          <w:i w:val="0"/>
          <w:color w:val="262626"/>
          <w:sz w:val="21"/>
        </w:rPr>
        <w:t xml:space="preserve"> Structured data exports with financial formatting, formulas intact, and pivot-ready layouts. Supports further financial modelling downstream.</w:t>
      </w:r>
    </w:p>
    <w:p>
      <w:pPr>
        <w:pStyle w:val="ListBullet"/>
        <w:spacing w:before="20" w:after="40"/>
        <w:ind w:left="360"/>
      </w:pPr>
      <w:r>
        <w:rPr>
          <w:rFonts w:ascii="Calibri" w:hAnsi="Calibri"/>
          <w:b/>
          <w:i w:val="0"/>
          <w:color w:val="262626"/>
          <w:sz w:val="21"/>
        </w:rPr>
        <w:t>PowerPoint (PPTX) —</w:t>
      </w:r>
      <w:r>
        <w:rPr>
          <w:rFonts w:ascii="Calibri" w:hAnsi="Calibri"/>
          <w:b w:val="0"/>
          <w:i w:val="0"/>
          <w:color w:val="262626"/>
          <w:sz w:val="21"/>
        </w:rPr>
        <w:t xml:space="preserve"> Presentation-ready fund performance decks with charts, summary slides, and branded templates suitable for LP meetings and investment committee presentations.</w:t>
      </w:r>
    </w:p>
    <w:p>
      <w:pPr>
        <w:pStyle w:val="ListBullet"/>
        <w:spacing w:before="20" w:after="40"/>
        <w:ind w:left="360"/>
      </w:pPr>
      <w:r>
        <w:rPr>
          <w:rFonts w:ascii="Calibri" w:hAnsi="Calibri"/>
          <w:b/>
          <w:i w:val="0"/>
          <w:color w:val="262626"/>
          <w:sz w:val="21"/>
        </w:rPr>
        <w:t>Bulk ZIP Archives —</w:t>
      </w:r>
      <w:r>
        <w:rPr>
          <w:rFonts w:ascii="Calibri" w:hAnsi="Calibri"/>
          <w:b w:val="0"/>
          <w:i w:val="0"/>
          <w:color w:val="262626"/>
          <w:sz w:val="21"/>
        </w:rPr>
        <w:t xml:space="preserve"> Multiple documents packaged for distribution in a single download, preserving folder structure.</w:t>
      </w:r>
    </w:p>
    <w:p>
      <w:pPr>
        <w:pStyle w:val="ListBullet"/>
        <w:spacing w:before="20" w:after="40"/>
        <w:ind w:left="360"/>
      </w:pPr>
      <w:r>
        <w:rPr>
          <w:rFonts w:ascii="Calibri" w:hAnsi="Calibri"/>
          <w:b/>
          <w:i w:val="0"/>
          <w:color w:val="262626"/>
          <w:sz w:val="21"/>
        </w:rPr>
        <w:t>Branded Output —</w:t>
      </w:r>
      <w:r>
        <w:rPr>
          <w:rFonts w:ascii="Calibri" w:hAnsi="Calibri"/>
          <w:b w:val="0"/>
          <w:i w:val="0"/>
          <w:color w:val="262626"/>
          <w:sz w:val="21"/>
        </w:rPr>
        <w:t xml:space="preserve"> All reports can carry the deploying organisation's logo, colour scheme, and company name, maintaining brand consistency for white-label deployments.</w:t>
      </w:r>
    </w:p>
    <w:p>
      <w:pPr>
        <w:spacing w:before="280" w:after="80"/>
      </w:pPr>
      <w:r>
        <w:rPr>
          <w:rFonts w:ascii="Calibri" w:hAnsi="Calibri"/>
          <w:b/>
          <w:i w:val="0"/>
          <w:color w:val="2F5496"/>
          <w:sz w:val="26"/>
        </w:rPr>
        <w:t>9C. Report Scheduling</w:t>
      </w:r>
    </w:p>
    <w:p>
      <w:pPr>
        <w:spacing w:before="0" w:after="100"/>
      </w:pPr>
      <w:r>
        <w:rPr>
          <w:rFonts w:ascii="Calibri" w:hAnsi="Calibri"/>
          <w:b w:val="0"/>
          <w:i w:val="0"/>
          <w:color w:val="262626"/>
          <w:sz w:val="21"/>
        </w:rPr>
        <w:t>Reports can be scheduled for automatic generation at six frequencies: daily, weekly, bi-weekly, monthly, quarterly, and annually. Scheduled reports are generated by background automation and stored in the platform's secure document store, with notifications sent to configured recipients when each report is ready. Report generation status is tracked through four states: Queued, Generating, Ready, and Error — with retry capability on failures.</w:t>
      </w:r>
    </w:p>
    <w:p>
      <w:r>
        <w:br w:type="page"/>
      </w:r>
    </w:p>
    <w:p>
      <w:pPr>
        <w:spacing w:before="360" w:after="120"/>
        <w:pBdr>
          <w:bottom w:val="single" w:sz="6" w:space="1" w:color="1F3864"/>
        </w:pBdr>
      </w:pPr>
      <w:r>
        <w:rPr>
          <w:rFonts w:ascii="Calibri" w:hAnsi="Calibri"/>
          <w:b/>
          <w:i w:val="0"/>
          <w:color w:val="1F3864"/>
          <w:sz w:val="32"/>
        </w:rPr>
        <w:t>10. Platform Reliability &amp; Operations</w:t>
      </w:r>
    </w:p>
    <w:p>
      <w:pPr>
        <w:spacing w:before="280" w:after="80"/>
      </w:pPr>
      <w:r>
        <w:rPr>
          <w:rFonts w:ascii="Calibri" w:hAnsi="Calibri"/>
          <w:b/>
          <w:i w:val="0"/>
          <w:color w:val="2F5496"/>
          <w:sz w:val="26"/>
        </w:rPr>
        <w:t>10A. Availability &amp; Performance</w:t>
      </w:r>
    </w:p>
    <w:p>
      <w:pPr>
        <w:spacing w:before="0" w:after="100"/>
      </w:pPr>
      <w:r>
        <w:rPr>
          <w:rFonts w:ascii="Calibri" w:hAnsi="Calibri"/>
          <w:b w:val="0"/>
          <w:i w:val="0"/>
          <w:color w:val="262626"/>
          <w:sz w:val="21"/>
        </w:rPr>
        <w:t xml:space="preserve">SCR Platform is deployed on </w:t>
      </w:r>
      <w:r>
        <w:rPr>
          <w:rFonts w:ascii="Calibri" w:hAnsi="Calibri"/>
          <w:b/>
          <w:i w:val="0"/>
          <w:color w:val="262626"/>
          <w:sz w:val="21"/>
        </w:rPr>
        <w:t>AWS cloud infrastructure</w:t>
      </w:r>
      <w:r>
        <w:rPr>
          <w:rFonts w:ascii="Calibri" w:hAnsi="Calibri"/>
          <w:b w:val="0"/>
          <w:i w:val="0"/>
          <w:color w:val="262626"/>
          <w:sz w:val="21"/>
        </w:rPr>
        <w:t xml:space="preserve"> in the EU West (Ireland) region, with services distributed across three availability zones. A single datacenter failure does not affect platform availability. Core API operations are optimised for sub-200ms response times. Analytics-heavy operations (benchmarking, portfolio aggregation, report generation) run on a read-optimised replica database that prevents analytical queries from impacting transactional performance. Celery workers for background automation tasks are deployed across five specialised queues — critical, default, bulk, webhooks, and retention — each with dedicated compute allocation and independent auto-scaling policies.</w:t>
      </w:r>
    </w:p>
    <w:p>
      <w:pPr>
        <w:spacing w:before="280" w:after="80"/>
      </w:pPr>
      <w:r>
        <w:rPr>
          <w:rFonts w:ascii="Calibri" w:hAnsi="Calibri"/>
          <w:b/>
          <w:i w:val="0"/>
          <w:color w:val="2F5496"/>
          <w:sz w:val="26"/>
        </w:rPr>
        <w:t>10B. Backup &amp; Disaster Recovery</w:t>
      </w:r>
    </w:p>
    <w:p>
      <w:pPr>
        <w:spacing w:before="0" w:after="100"/>
      </w:pPr>
      <w:r>
        <w:rPr>
          <w:rFonts w:ascii="Calibri" w:hAnsi="Calibri"/>
          <w:b w:val="0"/>
          <w:i w:val="0"/>
          <w:color w:val="262626"/>
          <w:sz w:val="21"/>
        </w:rPr>
        <w:t>The platform operates a three-layer backup strategy designed to protect against data loss at every failure scenario:</w:t>
      </w:r>
    </w:p>
    <w:p>
      <w:pPr>
        <w:pStyle w:val="ListBullet"/>
        <w:spacing w:before="20" w:after="40"/>
        <w:ind w:left="360"/>
      </w:pPr>
      <w:r>
        <w:rPr>
          <w:rFonts w:ascii="Calibri" w:hAnsi="Calibri"/>
          <w:b/>
          <w:i w:val="0"/>
          <w:color w:val="262626"/>
          <w:sz w:val="21"/>
        </w:rPr>
        <w:t>Layer 1 — Continuous Database Protection:</w:t>
      </w:r>
      <w:r>
        <w:rPr>
          <w:rFonts w:ascii="Calibri" w:hAnsi="Calibri"/>
          <w:b w:val="0"/>
          <w:i w:val="0"/>
          <w:color w:val="262626"/>
          <w:sz w:val="21"/>
        </w:rPr>
        <w:t xml:space="preserve"> AWS RDS automated backups with 14-day point-in-time recovery, running in Multi-AZ configuration for zero-downtime failover. Recovery to any second within the 14-day window.</w:t>
      </w:r>
    </w:p>
    <w:p>
      <w:pPr>
        <w:pStyle w:val="ListBullet"/>
        <w:spacing w:before="20" w:after="40"/>
        <w:ind w:left="360"/>
      </w:pPr>
      <w:r>
        <w:rPr>
          <w:rFonts w:ascii="Calibri" w:hAnsi="Calibri"/>
          <w:b/>
          <w:i w:val="0"/>
          <w:color w:val="262626"/>
          <w:sz w:val="21"/>
        </w:rPr>
        <w:t>Layer 2 — Cross-Region Backup Replication:</w:t>
      </w:r>
      <w:r>
        <w:rPr>
          <w:rFonts w:ascii="Calibri" w:hAnsi="Calibri"/>
          <w:b w:val="0"/>
          <w:i w:val="0"/>
          <w:color w:val="262626"/>
          <w:sz w:val="21"/>
        </w:rPr>
        <w:t xml:space="preserve"> Nightly logical database backups are taken and copied to the EU Central (Frankfurt) disaster recovery region with KMS encryption. Backups are retained on a tiered schedule: 30 daily, 12 weekly, and 12 monthly snapshots.</w:t>
      </w:r>
    </w:p>
    <w:p>
      <w:pPr>
        <w:pStyle w:val="ListBullet"/>
        <w:spacing w:before="20" w:after="40"/>
        <w:ind w:left="360"/>
      </w:pPr>
      <w:r>
        <w:rPr>
          <w:rFonts w:ascii="Calibri" w:hAnsi="Calibri"/>
          <w:b/>
          <w:i w:val="0"/>
          <w:color w:val="262626"/>
          <w:sz w:val="21"/>
        </w:rPr>
        <w:t>Layer 3 — Verified Restore Testing:</w:t>
      </w:r>
      <w:r>
        <w:rPr>
          <w:rFonts w:ascii="Calibri" w:hAnsi="Calibri"/>
          <w:b w:val="0"/>
          <w:i w:val="0"/>
          <w:color w:val="262626"/>
          <w:sz w:val="21"/>
        </w:rPr>
        <w:t xml:space="preserve"> Every Sunday, an automated restore test downloads the latest backup, performs a schema-level database restore, verifies the expected table count, and checks DR region data integrity — confirming that backups are actually restorable, not just stored.</w:t>
      </w:r>
    </w:p>
    <w:p>
      <w:pPr>
        <w:pStyle w:val="ListBullet"/>
        <w:spacing w:before="20" w:after="40"/>
        <w:ind w:left="360"/>
      </w:pPr>
      <w:r>
        <w:rPr>
          <w:rFonts w:ascii="Calibri" w:hAnsi="Calibri"/>
          <w:b/>
          <w:i w:val="0"/>
          <w:color w:val="262626"/>
          <w:sz w:val="21"/>
        </w:rPr>
        <w:t>Document Replication:</w:t>
      </w:r>
      <w:r>
        <w:rPr>
          <w:rFonts w:ascii="Calibri" w:hAnsi="Calibri"/>
          <w:b w:val="0"/>
          <w:i w:val="0"/>
          <w:color w:val="262626"/>
          <w:sz w:val="21"/>
        </w:rPr>
        <w:t xml:space="preserve"> User-uploaded documents are automatically replicated to the DR region via S3 cross-region replication, ensuring no document loss even in a full primary region failure.</w:t>
      </w:r>
    </w:p>
    <w:p>
      <w:pPr>
        <w:spacing w:before="0" w:after="100"/>
      </w:pPr>
      <w:r>
        <w:rPr>
          <w:rFonts w:ascii="Calibri" w:hAnsi="Calibri"/>
          <w:b w:val="0"/>
          <w:i w:val="0"/>
          <w:color w:val="262626"/>
          <w:sz w:val="21"/>
        </w:rPr>
        <w:t>Recovery targets: less than 1 hour of data loss (RPO) and less than 4 hours to full platform operation (RTO) in the event of a catastrophic primary region failure.</w:t>
      </w:r>
    </w:p>
    <w:p>
      <w:pPr>
        <w:spacing w:before="280" w:after="80"/>
      </w:pPr>
      <w:r>
        <w:rPr>
          <w:rFonts w:ascii="Calibri" w:hAnsi="Calibri"/>
          <w:b/>
          <w:i w:val="0"/>
          <w:color w:val="2F5496"/>
          <w:sz w:val="26"/>
        </w:rPr>
        <w:t>10C. Monitoring &amp; Alerting</w:t>
      </w:r>
    </w:p>
    <w:p>
      <w:pPr>
        <w:spacing w:before="0" w:after="100"/>
      </w:pPr>
      <w:r>
        <w:rPr>
          <w:rFonts w:ascii="Calibri" w:hAnsi="Calibri"/>
          <w:b w:val="0"/>
          <w:i w:val="0"/>
          <w:color w:val="262626"/>
          <w:sz w:val="21"/>
        </w:rPr>
        <w:t>Three operational CloudWatch dashboards provide continuous visibility into platform health:</w:t>
      </w:r>
    </w:p>
    <w:p>
      <w:pPr>
        <w:pStyle w:val="ListBullet"/>
        <w:spacing w:before="20" w:after="40"/>
        <w:ind w:left="360"/>
      </w:pPr>
      <w:r>
        <w:rPr>
          <w:rFonts w:ascii="Calibri" w:hAnsi="Calibri"/>
          <w:b w:val="0"/>
          <w:i w:val="0"/>
          <w:color w:val="262626"/>
          <w:sz w:val="21"/>
        </w:rPr>
        <w:t>Platform Health Dashboard: API error rates, response time percentiles, database CPU and replication lag, Redis memory utilisation, ECS service health, Celery queue depths, and worker heartbeat status.</w:t>
      </w:r>
    </w:p>
    <w:p>
      <w:pPr>
        <w:pStyle w:val="ListBullet"/>
        <w:spacing w:before="20" w:after="40"/>
        <w:ind w:left="360"/>
      </w:pPr>
      <w:r>
        <w:rPr>
          <w:rFonts w:ascii="Calibri" w:hAnsi="Calibri"/>
          <w:b w:val="0"/>
          <w:i w:val="0"/>
          <w:color w:val="262626"/>
          <w:sz w:val="21"/>
        </w:rPr>
        <w:t>AI Operations Dashboard: AI cost tracking by provider and task type, token consumption trends, model routing distribution, and error rates by AI provider.</w:t>
      </w:r>
    </w:p>
    <w:p>
      <w:pPr>
        <w:pStyle w:val="ListBullet"/>
        <w:spacing w:before="20" w:after="40"/>
        <w:ind w:left="360"/>
      </w:pPr>
      <w:r>
        <w:rPr>
          <w:rFonts w:ascii="Calibri" w:hAnsi="Calibri"/>
          <w:b w:val="0"/>
          <w:i w:val="0"/>
          <w:color w:val="262626"/>
          <w:sz w:val="21"/>
        </w:rPr>
        <w:t>Business Metrics Dashboard: Deal pipeline activity, signal score distributions, document upload volumes, user engagement trends, and LP report delivery rates.</w:t>
      </w:r>
    </w:p>
    <w:p>
      <w:pPr>
        <w:spacing w:before="0" w:after="100"/>
      </w:pPr>
      <w:r>
        <w:rPr>
          <w:rFonts w:ascii="Calibri" w:hAnsi="Calibri"/>
          <w:b w:val="0"/>
          <w:i w:val="0"/>
          <w:color w:val="262626"/>
          <w:sz w:val="21"/>
        </w:rPr>
        <w:t>Nineteen automated alarms cover the most critical operational events: API error rate spikes, database overload, replica lag (affecting read performance), Redis memory pressure, Celery queue backlog, AI cost budget breach, backup failure, and data retention errors — each routing to the operations team via SNS with PagerDuty escalation for critical events.</w:t>
      </w:r>
    </w:p>
    <w:p>
      <w:pPr>
        <w:spacing w:before="280" w:after="80"/>
      </w:pPr>
      <w:r>
        <w:rPr>
          <w:rFonts w:ascii="Calibri" w:hAnsi="Calibri"/>
          <w:b/>
          <w:i w:val="0"/>
          <w:color w:val="2F5496"/>
          <w:sz w:val="26"/>
        </w:rPr>
        <w:t>10D. Security Operations</w:t>
      </w:r>
    </w:p>
    <w:p>
      <w:pPr>
        <w:pStyle w:val="ListBullet"/>
        <w:spacing w:before="20" w:after="40"/>
        <w:ind w:left="360"/>
      </w:pPr>
      <w:r>
        <w:rPr>
          <w:rFonts w:ascii="Calibri" w:hAnsi="Calibri"/>
          <w:b w:val="0"/>
          <w:i w:val="0"/>
          <w:color w:val="262626"/>
          <w:sz w:val="21"/>
        </w:rPr>
        <w:t>All data encrypted at rest using AWS KMS (AES-256) and in transit using TLS 1.3</w:t>
      </w:r>
    </w:p>
    <w:p>
      <w:pPr>
        <w:pStyle w:val="ListBullet"/>
        <w:spacing w:before="20" w:after="40"/>
        <w:ind w:left="360"/>
      </w:pPr>
      <w:r>
        <w:rPr>
          <w:rFonts w:ascii="Calibri" w:hAnsi="Calibri"/>
          <w:b w:val="0"/>
          <w:i w:val="0"/>
          <w:color w:val="262626"/>
          <w:sz w:val="21"/>
        </w:rPr>
        <w:t>All credentials managed via AWS Secrets Manager — no secrets in code, environment files, or version control</w:t>
      </w:r>
    </w:p>
    <w:p>
      <w:pPr>
        <w:pStyle w:val="ListBullet"/>
        <w:spacing w:before="20" w:after="40"/>
        <w:ind w:left="360"/>
      </w:pPr>
      <w:r>
        <w:rPr>
          <w:rFonts w:ascii="Calibri" w:hAnsi="Calibri"/>
          <w:b w:val="0"/>
          <w:i w:val="0"/>
          <w:color w:val="262626"/>
          <w:sz w:val="21"/>
        </w:rPr>
        <w:t>WAF protection on all public endpoints: SQL injection, common exploits, bot traffic, and known bad input patterns blocked at the network edge</w:t>
      </w:r>
    </w:p>
    <w:p>
      <w:pPr>
        <w:pStyle w:val="ListBullet"/>
        <w:spacing w:before="20" w:after="40"/>
        <w:ind w:left="360"/>
      </w:pPr>
      <w:r>
        <w:rPr>
          <w:rFonts w:ascii="Calibri" w:hAnsi="Calibri"/>
          <w:b w:val="0"/>
          <w:i w:val="0"/>
          <w:color w:val="262626"/>
          <w:sz w:val="21"/>
        </w:rPr>
        <w:t>Complete access audit trail: every API call attributable to a specific user and organisation</w:t>
      </w:r>
    </w:p>
    <w:p>
      <w:pPr>
        <w:pStyle w:val="ListBullet"/>
        <w:spacing w:before="20" w:after="40"/>
        <w:ind w:left="360"/>
      </w:pPr>
      <w:r>
        <w:rPr>
          <w:rFonts w:ascii="Calibri" w:hAnsi="Calibri"/>
          <w:b w:val="0"/>
          <w:i w:val="0"/>
          <w:color w:val="262626"/>
          <w:sz w:val="21"/>
        </w:rPr>
        <w:t>AI provider data governance: enforced routing prevents sensitive data from reaching non-compliant providers</w:t>
      </w:r>
    </w:p>
    <w:p>
      <w:pPr>
        <w:pStyle w:val="ListBullet"/>
        <w:spacing w:before="20" w:after="40"/>
        <w:ind w:left="360"/>
      </w:pPr>
      <w:r>
        <w:rPr>
          <w:rFonts w:ascii="Calibri" w:hAnsi="Calibri"/>
          <w:b w:val="0"/>
          <w:i w:val="0"/>
          <w:color w:val="262626"/>
          <w:sz w:val="21"/>
        </w:rPr>
        <w:t>Terraform state locking via DynamoDB: prevents concurrent infrastructure modifications</w:t>
      </w:r>
    </w:p>
    <w:p>
      <w:r>
        <w:br w:type="page"/>
      </w:r>
    </w:p>
    <w:p>
      <w:pPr>
        <w:spacing w:before="360" w:after="120"/>
        <w:pBdr>
          <w:bottom w:val="single" w:sz="6" w:space="1" w:color="1F3864"/>
        </w:pBdr>
      </w:pPr>
      <w:r>
        <w:rPr>
          <w:rFonts w:ascii="Calibri" w:hAnsi="Calibri"/>
          <w:b/>
          <w:i w:val="0"/>
          <w:color w:val="1F3864"/>
          <w:sz w:val="32"/>
        </w:rPr>
        <w:t>11. Competitive Positioning</w:t>
      </w:r>
    </w:p>
    <w:p>
      <w:pPr>
        <w:spacing w:before="280" w:after="80"/>
      </w:pPr>
      <w:r>
        <w:rPr>
          <w:rFonts w:ascii="Calibri" w:hAnsi="Calibri"/>
          <w:b/>
          <w:i w:val="0"/>
          <w:color w:val="2F5496"/>
          <w:sz w:val="26"/>
        </w:rPr>
        <w:t>vs. Traditional Fund Administration Platforms (eFront, Allvue, Investran)</w:t>
      </w:r>
    </w:p>
    <w:p>
      <w:pPr>
        <w:spacing w:before="0" w:after="100"/>
      </w:pPr>
      <w:r>
        <w:rPr>
          <w:rFonts w:ascii="Calibri" w:hAnsi="Calibri"/>
          <w:b w:val="0"/>
          <w:i w:val="0"/>
          <w:color w:val="262626"/>
          <w:sz w:val="21"/>
        </w:rPr>
        <w:t>Traditional fund administration platforms were built for systematic data capture and accounting workflows — not for the analytical demands of active deal management in the sustainable infrastructure space. They require significant manual data entry, produce periodic rather than continuous reporting, and have no AI capability. SCR Platform delivers everything a fund administrator needs (data management, reporting, audit trails) plus the AI-native analysis layer that transforms raw data into investment intelligence: automated Signal Scores, real-time covenant monitoring, dynamic benchmarking, and LP reports that write themselves.</w:t>
      </w:r>
    </w:p>
    <w:p>
      <w:pPr>
        <w:spacing w:before="280" w:after="80"/>
      </w:pPr>
      <w:r>
        <w:rPr>
          <w:rFonts w:ascii="Calibri" w:hAnsi="Calibri"/>
          <w:b/>
          <w:i w:val="0"/>
          <w:color w:val="2F5496"/>
          <w:sz w:val="26"/>
        </w:rPr>
        <w:t>vs. Data &amp; Market Intelligence Providers (PitchBook, Preqin, MSCI)</w:t>
      </w:r>
    </w:p>
    <w:p>
      <w:pPr>
        <w:spacing w:before="0" w:after="100"/>
      </w:pPr>
      <w:r>
        <w:rPr>
          <w:rFonts w:ascii="Calibri" w:hAnsi="Calibri"/>
          <w:b w:val="0"/>
          <w:i w:val="0"/>
          <w:color w:val="262626"/>
          <w:sz w:val="21"/>
        </w:rPr>
        <w:t>Market data providers offer read-only databases of transaction and fund performance data. They are research tools, not operational platforms — there is no workflow management, no document handling, no deal room, and no portfolio monitoring capability. SCR Platform incorporates market data from multiple external sources (including real-time economic feeds) as inputs to active investment workflows: the data does not sit in a separate tool, it feeds directly into scoring, benchmarking, and reporting that the investment team acts on daily.</w:t>
      </w:r>
    </w:p>
    <w:p>
      <w:pPr>
        <w:spacing w:before="280" w:after="80"/>
      </w:pPr>
      <w:r>
        <w:rPr>
          <w:rFonts w:ascii="Calibri" w:hAnsi="Calibri"/>
          <w:b/>
          <w:i w:val="0"/>
          <w:color w:val="2F5496"/>
          <w:sz w:val="26"/>
        </w:rPr>
        <w:t>vs. Virtual Data Room Providers (Datasite, Intralinks, Ansarada)</w:t>
      </w:r>
    </w:p>
    <w:p>
      <w:pPr>
        <w:spacing w:before="0" w:after="100"/>
      </w:pPr>
      <w:r>
        <w:rPr>
          <w:rFonts w:ascii="Calibri" w:hAnsi="Calibri"/>
          <w:b w:val="0"/>
          <w:i w:val="0"/>
          <w:color w:val="262626"/>
          <w:sz w:val="21"/>
        </w:rPr>
        <w:t>VDR providers offer secure document storage and sharing — necessary but not sufficient. They provide no intelligence on what is in the documents they store, no automated analysis, no portfolio-level view, and no LP reporting capability. SCR Platform includes a full VDR with engagement analytics, version control, and Q&amp;A workflows — and then adds the intelligence layer: automatic document classification and data extraction when documents are uploaded, AI-powered redaction before sharing, source citations linking every analysis back to specific document passages, and a complete due diligence workflow built on top of the document foundation.</w:t>
      </w:r>
    </w:p>
    <w:p>
      <w:pPr>
        <w:spacing w:before="280" w:after="80"/>
      </w:pPr>
      <w:r>
        <w:rPr>
          <w:rFonts w:ascii="Calibri" w:hAnsi="Calibri"/>
          <w:b/>
          <w:i w:val="0"/>
          <w:color w:val="2F5496"/>
          <w:sz w:val="26"/>
        </w:rPr>
        <w:t>vs. AI Research Tools (AlphaSense, Kensho, Luminance)</w:t>
      </w:r>
    </w:p>
    <w:p>
      <w:pPr>
        <w:spacing w:before="0" w:after="100"/>
      </w:pPr>
      <w:r>
        <w:rPr>
          <w:rFonts w:ascii="Calibri" w:hAnsi="Calibri"/>
          <w:b w:val="0"/>
          <w:i w:val="0"/>
          <w:color w:val="262626"/>
          <w:sz w:val="21"/>
        </w:rPr>
        <w:t>AI research tools excel at document search and summarisation within a defined corpus — useful for research analysts, but not for running an investment fund. They have no concept of deal lifecycle management, portfolio monitoring, covenant tracking, LP reporting, or the multi-tenant data architecture that fund management requires. SCR Platform uses the same class of AI (RAG, document intelligence, language models) as these research tools — but embeds it into a complete investment operating system where every AI insight directly informs an investment decision or workflow action.</w:t>
      </w:r>
    </w:p>
    <w:p>
      <w:pPr>
        <w:spacing w:before="280" w:after="80"/>
      </w:pPr>
      <w:r>
        <w:rPr>
          <w:rFonts w:ascii="Calibri" w:hAnsi="Calibri"/>
          <w:b/>
          <w:i w:val="0"/>
          <w:color w:val="2F5496"/>
          <w:sz w:val="26"/>
        </w:rPr>
        <w:t>vs. Building In-House</w:t>
      </w:r>
    </w:p>
    <w:p>
      <w:pPr>
        <w:spacing w:before="0" w:after="100"/>
      </w:pPr>
      <w:r>
        <w:rPr>
          <w:rFonts w:ascii="Calibri" w:hAnsi="Calibri"/>
          <w:b w:val="0"/>
          <w:i w:val="0"/>
          <w:color w:val="262626"/>
          <w:sz w:val="21"/>
        </w:rPr>
        <w:t>The most common alternative to SCR Platform is the intention — rarely the reality — of building a proprietary investment management system. The scope of what SCR Platform delivers makes the build-vs-buy calculation stark:</w:t>
      </w:r>
    </w:p>
    <w:tbl>
      <w:tblPr>
        <w:tblStyle w:val="TableGrid"/>
        <w:tblW w:type="auto" w:w="0"/>
        <w:jc w:val="left"/>
        <w:tblLook w:firstColumn="1" w:firstRow="1" w:lastColumn="0" w:lastRow="0" w:noHBand="0" w:noVBand="1" w:val="04A0"/>
      </w:tblPr>
      <w:tblGrid>
        <w:gridCol w:w="3120"/>
        <w:gridCol w:w="3120"/>
        <w:gridCol w:w="3120"/>
      </w:tblGrid>
      <w:tr>
        <w:tc>
          <w:tcPr>
            <w:tcW w:type="dxa" w:w="2304"/>
            <w:shd w:val="clear" w:color="auto" w:fill="2F5496"/>
          </w:tcPr>
          <w:p>
            <w:pPr>
              <w:spacing w:before="60" w:after="60"/>
            </w:pPr>
            <w:r>
              <w:rPr>
                <w:rFonts w:ascii="Calibri" w:hAnsi="Calibri"/>
                <w:b/>
                <w:i w:val="0"/>
                <w:color w:val="FFFFFF"/>
                <w:sz w:val="20"/>
              </w:rPr>
              <w:t>Dimension</w:t>
            </w:r>
          </w:p>
        </w:tc>
        <w:tc>
          <w:tcPr>
            <w:tcW w:type="dxa" w:w="3456"/>
            <w:shd w:val="clear" w:color="auto" w:fill="2F5496"/>
          </w:tcPr>
          <w:p>
            <w:pPr>
              <w:spacing w:before="60" w:after="60"/>
            </w:pPr>
            <w:r>
              <w:rPr>
                <w:rFonts w:ascii="Calibri" w:hAnsi="Calibri"/>
                <w:b/>
                <w:i w:val="0"/>
                <w:color w:val="FFFFFF"/>
                <w:sz w:val="20"/>
              </w:rPr>
              <w:t>SCR Platform</w:t>
            </w:r>
          </w:p>
        </w:tc>
        <w:tc>
          <w:tcPr>
            <w:tcW w:type="dxa" w:w="4032"/>
            <w:shd w:val="clear" w:color="auto" w:fill="2F5496"/>
          </w:tcPr>
          <w:p>
            <w:pPr>
              <w:spacing w:before="60" w:after="60"/>
            </w:pPr>
            <w:r>
              <w:rPr>
                <w:rFonts w:ascii="Calibri" w:hAnsi="Calibri"/>
                <w:b/>
                <w:i w:val="0"/>
                <w:color w:val="FFFFFF"/>
                <w:sz w:val="20"/>
              </w:rPr>
              <w:t>In-House Build</w:t>
            </w:r>
          </w:p>
        </w:tc>
      </w:tr>
      <w:tr>
        <w:tc>
          <w:tcPr>
            <w:tcW w:type="dxa" w:w="2304"/>
            <w:shd w:val="clear" w:color="auto" w:fill="FFFFFF"/>
          </w:tcPr>
          <w:p>
            <w:pPr>
              <w:spacing w:before="40" w:after="40"/>
            </w:pPr>
            <w:r>
              <w:rPr>
                <w:rFonts w:ascii="Calibri" w:hAnsi="Calibri"/>
                <w:b w:val="0"/>
                <w:i w:val="0"/>
                <w:color w:val="262626"/>
                <w:sz w:val="20"/>
              </w:rPr>
              <w:t>Time to Deployment</w:t>
            </w:r>
          </w:p>
        </w:tc>
        <w:tc>
          <w:tcPr>
            <w:tcW w:type="dxa" w:w="3456"/>
            <w:shd w:val="clear" w:color="auto" w:fill="FFFFFF"/>
          </w:tcPr>
          <w:p>
            <w:pPr>
              <w:spacing w:before="40" w:after="40"/>
            </w:pPr>
            <w:r>
              <w:rPr>
                <w:rFonts w:ascii="Calibri" w:hAnsi="Calibri"/>
                <w:b w:val="0"/>
                <w:i w:val="0"/>
                <w:color w:val="262626"/>
                <w:sz w:val="20"/>
              </w:rPr>
              <w:t>Days to weeks</w:t>
            </w:r>
          </w:p>
        </w:tc>
        <w:tc>
          <w:tcPr>
            <w:tcW w:type="dxa" w:w="4032"/>
            <w:shd w:val="clear" w:color="auto" w:fill="FFFFFF"/>
          </w:tcPr>
          <w:p>
            <w:pPr>
              <w:spacing w:before="40" w:after="40"/>
            </w:pPr>
            <w:r>
              <w:rPr>
                <w:rFonts w:ascii="Calibri" w:hAnsi="Calibri"/>
                <w:b w:val="0"/>
                <w:i w:val="0"/>
                <w:color w:val="262626"/>
                <w:sz w:val="20"/>
              </w:rPr>
              <w:t>18–24 months minimum</w:t>
            </w:r>
          </w:p>
        </w:tc>
      </w:tr>
      <w:tr>
        <w:tc>
          <w:tcPr>
            <w:tcW w:type="dxa" w:w="2304"/>
            <w:shd w:val="clear" w:color="auto" w:fill="F2F2F2"/>
          </w:tcPr>
          <w:p>
            <w:pPr>
              <w:spacing w:before="40" w:after="40"/>
            </w:pPr>
            <w:r>
              <w:rPr>
                <w:rFonts w:ascii="Calibri" w:hAnsi="Calibri"/>
                <w:b w:val="0"/>
                <w:i w:val="0"/>
                <w:color w:val="262626"/>
                <w:sz w:val="20"/>
              </w:rPr>
              <w:t>Data Models</w:t>
            </w:r>
          </w:p>
        </w:tc>
        <w:tc>
          <w:tcPr>
            <w:tcW w:type="dxa" w:w="3456"/>
            <w:shd w:val="clear" w:color="auto" w:fill="F2F2F2"/>
          </w:tcPr>
          <w:p>
            <w:pPr>
              <w:spacing w:before="40" w:after="40"/>
            </w:pPr>
            <w:r>
              <w:rPr>
                <w:rFonts w:ascii="Calibri" w:hAnsi="Calibri"/>
                <w:b w:val="0"/>
                <w:i w:val="0"/>
                <w:color w:val="262626"/>
                <w:sz w:val="20"/>
              </w:rPr>
              <w:t>176 production-ready models</w:t>
            </w:r>
          </w:p>
        </w:tc>
        <w:tc>
          <w:tcPr>
            <w:tcW w:type="dxa" w:w="4032"/>
            <w:shd w:val="clear" w:color="auto" w:fill="F2F2F2"/>
          </w:tcPr>
          <w:p>
            <w:pPr>
              <w:spacing w:before="40" w:after="40"/>
            </w:pPr>
            <w:r>
              <w:rPr>
                <w:rFonts w:ascii="Calibri" w:hAnsi="Calibri"/>
                <w:b w:val="0"/>
                <w:i w:val="0"/>
                <w:color w:val="262626"/>
                <w:sz w:val="20"/>
              </w:rPr>
              <w:t>Designed, built, and migrated from scratch</w:t>
            </w:r>
          </w:p>
        </w:tc>
      </w:tr>
      <w:tr>
        <w:tc>
          <w:tcPr>
            <w:tcW w:type="dxa" w:w="2304"/>
            <w:shd w:val="clear" w:color="auto" w:fill="FFFFFF"/>
          </w:tcPr>
          <w:p>
            <w:pPr>
              <w:spacing w:before="40" w:after="40"/>
            </w:pPr>
            <w:r>
              <w:rPr>
                <w:rFonts w:ascii="Calibri" w:hAnsi="Calibri"/>
                <w:b w:val="0"/>
                <w:i w:val="0"/>
                <w:color w:val="262626"/>
                <w:sz w:val="20"/>
              </w:rPr>
              <w:t>AI Infrastructure</w:t>
            </w:r>
          </w:p>
        </w:tc>
        <w:tc>
          <w:tcPr>
            <w:tcW w:type="dxa" w:w="3456"/>
            <w:shd w:val="clear" w:color="auto" w:fill="FFFFFF"/>
          </w:tcPr>
          <w:p>
            <w:pPr>
              <w:spacing w:before="40" w:after="40"/>
            </w:pPr>
            <w:r>
              <w:rPr>
                <w:rFonts w:ascii="Calibri" w:hAnsi="Calibri"/>
                <w:b w:val="0"/>
                <w:i w:val="0"/>
                <w:color w:val="262626"/>
                <w:sz w:val="20"/>
              </w:rPr>
              <w:t>5 providers, 78 task types, routing, fallbacks, cost tracking</w:t>
            </w:r>
          </w:p>
        </w:tc>
        <w:tc>
          <w:tcPr>
            <w:tcW w:type="dxa" w:w="4032"/>
            <w:shd w:val="clear" w:color="auto" w:fill="FFFFFF"/>
          </w:tcPr>
          <w:p>
            <w:pPr>
              <w:spacing w:before="40" w:after="40"/>
            </w:pPr>
            <w:r>
              <w:rPr>
                <w:rFonts w:ascii="Calibri" w:hAnsi="Calibri"/>
                <w:b w:val="0"/>
                <w:i w:val="0"/>
                <w:color w:val="262626"/>
                <w:sz w:val="20"/>
              </w:rPr>
              <w:t>Requires dedicated AI engineering team</w:t>
            </w:r>
          </w:p>
        </w:tc>
      </w:tr>
      <w:tr>
        <w:tc>
          <w:tcPr>
            <w:tcW w:type="dxa" w:w="2304"/>
            <w:shd w:val="clear" w:color="auto" w:fill="F2F2F2"/>
          </w:tcPr>
          <w:p>
            <w:pPr>
              <w:spacing w:before="40" w:after="40"/>
            </w:pPr>
            <w:r>
              <w:rPr>
                <w:rFonts w:ascii="Calibri" w:hAnsi="Calibri"/>
                <w:b w:val="0"/>
                <w:i w:val="0"/>
                <w:color w:val="262626"/>
                <w:sz w:val="20"/>
              </w:rPr>
              <w:t>Automated Workflows</w:t>
            </w:r>
          </w:p>
        </w:tc>
        <w:tc>
          <w:tcPr>
            <w:tcW w:type="dxa" w:w="3456"/>
            <w:shd w:val="clear" w:color="auto" w:fill="F2F2F2"/>
          </w:tcPr>
          <w:p>
            <w:pPr>
              <w:spacing w:before="40" w:after="40"/>
            </w:pPr>
            <w:r>
              <w:rPr>
                <w:rFonts w:ascii="Calibri" w:hAnsi="Calibri"/>
                <w:b w:val="0"/>
                <w:i w:val="0"/>
                <w:color w:val="262626"/>
                <w:sz w:val="20"/>
              </w:rPr>
              <w:t>25 production automations running from day one</w:t>
            </w:r>
          </w:p>
        </w:tc>
        <w:tc>
          <w:tcPr>
            <w:tcW w:type="dxa" w:w="4032"/>
            <w:shd w:val="clear" w:color="auto" w:fill="F2F2F2"/>
          </w:tcPr>
          <w:p>
            <w:pPr>
              <w:spacing w:before="40" w:after="40"/>
            </w:pPr>
            <w:r>
              <w:rPr>
                <w:rFonts w:ascii="Calibri" w:hAnsi="Calibri"/>
                <w:b w:val="0"/>
                <w:i w:val="0"/>
                <w:color w:val="262626"/>
                <w:sz w:val="20"/>
              </w:rPr>
              <w:t>Each automation is a separate engineering project</w:t>
            </w:r>
          </w:p>
        </w:tc>
      </w:tr>
      <w:tr>
        <w:tc>
          <w:tcPr>
            <w:tcW w:type="dxa" w:w="2304"/>
            <w:shd w:val="clear" w:color="auto" w:fill="FFFFFF"/>
          </w:tcPr>
          <w:p>
            <w:pPr>
              <w:spacing w:before="40" w:after="40"/>
            </w:pPr>
            <w:r>
              <w:rPr>
                <w:rFonts w:ascii="Calibri" w:hAnsi="Calibri"/>
                <w:b w:val="0"/>
                <w:i w:val="0"/>
                <w:color w:val="262626"/>
                <w:sz w:val="20"/>
              </w:rPr>
              <w:t>Enterprise Integrations</w:t>
            </w:r>
          </w:p>
        </w:tc>
        <w:tc>
          <w:tcPr>
            <w:tcW w:type="dxa" w:w="3456"/>
            <w:shd w:val="clear" w:color="auto" w:fill="FFFFFF"/>
          </w:tcPr>
          <w:p>
            <w:pPr>
              <w:spacing w:before="40" w:after="40"/>
            </w:pPr>
            <w:r>
              <w:rPr>
                <w:rFonts w:ascii="Calibri" w:hAnsi="Calibri"/>
                <w:b w:val="0"/>
                <w:i w:val="0"/>
                <w:color w:val="262626"/>
                <w:sz w:val="20"/>
              </w:rPr>
              <w:t>Excel, Salesforce, HubSpot, Webhooks, API, Blockchain</w:t>
            </w:r>
          </w:p>
        </w:tc>
        <w:tc>
          <w:tcPr>
            <w:tcW w:type="dxa" w:w="4032"/>
            <w:shd w:val="clear" w:color="auto" w:fill="FFFFFF"/>
          </w:tcPr>
          <w:p>
            <w:pPr>
              <w:spacing w:before="40" w:after="40"/>
            </w:pPr>
            <w:r>
              <w:rPr>
                <w:rFonts w:ascii="Calibri" w:hAnsi="Calibri"/>
                <w:b w:val="0"/>
                <w:i w:val="0"/>
                <w:color w:val="262626"/>
                <w:sz w:val="20"/>
              </w:rPr>
              <w:t>6+ separate integration builds</w:t>
            </w:r>
          </w:p>
        </w:tc>
      </w:tr>
      <w:tr>
        <w:tc>
          <w:tcPr>
            <w:tcW w:type="dxa" w:w="2304"/>
            <w:shd w:val="clear" w:color="auto" w:fill="F2F2F2"/>
          </w:tcPr>
          <w:p>
            <w:pPr>
              <w:spacing w:before="40" w:after="40"/>
            </w:pPr>
            <w:r>
              <w:rPr>
                <w:rFonts w:ascii="Calibri" w:hAnsi="Calibri"/>
                <w:b w:val="0"/>
                <w:i w:val="0"/>
                <w:color w:val="262626"/>
                <w:sz w:val="20"/>
              </w:rPr>
              <w:t>Ongoing Maintenance</w:t>
            </w:r>
          </w:p>
        </w:tc>
        <w:tc>
          <w:tcPr>
            <w:tcW w:type="dxa" w:w="3456"/>
            <w:shd w:val="clear" w:color="auto" w:fill="F2F2F2"/>
          </w:tcPr>
          <w:p>
            <w:pPr>
              <w:spacing w:before="40" w:after="40"/>
            </w:pPr>
            <w:r>
              <w:rPr>
                <w:rFonts w:ascii="Calibri" w:hAnsi="Calibri"/>
                <w:b w:val="0"/>
                <w:i w:val="0"/>
                <w:color w:val="262626"/>
                <w:sz w:val="20"/>
              </w:rPr>
              <w:t>Managed by SCR team; updates included</w:t>
            </w:r>
          </w:p>
        </w:tc>
        <w:tc>
          <w:tcPr>
            <w:tcW w:type="dxa" w:w="4032"/>
            <w:shd w:val="clear" w:color="auto" w:fill="F2F2F2"/>
          </w:tcPr>
          <w:p>
            <w:pPr>
              <w:spacing w:before="40" w:after="40"/>
            </w:pPr>
            <w:r>
              <w:rPr>
                <w:rFonts w:ascii="Calibri" w:hAnsi="Calibri"/>
                <w:b w:val="0"/>
                <w:i w:val="0"/>
                <w:color w:val="262626"/>
                <w:sz w:val="20"/>
              </w:rPr>
              <w:t>Full internal engineering burden forever</w:t>
            </w:r>
          </w:p>
        </w:tc>
      </w:tr>
      <w:tr>
        <w:tc>
          <w:tcPr>
            <w:tcW w:type="dxa" w:w="2304"/>
            <w:shd w:val="clear" w:color="auto" w:fill="FFFFFF"/>
          </w:tcPr>
          <w:p>
            <w:pPr>
              <w:spacing w:before="40" w:after="40"/>
            </w:pPr>
            <w:r>
              <w:rPr>
                <w:rFonts w:ascii="Calibri" w:hAnsi="Calibri"/>
                <w:b w:val="0"/>
                <w:i w:val="0"/>
                <w:color w:val="262626"/>
                <w:sz w:val="20"/>
              </w:rPr>
              <w:t>GDPR Compliance</w:t>
            </w:r>
          </w:p>
        </w:tc>
        <w:tc>
          <w:tcPr>
            <w:tcW w:type="dxa" w:w="3456"/>
            <w:shd w:val="clear" w:color="auto" w:fill="FFFFFF"/>
          </w:tcPr>
          <w:p>
            <w:pPr>
              <w:spacing w:before="40" w:after="40"/>
            </w:pPr>
            <w:r>
              <w:rPr>
                <w:rFonts w:ascii="Calibri" w:hAnsi="Calibri"/>
                <w:b w:val="0"/>
                <w:i w:val="0"/>
                <w:color w:val="262626"/>
                <w:sz w:val="20"/>
              </w:rPr>
              <w:t>Designed in; EU-hosted; provider governance enforced</w:t>
            </w:r>
          </w:p>
        </w:tc>
        <w:tc>
          <w:tcPr>
            <w:tcW w:type="dxa" w:w="4032"/>
            <w:shd w:val="clear" w:color="auto" w:fill="FFFFFF"/>
          </w:tcPr>
          <w:p>
            <w:pPr>
              <w:spacing w:before="40" w:after="40"/>
            </w:pPr>
            <w:r>
              <w:rPr>
                <w:rFonts w:ascii="Calibri" w:hAnsi="Calibri"/>
                <w:b w:val="0"/>
                <w:i w:val="0"/>
                <w:color w:val="262626"/>
                <w:sz w:val="20"/>
              </w:rPr>
              <w:t>Requires dedicated compliance engineering</w:t>
            </w:r>
          </w:p>
        </w:tc>
      </w:tr>
    </w:tbl>
    <w:p/>
    <w:p>
      <w:r>
        <w:br w:type="page"/>
      </w:r>
    </w:p>
    <w:p>
      <w:pPr>
        <w:spacing w:before="360" w:after="120"/>
        <w:pBdr>
          <w:bottom w:val="single" w:sz="6" w:space="1" w:color="1F3864"/>
        </w:pBdr>
      </w:pPr>
      <w:r>
        <w:rPr>
          <w:rFonts w:ascii="Calibri" w:hAnsi="Calibri"/>
          <w:b/>
          <w:i w:val="0"/>
          <w:color w:val="1F3864"/>
          <w:sz w:val="32"/>
        </w:rPr>
        <w:t>12. Platform Statistics</w:t>
      </w:r>
    </w:p>
    <w:p>
      <w:pPr>
        <w:spacing w:before="0" w:after="100"/>
      </w:pPr>
      <w:r>
        <w:rPr>
          <w:rFonts w:ascii="Calibri" w:hAnsi="Calibri"/>
          <w:b w:val="0"/>
          <w:i w:val="0"/>
          <w:color w:val="262626"/>
          <w:sz w:val="21"/>
        </w:rPr>
        <w:t>The following statistics are derived directly from the SCR Platform codebase and reflect the actual scope of the platform as of the document date.</w:t>
      </w:r>
    </w:p>
    <w:tbl>
      <w:tblPr>
        <w:tblStyle w:val="TableGrid"/>
        <w:tblW w:type="auto" w:w="0"/>
        <w:jc w:val="left"/>
        <w:tblLook w:firstColumn="1" w:firstRow="1" w:lastColumn="0" w:lastRow="0" w:noHBand="0" w:noVBand="1" w:val="04A0"/>
      </w:tblPr>
      <w:tblGrid>
        <w:gridCol w:w="4680"/>
        <w:gridCol w:w="4680"/>
      </w:tblGrid>
      <w:tr>
        <w:tc>
          <w:tcPr>
            <w:tcW w:type="dxa" w:w="4608"/>
            <w:shd w:val="clear" w:color="auto" w:fill="2F5496"/>
          </w:tcPr>
          <w:p>
            <w:pPr>
              <w:spacing w:before="60" w:after="60"/>
            </w:pPr>
            <w:r>
              <w:rPr>
                <w:rFonts w:ascii="Calibri" w:hAnsi="Calibri"/>
                <w:b/>
                <w:i w:val="0"/>
                <w:color w:val="FFFFFF"/>
                <w:sz w:val="20"/>
              </w:rPr>
              <w:t>Metric</w:t>
            </w:r>
          </w:p>
        </w:tc>
        <w:tc>
          <w:tcPr>
            <w:tcW w:type="dxa" w:w="5184"/>
            <w:shd w:val="clear" w:color="auto" w:fill="2F5496"/>
          </w:tcPr>
          <w:p>
            <w:pPr>
              <w:spacing w:before="60" w:after="60"/>
            </w:pPr>
            <w:r>
              <w:rPr>
                <w:rFonts w:ascii="Calibri" w:hAnsi="Calibri"/>
                <w:b/>
                <w:i w:val="0"/>
                <w:color w:val="FFFFFF"/>
                <w:sz w:val="20"/>
              </w:rPr>
              <w:t>Count / Detail</w:t>
            </w:r>
          </w:p>
        </w:tc>
      </w:tr>
      <w:tr>
        <w:tc>
          <w:tcPr>
            <w:tcW w:type="dxa" w:w="4608"/>
            <w:shd w:val="clear" w:color="auto" w:fill="FFFFFF"/>
          </w:tcPr>
          <w:p>
            <w:pPr>
              <w:spacing w:before="40" w:after="40"/>
            </w:pPr>
            <w:r>
              <w:rPr>
                <w:rFonts w:ascii="Calibri" w:hAnsi="Calibri"/>
                <w:b w:val="0"/>
                <w:i w:val="0"/>
                <w:color w:val="262626"/>
                <w:sz w:val="20"/>
              </w:rPr>
              <w:t>Application Pages (dashboard routes)</w:t>
            </w:r>
          </w:p>
        </w:tc>
        <w:tc>
          <w:tcPr>
            <w:tcW w:type="dxa" w:w="5184"/>
            <w:shd w:val="clear" w:color="auto" w:fill="FFFFFF"/>
          </w:tcPr>
          <w:p>
            <w:pPr>
              <w:spacing w:before="40" w:after="40"/>
            </w:pPr>
            <w:r>
              <w:rPr>
                <w:rFonts w:ascii="Calibri" w:hAnsi="Calibri"/>
                <w:b w:val="0"/>
                <w:i w:val="0"/>
                <w:color w:val="262626"/>
                <w:sz w:val="20"/>
              </w:rPr>
              <w:t>81</w:t>
            </w:r>
          </w:p>
        </w:tc>
      </w:tr>
      <w:tr>
        <w:tc>
          <w:tcPr>
            <w:tcW w:type="dxa" w:w="4608"/>
            <w:shd w:val="clear" w:color="auto" w:fill="F2F2F2"/>
          </w:tcPr>
          <w:p>
            <w:pPr>
              <w:spacing w:before="40" w:after="40"/>
            </w:pPr>
            <w:r>
              <w:rPr>
                <w:rFonts w:ascii="Calibri" w:hAnsi="Calibri"/>
                <w:b w:val="0"/>
                <w:i w:val="0"/>
                <w:color w:val="262626"/>
                <w:sz w:val="20"/>
              </w:rPr>
              <w:t>API Modules</w:t>
            </w:r>
          </w:p>
        </w:tc>
        <w:tc>
          <w:tcPr>
            <w:tcW w:type="dxa" w:w="5184"/>
            <w:shd w:val="clear" w:color="auto" w:fill="F2F2F2"/>
          </w:tcPr>
          <w:p>
            <w:pPr>
              <w:spacing w:before="40" w:after="40"/>
            </w:pPr>
            <w:r>
              <w:rPr>
                <w:rFonts w:ascii="Calibri" w:hAnsi="Calibri"/>
                <w:b w:val="0"/>
                <w:i w:val="0"/>
                <w:color w:val="262626"/>
                <w:sz w:val="20"/>
              </w:rPr>
              <w:t>73</w:t>
            </w:r>
          </w:p>
        </w:tc>
      </w:tr>
      <w:tr>
        <w:tc>
          <w:tcPr>
            <w:tcW w:type="dxa" w:w="4608"/>
            <w:shd w:val="clear" w:color="auto" w:fill="FFFFFF"/>
          </w:tcPr>
          <w:p>
            <w:pPr>
              <w:spacing w:before="40" w:after="40"/>
            </w:pPr>
            <w:r>
              <w:rPr>
                <w:rFonts w:ascii="Calibri" w:hAnsi="Calibri"/>
                <w:b w:val="0"/>
                <w:i w:val="0"/>
                <w:color w:val="262626"/>
                <w:sz w:val="20"/>
              </w:rPr>
              <w:t>Database Models (SQLAlchemy classes)</w:t>
            </w:r>
          </w:p>
        </w:tc>
        <w:tc>
          <w:tcPr>
            <w:tcW w:type="dxa" w:w="5184"/>
            <w:shd w:val="clear" w:color="auto" w:fill="FFFFFF"/>
          </w:tcPr>
          <w:p>
            <w:pPr>
              <w:spacing w:before="40" w:after="40"/>
            </w:pPr>
            <w:r>
              <w:rPr>
                <w:rFonts w:ascii="Calibri" w:hAnsi="Calibri"/>
                <w:b w:val="0"/>
                <w:i w:val="0"/>
                <w:color w:val="262626"/>
                <w:sz w:val="20"/>
              </w:rPr>
              <w:t>176</w:t>
            </w:r>
          </w:p>
        </w:tc>
      </w:tr>
      <w:tr>
        <w:tc>
          <w:tcPr>
            <w:tcW w:type="dxa" w:w="4608"/>
            <w:shd w:val="clear" w:color="auto" w:fill="F2F2F2"/>
          </w:tcPr>
          <w:p>
            <w:pPr>
              <w:spacing w:before="40" w:after="40"/>
            </w:pPr>
            <w:r>
              <w:rPr>
                <w:rFonts w:ascii="Calibri" w:hAnsi="Calibri"/>
                <w:b w:val="0"/>
                <w:i w:val="0"/>
                <w:color w:val="262626"/>
                <w:sz w:val="20"/>
              </w:rPr>
              <w:t>AI Task Types (routed)</w:t>
            </w:r>
          </w:p>
        </w:tc>
        <w:tc>
          <w:tcPr>
            <w:tcW w:type="dxa" w:w="5184"/>
            <w:shd w:val="clear" w:color="auto" w:fill="F2F2F2"/>
          </w:tcPr>
          <w:p>
            <w:pPr>
              <w:spacing w:before="40" w:after="40"/>
            </w:pPr>
            <w:r>
              <w:rPr>
                <w:rFonts w:ascii="Calibri" w:hAnsi="Calibri"/>
                <w:b w:val="0"/>
                <w:i w:val="0"/>
                <w:color w:val="262626"/>
                <w:sz w:val="20"/>
              </w:rPr>
              <w:t>78</w:t>
            </w:r>
          </w:p>
        </w:tc>
      </w:tr>
      <w:tr>
        <w:tc>
          <w:tcPr>
            <w:tcW w:type="dxa" w:w="4608"/>
            <w:shd w:val="clear" w:color="auto" w:fill="FFFFFF"/>
          </w:tcPr>
          <w:p>
            <w:pPr>
              <w:spacing w:before="40" w:after="40"/>
            </w:pPr>
            <w:r>
              <w:rPr>
                <w:rFonts w:ascii="Calibri" w:hAnsi="Calibri"/>
                <w:b w:val="0"/>
                <w:i w:val="0"/>
                <w:color w:val="262626"/>
                <w:sz w:val="20"/>
              </w:rPr>
              <w:t>AI Providers</w:t>
            </w:r>
          </w:p>
        </w:tc>
        <w:tc>
          <w:tcPr>
            <w:tcW w:type="dxa" w:w="5184"/>
            <w:shd w:val="clear" w:color="auto" w:fill="FFFFFF"/>
          </w:tcPr>
          <w:p>
            <w:pPr>
              <w:spacing w:before="40" w:after="40"/>
            </w:pPr>
            <w:r>
              <w:rPr>
                <w:rFonts w:ascii="Calibri" w:hAnsi="Calibri"/>
                <w:b w:val="0"/>
                <w:i w:val="0"/>
                <w:color w:val="262626"/>
                <w:sz w:val="20"/>
              </w:rPr>
              <w:t>5 (Anthropic, Google, xAI, OpenAI, DeepSeek)</w:t>
            </w:r>
          </w:p>
        </w:tc>
      </w:tr>
      <w:tr>
        <w:tc>
          <w:tcPr>
            <w:tcW w:type="dxa" w:w="4608"/>
            <w:shd w:val="clear" w:color="auto" w:fill="F2F2F2"/>
          </w:tcPr>
          <w:p>
            <w:pPr>
              <w:spacing w:before="40" w:after="40"/>
            </w:pPr>
            <w:r>
              <w:rPr>
                <w:rFonts w:ascii="Calibri" w:hAnsi="Calibri"/>
                <w:b w:val="0"/>
                <w:i w:val="0"/>
                <w:color w:val="262626"/>
                <w:sz w:val="20"/>
              </w:rPr>
              <w:t>Automated Background Workflows (Celery beat)</w:t>
            </w:r>
          </w:p>
        </w:tc>
        <w:tc>
          <w:tcPr>
            <w:tcW w:type="dxa" w:w="5184"/>
            <w:shd w:val="clear" w:color="auto" w:fill="F2F2F2"/>
          </w:tcPr>
          <w:p>
            <w:pPr>
              <w:spacing w:before="40" w:after="40"/>
            </w:pPr>
            <w:r>
              <w:rPr>
                <w:rFonts w:ascii="Calibri" w:hAnsi="Calibri"/>
                <w:b w:val="0"/>
                <w:i w:val="0"/>
                <w:color w:val="262626"/>
                <w:sz w:val="20"/>
              </w:rPr>
              <w:t>25</w:t>
            </w:r>
          </w:p>
        </w:tc>
      </w:tr>
      <w:tr>
        <w:tc>
          <w:tcPr>
            <w:tcW w:type="dxa" w:w="4608"/>
            <w:shd w:val="clear" w:color="auto" w:fill="FFFFFF"/>
          </w:tcPr>
          <w:p>
            <w:pPr>
              <w:spacing w:before="40" w:after="40"/>
            </w:pPr>
            <w:r>
              <w:rPr>
                <w:rFonts w:ascii="Calibri" w:hAnsi="Calibri"/>
                <w:b w:val="0"/>
                <w:i w:val="0"/>
                <w:color w:val="262626"/>
                <w:sz w:val="20"/>
              </w:rPr>
              <w:t>Signal Score Dimensions</w:t>
            </w:r>
          </w:p>
        </w:tc>
        <w:tc>
          <w:tcPr>
            <w:tcW w:type="dxa" w:w="5184"/>
            <w:shd w:val="clear" w:color="auto" w:fill="FFFFFF"/>
          </w:tcPr>
          <w:p>
            <w:pPr>
              <w:spacing w:before="40" w:after="40"/>
            </w:pPr>
            <w:r>
              <w:rPr>
                <w:rFonts w:ascii="Calibri" w:hAnsi="Calibri"/>
                <w:b w:val="0"/>
                <w:i w:val="0"/>
                <w:color w:val="262626"/>
                <w:sz w:val="20"/>
              </w:rPr>
              <w:t>6</w:t>
            </w:r>
          </w:p>
        </w:tc>
      </w:tr>
      <w:tr>
        <w:tc>
          <w:tcPr>
            <w:tcW w:type="dxa" w:w="4608"/>
            <w:shd w:val="clear" w:color="auto" w:fill="F2F2F2"/>
          </w:tcPr>
          <w:p>
            <w:pPr>
              <w:spacing w:before="40" w:after="40"/>
            </w:pPr>
            <w:r>
              <w:rPr>
                <w:rFonts w:ascii="Calibri" w:hAnsi="Calibri"/>
                <w:b w:val="0"/>
                <w:i w:val="0"/>
                <w:color w:val="262626"/>
                <w:sz w:val="20"/>
              </w:rPr>
              <w:t>Signal Score Criteria (total)</w:t>
            </w:r>
          </w:p>
        </w:tc>
        <w:tc>
          <w:tcPr>
            <w:tcW w:type="dxa" w:w="5184"/>
            <w:shd w:val="clear" w:color="auto" w:fill="F2F2F2"/>
          </w:tcPr>
          <w:p>
            <w:pPr>
              <w:spacing w:before="40" w:after="40"/>
            </w:pPr>
            <w:r>
              <w:rPr>
                <w:rFonts w:ascii="Calibri" w:hAnsi="Calibri"/>
                <w:b w:val="0"/>
                <w:i w:val="0"/>
                <w:color w:val="262626"/>
                <w:sz w:val="20"/>
              </w:rPr>
              <w:t>48</w:t>
            </w:r>
          </w:p>
        </w:tc>
      </w:tr>
      <w:tr>
        <w:tc>
          <w:tcPr>
            <w:tcW w:type="dxa" w:w="4608"/>
            <w:shd w:val="clear" w:color="auto" w:fill="FFFFFF"/>
          </w:tcPr>
          <w:p>
            <w:pPr>
              <w:spacing w:before="40" w:after="40"/>
            </w:pPr>
            <w:r>
              <w:rPr>
                <w:rFonts w:ascii="Calibri" w:hAnsi="Calibri"/>
                <w:b w:val="0"/>
                <w:i w:val="0"/>
                <w:color w:val="262626"/>
                <w:sz w:val="20"/>
              </w:rPr>
              <w:t>Ralph AI Tools</w:t>
            </w:r>
          </w:p>
        </w:tc>
        <w:tc>
          <w:tcPr>
            <w:tcW w:type="dxa" w:w="5184"/>
            <w:shd w:val="clear" w:color="auto" w:fill="FFFFFF"/>
          </w:tcPr>
          <w:p>
            <w:pPr>
              <w:spacing w:before="40" w:after="40"/>
            </w:pPr>
            <w:r>
              <w:rPr>
                <w:rFonts w:ascii="Calibri" w:hAnsi="Calibri"/>
                <w:b w:val="0"/>
                <w:i w:val="0"/>
                <w:color w:val="262626"/>
                <w:sz w:val="20"/>
              </w:rPr>
              <w:t>19</w:t>
            </w:r>
          </w:p>
        </w:tc>
      </w:tr>
      <w:tr>
        <w:tc>
          <w:tcPr>
            <w:tcW w:type="dxa" w:w="4608"/>
            <w:shd w:val="clear" w:color="auto" w:fill="F2F2F2"/>
          </w:tcPr>
          <w:p>
            <w:pPr>
              <w:spacing w:before="40" w:after="40"/>
            </w:pPr>
            <w:r>
              <w:rPr>
                <w:rFonts w:ascii="Calibri" w:hAnsi="Calibri"/>
                <w:b w:val="0"/>
                <w:i w:val="0"/>
                <w:color w:val="262626"/>
                <w:sz w:val="20"/>
              </w:rPr>
              <w:t>System Report Templates</w:t>
            </w:r>
          </w:p>
        </w:tc>
        <w:tc>
          <w:tcPr>
            <w:tcW w:type="dxa" w:w="5184"/>
            <w:shd w:val="clear" w:color="auto" w:fill="F2F2F2"/>
          </w:tcPr>
          <w:p>
            <w:pPr>
              <w:spacing w:before="40" w:after="40"/>
            </w:pPr>
            <w:r>
              <w:rPr>
                <w:rFonts w:ascii="Calibri" w:hAnsi="Calibri"/>
                <w:b w:val="0"/>
                <w:i w:val="0"/>
                <w:color w:val="262626"/>
                <w:sz w:val="20"/>
              </w:rPr>
              <w:t>8</w:t>
            </w:r>
          </w:p>
        </w:tc>
      </w:tr>
      <w:tr>
        <w:tc>
          <w:tcPr>
            <w:tcW w:type="dxa" w:w="4608"/>
            <w:shd w:val="clear" w:color="auto" w:fill="FFFFFF"/>
          </w:tcPr>
          <w:p>
            <w:pPr>
              <w:spacing w:before="40" w:after="40"/>
            </w:pPr>
            <w:r>
              <w:rPr>
                <w:rFonts w:ascii="Calibri" w:hAnsi="Calibri"/>
                <w:b w:val="0"/>
                <w:i w:val="0"/>
                <w:color w:val="262626"/>
                <w:sz w:val="20"/>
              </w:rPr>
              <w:t>Report Output Formats</w:t>
            </w:r>
          </w:p>
        </w:tc>
        <w:tc>
          <w:tcPr>
            <w:tcW w:type="dxa" w:w="5184"/>
            <w:shd w:val="clear" w:color="auto" w:fill="FFFFFF"/>
          </w:tcPr>
          <w:p>
            <w:pPr>
              <w:spacing w:before="40" w:after="40"/>
            </w:pPr>
            <w:r>
              <w:rPr>
                <w:rFonts w:ascii="Calibri" w:hAnsi="Calibri"/>
                <w:b w:val="0"/>
                <w:i w:val="0"/>
                <w:color w:val="262626"/>
                <w:sz w:val="20"/>
              </w:rPr>
              <w:t>3 (PDF, Excel, PowerPoint)</w:t>
            </w:r>
          </w:p>
        </w:tc>
      </w:tr>
      <w:tr>
        <w:tc>
          <w:tcPr>
            <w:tcW w:type="dxa" w:w="4608"/>
            <w:shd w:val="clear" w:color="auto" w:fill="F2F2F2"/>
          </w:tcPr>
          <w:p>
            <w:pPr>
              <w:spacing w:before="40" w:after="40"/>
            </w:pPr>
            <w:r>
              <w:rPr>
                <w:rFonts w:ascii="Calibri" w:hAnsi="Calibri"/>
                <w:b w:val="0"/>
                <w:i w:val="0"/>
                <w:color w:val="262626"/>
                <w:sz w:val="20"/>
              </w:rPr>
              <w:t>Webhook Event Types</w:t>
            </w:r>
          </w:p>
        </w:tc>
        <w:tc>
          <w:tcPr>
            <w:tcW w:type="dxa" w:w="5184"/>
            <w:shd w:val="clear" w:color="auto" w:fill="F2F2F2"/>
          </w:tcPr>
          <w:p>
            <w:pPr>
              <w:spacing w:before="40" w:after="40"/>
            </w:pPr>
            <w:r>
              <w:rPr>
                <w:rFonts w:ascii="Calibri" w:hAnsi="Calibri"/>
                <w:b w:val="0"/>
                <w:i w:val="0"/>
                <w:color w:val="262626"/>
                <w:sz w:val="20"/>
              </w:rPr>
              <w:t>12</w:t>
            </w:r>
          </w:p>
        </w:tc>
      </w:tr>
      <w:tr>
        <w:tc>
          <w:tcPr>
            <w:tcW w:type="dxa" w:w="4608"/>
            <w:shd w:val="clear" w:color="auto" w:fill="FFFFFF"/>
          </w:tcPr>
          <w:p>
            <w:pPr>
              <w:spacing w:before="40" w:after="40"/>
            </w:pPr>
            <w:r>
              <w:rPr>
                <w:rFonts w:ascii="Calibri" w:hAnsi="Calibri"/>
                <w:b w:val="0"/>
                <w:i w:val="0"/>
                <w:color w:val="262626"/>
                <w:sz w:val="20"/>
              </w:rPr>
              <w:t>CRM Integrations</w:t>
            </w:r>
          </w:p>
        </w:tc>
        <w:tc>
          <w:tcPr>
            <w:tcW w:type="dxa" w:w="5184"/>
            <w:shd w:val="clear" w:color="auto" w:fill="FFFFFF"/>
          </w:tcPr>
          <w:p>
            <w:pPr>
              <w:spacing w:before="40" w:after="40"/>
            </w:pPr>
            <w:r>
              <w:rPr>
                <w:rFonts w:ascii="Calibri" w:hAnsi="Calibri"/>
                <w:b w:val="0"/>
                <w:i w:val="0"/>
                <w:color w:val="262626"/>
                <w:sz w:val="20"/>
              </w:rPr>
              <w:t>2 (Salesforce, HubSpot)</w:t>
            </w:r>
          </w:p>
        </w:tc>
      </w:tr>
      <w:tr>
        <w:tc>
          <w:tcPr>
            <w:tcW w:type="dxa" w:w="4608"/>
            <w:shd w:val="clear" w:color="auto" w:fill="F2F2F2"/>
          </w:tcPr>
          <w:p>
            <w:pPr>
              <w:spacing w:before="40" w:after="40"/>
            </w:pPr>
            <w:r>
              <w:rPr>
                <w:rFonts w:ascii="Calibri" w:hAnsi="Calibri"/>
                <w:b w:val="0"/>
                <w:i w:val="0"/>
                <w:color w:val="262626"/>
                <w:sz w:val="20"/>
              </w:rPr>
              <w:t>External Data Sources</w:t>
            </w:r>
          </w:p>
        </w:tc>
        <w:tc>
          <w:tcPr>
            <w:tcW w:type="dxa" w:w="5184"/>
            <w:shd w:val="clear" w:color="auto" w:fill="F2F2F2"/>
          </w:tcPr>
          <w:p>
            <w:pPr>
              <w:spacing w:before="40" w:after="40"/>
            </w:pPr>
            <w:r>
              <w:rPr>
                <w:rFonts w:ascii="Calibri" w:hAnsi="Calibri"/>
                <w:b w:val="0"/>
                <w:i w:val="0"/>
                <w:color w:val="262626"/>
                <w:sz w:val="20"/>
              </w:rPr>
              <w:t>6 (FRED, World Bank, ECB, Yahoo Finance, NOAA, Regulations.gov)</w:t>
            </w:r>
          </w:p>
        </w:tc>
      </w:tr>
      <w:tr>
        <w:tc>
          <w:tcPr>
            <w:tcW w:type="dxa" w:w="4608"/>
            <w:shd w:val="clear" w:color="auto" w:fill="FFFFFF"/>
          </w:tcPr>
          <w:p>
            <w:pPr>
              <w:spacing w:before="40" w:after="40"/>
            </w:pPr>
            <w:r>
              <w:rPr>
                <w:rFonts w:ascii="Calibri" w:hAnsi="Calibri"/>
                <w:b w:val="0"/>
                <w:i w:val="0"/>
                <w:color w:val="262626"/>
                <w:sz w:val="20"/>
              </w:rPr>
              <w:t>Asset Classes Supported</w:t>
            </w:r>
          </w:p>
        </w:tc>
        <w:tc>
          <w:tcPr>
            <w:tcW w:type="dxa" w:w="5184"/>
            <w:shd w:val="clear" w:color="auto" w:fill="FFFFFF"/>
          </w:tcPr>
          <w:p>
            <w:pPr>
              <w:spacing w:before="40" w:after="40"/>
            </w:pPr>
            <w:r>
              <w:rPr>
                <w:rFonts w:ascii="Calibri" w:hAnsi="Calibri"/>
                <w:b w:val="0"/>
                <w:i w:val="0"/>
                <w:color w:val="262626"/>
                <w:sz w:val="20"/>
              </w:rPr>
              <w:t>Solar, Wind, Hydro, BESS, Biomass, Infrastructure, Real Estate, Private Equity, Private Credit, Digital Assets, Impact</w:t>
            </w:r>
          </w:p>
        </w:tc>
      </w:tr>
      <w:tr>
        <w:tc>
          <w:tcPr>
            <w:tcW w:type="dxa" w:w="4608"/>
            <w:shd w:val="clear" w:color="auto" w:fill="F2F2F2"/>
          </w:tcPr>
          <w:p>
            <w:pPr>
              <w:spacing w:before="40" w:after="40"/>
            </w:pPr>
            <w:r>
              <w:rPr>
                <w:rFonts w:ascii="Calibri" w:hAnsi="Calibri"/>
                <w:b w:val="0"/>
                <w:i w:val="0"/>
                <w:color w:val="262626"/>
                <w:sz w:val="20"/>
              </w:rPr>
              <w:t>RBAC Permission Levels</w:t>
            </w:r>
          </w:p>
        </w:tc>
        <w:tc>
          <w:tcPr>
            <w:tcW w:type="dxa" w:w="5184"/>
            <w:shd w:val="clear" w:color="auto" w:fill="F2F2F2"/>
          </w:tcPr>
          <w:p>
            <w:pPr>
              <w:spacing w:before="40" w:after="40"/>
            </w:pPr>
            <w:r>
              <w:rPr>
                <w:rFonts w:ascii="Calibri" w:hAnsi="Calibri"/>
                <w:b w:val="0"/>
                <w:i w:val="0"/>
                <w:color w:val="262626"/>
                <w:sz w:val="20"/>
              </w:rPr>
              <w:t>4 (Admin, Manager, Analyst, Viewer)</w:t>
            </w:r>
          </w:p>
        </w:tc>
      </w:tr>
      <w:tr>
        <w:tc>
          <w:tcPr>
            <w:tcW w:type="dxa" w:w="4608"/>
            <w:shd w:val="clear" w:color="auto" w:fill="FFFFFF"/>
          </w:tcPr>
          <w:p>
            <w:pPr>
              <w:spacing w:before="40" w:after="40"/>
            </w:pPr>
            <w:r>
              <w:rPr>
                <w:rFonts w:ascii="Calibri" w:hAnsi="Calibri"/>
                <w:b w:val="0"/>
                <w:i w:val="0"/>
                <w:color w:val="262626"/>
                <w:sz w:val="20"/>
              </w:rPr>
              <w:t>Document Redaction Entity Categories</w:t>
            </w:r>
          </w:p>
        </w:tc>
        <w:tc>
          <w:tcPr>
            <w:tcW w:type="dxa" w:w="5184"/>
            <w:shd w:val="clear" w:color="auto" w:fill="FFFFFF"/>
          </w:tcPr>
          <w:p>
            <w:pPr>
              <w:spacing w:before="40" w:after="40"/>
            </w:pPr>
            <w:r>
              <w:rPr>
                <w:rFonts w:ascii="Calibri" w:hAnsi="Calibri"/>
                <w:b w:val="0"/>
                <w:i w:val="0"/>
                <w:color w:val="262626"/>
                <w:sz w:val="20"/>
              </w:rPr>
              <w:t>15+</w:t>
            </w:r>
          </w:p>
        </w:tc>
      </w:tr>
      <w:tr>
        <w:tc>
          <w:tcPr>
            <w:tcW w:type="dxa" w:w="4608"/>
            <w:shd w:val="clear" w:color="auto" w:fill="F2F2F2"/>
          </w:tcPr>
          <w:p>
            <w:pPr>
              <w:spacing w:before="40" w:after="40"/>
            </w:pPr>
            <w:r>
              <w:rPr>
                <w:rFonts w:ascii="Calibri" w:hAnsi="Calibri"/>
                <w:b w:val="0"/>
                <w:i w:val="0"/>
                <w:color w:val="262626"/>
                <w:sz w:val="20"/>
              </w:rPr>
              <w:t>Deployment Region (Primary)</w:t>
            </w:r>
          </w:p>
        </w:tc>
        <w:tc>
          <w:tcPr>
            <w:tcW w:type="dxa" w:w="5184"/>
            <w:shd w:val="clear" w:color="auto" w:fill="F2F2F2"/>
          </w:tcPr>
          <w:p>
            <w:pPr>
              <w:spacing w:before="40" w:after="40"/>
            </w:pPr>
            <w:r>
              <w:rPr>
                <w:rFonts w:ascii="Calibri" w:hAnsi="Calibri"/>
                <w:b w:val="0"/>
                <w:i w:val="0"/>
                <w:color w:val="262626"/>
                <w:sz w:val="20"/>
              </w:rPr>
              <w:t>AWS eu-west-1 (Ireland)</w:t>
            </w:r>
          </w:p>
        </w:tc>
      </w:tr>
      <w:tr>
        <w:tc>
          <w:tcPr>
            <w:tcW w:type="dxa" w:w="4608"/>
            <w:shd w:val="clear" w:color="auto" w:fill="FFFFFF"/>
          </w:tcPr>
          <w:p>
            <w:pPr>
              <w:spacing w:before="40" w:after="40"/>
            </w:pPr>
            <w:r>
              <w:rPr>
                <w:rFonts w:ascii="Calibri" w:hAnsi="Calibri"/>
                <w:b w:val="0"/>
                <w:i w:val="0"/>
                <w:color w:val="262626"/>
                <w:sz w:val="20"/>
              </w:rPr>
              <w:t>Disaster Recovery Region</w:t>
            </w:r>
          </w:p>
        </w:tc>
        <w:tc>
          <w:tcPr>
            <w:tcW w:type="dxa" w:w="5184"/>
            <w:shd w:val="clear" w:color="auto" w:fill="FFFFFF"/>
          </w:tcPr>
          <w:p>
            <w:pPr>
              <w:spacing w:before="40" w:after="40"/>
            </w:pPr>
            <w:r>
              <w:rPr>
                <w:rFonts w:ascii="Calibri" w:hAnsi="Calibri"/>
                <w:b w:val="0"/>
                <w:i w:val="0"/>
                <w:color w:val="262626"/>
                <w:sz w:val="20"/>
              </w:rPr>
              <w:t>AWS eu-central-1 (Frankfurt)</w:t>
            </w:r>
          </w:p>
        </w:tc>
      </w:tr>
      <w:tr>
        <w:tc>
          <w:tcPr>
            <w:tcW w:type="dxa" w:w="4608"/>
            <w:shd w:val="clear" w:color="auto" w:fill="F2F2F2"/>
          </w:tcPr>
          <w:p>
            <w:pPr>
              <w:spacing w:before="40" w:after="40"/>
            </w:pPr>
            <w:r>
              <w:rPr>
                <w:rFonts w:ascii="Calibri" w:hAnsi="Calibri"/>
                <w:b w:val="0"/>
                <w:i w:val="0"/>
                <w:color w:val="262626"/>
                <w:sz w:val="20"/>
              </w:rPr>
              <w:t>Database Backup Retention (daily)</w:t>
            </w:r>
          </w:p>
        </w:tc>
        <w:tc>
          <w:tcPr>
            <w:tcW w:type="dxa" w:w="5184"/>
            <w:shd w:val="clear" w:color="auto" w:fill="F2F2F2"/>
          </w:tcPr>
          <w:p>
            <w:pPr>
              <w:spacing w:before="40" w:after="40"/>
            </w:pPr>
            <w:r>
              <w:rPr>
                <w:rFonts w:ascii="Calibri" w:hAnsi="Calibri"/>
                <w:b w:val="0"/>
                <w:i w:val="0"/>
                <w:color w:val="262626"/>
                <w:sz w:val="20"/>
              </w:rPr>
              <w:t>30 days</w:t>
            </w:r>
          </w:p>
        </w:tc>
      </w:tr>
      <w:tr>
        <w:tc>
          <w:tcPr>
            <w:tcW w:type="dxa" w:w="4608"/>
            <w:shd w:val="clear" w:color="auto" w:fill="FFFFFF"/>
          </w:tcPr>
          <w:p>
            <w:pPr>
              <w:spacing w:before="40" w:after="40"/>
            </w:pPr>
            <w:r>
              <w:rPr>
                <w:rFonts w:ascii="Calibri" w:hAnsi="Calibri"/>
                <w:b w:val="0"/>
                <w:i w:val="0"/>
                <w:color w:val="262626"/>
                <w:sz w:val="20"/>
              </w:rPr>
              <w:t>Database Backup Retention (weekly)</w:t>
            </w:r>
          </w:p>
        </w:tc>
        <w:tc>
          <w:tcPr>
            <w:tcW w:type="dxa" w:w="5184"/>
            <w:shd w:val="clear" w:color="auto" w:fill="FFFFFF"/>
          </w:tcPr>
          <w:p>
            <w:pPr>
              <w:spacing w:before="40" w:after="40"/>
            </w:pPr>
            <w:r>
              <w:rPr>
                <w:rFonts w:ascii="Calibri" w:hAnsi="Calibri"/>
                <w:b w:val="0"/>
                <w:i w:val="0"/>
                <w:color w:val="262626"/>
                <w:sz w:val="20"/>
              </w:rPr>
              <w:t>12 weeks</w:t>
            </w:r>
          </w:p>
        </w:tc>
      </w:tr>
      <w:tr>
        <w:tc>
          <w:tcPr>
            <w:tcW w:type="dxa" w:w="4608"/>
            <w:shd w:val="clear" w:color="auto" w:fill="F2F2F2"/>
          </w:tcPr>
          <w:p>
            <w:pPr>
              <w:spacing w:before="40" w:after="40"/>
            </w:pPr>
            <w:r>
              <w:rPr>
                <w:rFonts w:ascii="Calibri" w:hAnsi="Calibri"/>
                <w:b w:val="0"/>
                <w:i w:val="0"/>
                <w:color w:val="262626"/>
                <w:sz w:val="20"/>
              </w:rPr>
              <w:t>Point-in-Time Recovery Window</w:t>
            </w:r>
          </w:p>
        </w:tc>
        <w:tc>
          <w:tcPr>
            <w:tcW w:type="dxa" w:w="5184"/>
            <w:shd w:val="clear" w:color="auto" w:fill="F2F2F2"/>
          </w:tcPr>
          <w:p>
            <w:pPr>
              <w:spacing w:before="40" w:after="40"/>
            </w:pPr>
            <w:r>
              <w:rPr>
                <w:rFonts w:ascii="Calibri" w:hAnsi="Calibri"/>
                <w:b w:val="0"/>
                <w:i w:val="0"/>
                <w:color w:val="262626"/>
                <w:sz w:val="20"/>
              </w:rPr>
              <w:t>14 days</w:t>
            </w:r>
          </w:p>
        </w:tc>
      </w:tr>
      <w:tr>
        <w:tc>
          <w:tcPr>
            <w:tcW w:type="dxa" w:w="4608"/>
            <w:shd w:val="clear" w:color="auto" w:fill="FFFFFF"/>
          </w:tcPr>
          <w:p>
            <w:pPr>
              <w:spacing w:before="40" w:after="40"/>
            </w:pPr>
            <w:r>
              <w:rPr>
                <w:rFonts w:ascii="Calibri" w:hAnsi="Calibri"/>
                <w:b w:val="0"/>
                <w:i w:val="0"/>
                <w:color w:val="262626"/>
                <w:sz w:val="20"/>
              </w:rPr>
              <w:t>RPO Target</w:t>
            </w:r>
          </w:p>
        </w:tc>
        <w:tc>
          <w:tcPr>
            <w:tcW w:type="dxa" w:w="5184"/>
            <w:shd w:val="clear" w:color="auto" w:fill="FFFFFF"/>
          </w:tcPr>
          <w:p>
            <w:pPr>
              <w:spacing w:before="40" w:after="40"/>
            </w:pPr>
            <w:r>
              <w:rPr>
                <w:rFonts w:ascii="Calibri" w:hAnsi="Calibri"/>
                <w:b w:val="0"/>
                <w:i w:val="0"/>
                <w:color w:val="262626"/>
                <w:sz w:val="20"/>
              </w:rPr>
              <w:t>&lt; 1 hour</w:t>
            </w:r>
          </w:p>
        </w:tc>
      </w:tr>
      <w:tr>
        <w:tc>
          <w:tcPr>
            <w:tcW w:type="dxa" w:w="4608"/>
            <w:shd w:val="clear" w:color="auto" w:fill="F2F2F2"/>
          </w:tcPr>
          <w:p>
            <w:pPr>
              <w:spacing w:before="40" w:after="40"/>
            </w:pPr>
            <w:r>
              <w:rPr>
                <w:rFonts w:ascii="Calibri" w:hAnsi="Calibri"/>
                <w:b w:val="0"/>
                <w:i w:val="0"/>
                <w:color w:val="262626"/>
                <w:sz w:val="20"/>
              </w:rPr>
              <w:t>RTO Target</w:t>
            </w:r>
          </w:p>
        </w:tc>
        <w:tc>
          <w:tcPr>
            <w:tcW w:type="dxa" w:w="5184"/>
            <w:shd w:val="clear" w:color="auto" w:fill="F2F2F2"/>
          </w:tcPr>
          <w:p>
            <w:pPr>
              <w:spacing w:before="40" w:after="40"/>
            </w:pPr>
            <w:r>
              <w:rPr>
                <w:rFonts w:ascii="Calibri" w:hAnsi="Calibri"/>
                <w:b w:val="0"/>
                <w:i w:val="0"/>
                <w:color w:val="262626"/>
                <w:sz w:val="20"/>
              </w:rPr>
              <w:t>&lt; 4 hours</w:t>
            </w:r>
          </w:p>
        </w:tc>
      </w:tr>
    </w:tbl>
    <w:p/>
    <w:p>
      <w:r>
        <w:br w:type="page"/>
      </w:r>
    </w:p>
    <w:p>
      <w:pPr>
        <w:spacing w:before="360" w:after="120"/>
        <w:pBdr>
          <w:bottom w:val="single" w:sz="6" w:space="1" w:color="1F3864"/>
        </w:pBdr>
      </w:pPr>
      <w:r>
        <w:rPr>
          <w:rFonts w:ascii="Calibri" w:hAnsi="Calibri"/>
          <w:b/>
          <w:i w:val="0"/>
          <w:color w:val="1F3864"/>
          <w:sz w:val="32"/>
        </w:rPr>
        <w:t>13. Product Roadmap Highlights</w:t>
      </w:r>
    </w:p>
    <w:p>
      <w:pPr>
        <w:spacing w:before="0" w:after="100"/>
      </w:pPr>
      <w:r>
        <w:rPr>
          <w:rFonts w:ascii="Calibri" w:hAnsi="Calibri"/>
          <w:b w:val="0"/>
          <w:i w:val="0"/>
          <w:color w:val="262626"/>
          <w:sz w:val="21"/>
        </w:rPr>
        <w:t>The following capabilities are in active development or planned for near-term release. These represent extensions to the existing platform rather than new directions.</w:t>
      </w:r>
    </w:p>
    <w:p>
      <w:pPr>
        <w:pStyle w:val="ListBullet"/>
        <w:spacing w:before="20" w:after="40"/>
        <w:ind w:left="360"/>
      </w:pPr>
      <w:r>
        <w:rPr>
          <w:rFonts w:ascii="Calibri" w:hAnsi="Calibri"/>
          <w:b/>
          <w:i w:val="0"/>
          <w:color w:val="262626"/>
          <w:sz w:val="21"/>
        </w:rPr>
        <w:t>S3 Archival Pipeline —</w:t>
      </w:r>
      <w:r>
        <w:rPr>
          <w:rFonts w:ascii="Calibri" w:hAnsi="Calibri"/>
          <w:b w:val="0"/>
          <w:i w:val="0"/>
          <w:color w:val="262626"/>
          <w:sz w:val="21"/>
        </w:rPr>
        <w:t xml:space="preserve"> Automated archiving of aged audit logs and document access records to cold storage, reducing database footprint while preserving full historical accessibility for regulatory purposes.</w:t>
      </w:r>
    </w:p>
    <w:p>
      <w:pPr>
        <w:pStyle w:val="ListBullet"/>
        <w:spacing w:before="20" w:after="40"/>
        <w:ind w:left="360"/>
      </w:pPr>
      <w:r>
        <w:rPr>
          <w:rFonts w:ascii="Calibri" w:hAnsi="Calibri"/>
          <w:b/>
          <w:i w:val="0"/>
          <w:color w:val="262626"/>
          <w:sz w:val="21"/>
        </w:rPr>
        <w:t>Tokenisation &amp; Digital Securities —</w:t>
      </w:r>
      <w:r>
        <w:rPr>
          <w:rFonts w:ascii="Calibri" w:hAnsi="Calibri"/>
          <w:b w:val="0"/>
          <w:i w:val="0"/>
          <w:color w:val="262626"/>
          <w:sz w:val="21"/>
        </w:rPr>
        <w:t xml:space="preserve"> The tokenisation module (already foundational in the platform) is being extended to support full digital securities issuance workflows for impact infrastructure projects, enabling fractional ownership and secondary liquidity.</w:t>
      </w:r>
    </w:p>
    <w:p>
      <w:pPr>
        <w:pStyle w:val="ListBullet"/>
        <w:spacing w:before="20" w:after="40"/>
        <w:ind w:left="360"/>
      </w:pPr>
      <w:r>
        <w:rPr>
          <w:rFonts w:ascii="Calibri" w:hAnsi="Calibri"/>
          <w:b/>
          <w:i w:val="0"/>
          <w:color w:val="262626"/>
          <w:sz w:val="21"/>
        </w:rPr>
        <w:t>Voice Input —</w:t>
      </w:r>
      <w:r>
        <w:rPr>
          <w:rFonts w:ascii="Calibri" w:hAnsi="Calibri"/>
          <w:b w:val="0"/>
          <w:i w:val="0"/>
          <w:color w:val="262626"/>
          <w:sz w:val="21"/>
        </w:rPr>
        <w:t xml:space="preserve"> Natural language voice commands for hands-free platform navigation and data entry, with AI-powered transcription and intent recognition already prototyped in the platform's onboarding flow.</w:t>
      </w:r>
    </w:p>
    <w:p>
      <w:pPr>
        <w:pStyle w:val="ListBullet"/>
        <w:spacing w:before="20" w:after="40"/>
        <w:ind w:left="360"/>
      </w:pPr>
      <w:r>
        <w:rPr>
          <w:rFonts w:ascii="Calibri" w:hAnsi="Calibri"/>
          <w:b/>
          <w:i w:val="0"/>
          <w:color w:val="262626"/>
          <w:sz w:val="21"/>
        </w:rPr>
        <w:t>Extended A/B Prompt Testing —</w:t>
      </w:r>
      <w:r>
        <w:rPr>
          <w:rFonts w:ascii="Calibri" w:hAnsi="Calibri"/>
          <w:b w:val="0"/>
          <w:i w:val="0"/>
          <w:color w:val="262626"/>
          <w:sz w:val="21"/>
        </w:rPr>
        <w:t xml:space="preserve"> The Prompt Registry's A/B testing capability is being extended to support multi-variate testing across more than two prompt variants, with automated statistical significance detection.</w:t>
      </w:r>
    </w:p>
    <w:p>
      <w:pPr>
        <w:pStyle w:val="ListBullet"/>
        <w:spacing w:before="20" w:after="40"/>
        <w:ind w:left="360"/>
      </w:pPr>
      <w:r>
        <w:rPr>
          <w:rFonts w:ascii="Calibri" w:hAnsi="Calibri"/>
          <w:b/>
          <w:i w:val="0"/>
          <w:color w:val="262626"/>
          <w:sz w:val="21"/>
        </w:rPr>
        <w:t>OpenSearch Full-Text Expansion —</w:t>
      </w:r>
      <w:r>
        <w:rPr>
          <w:rFonts w:ascii="Calibri" w:hAnsi="Calibri"/>
          <w:b w:val="0"/>
          <w:i w:val="0"/>
          <w:color w:val="262626"/>
          <w:sz w:val="21"/>
        </w:rPr>
        <w:t xml:space="preserve"> Additional entity types (expert notes, meeting prep documents, Q&amp;A threads) being indexed into the search layer to make the Smart Screener operate across the full platform knowledge base.</w:t>
      </w:r>
    </w:p>
    <w:p>
      <w:r>
        <w:br w:type="page"/>
      </w:r>
    </w:p>
    <w:p>
      <w:pPr>
        <w:spacing w:before="800" w:after="0"/>
        <w:jc w:val="center"/>
      </w:pPr>
      <w:r>
        <w:rPr>
          <w:color w:val="CCCCCC"/>
          <w:sz w:val="18"/>
        </w:rPr>
        <w:t>────────────────────────────────────────────────────────────</w:t>
      </w:r>
    </w:p>
    <w:p>
      <w:pPr>
        <w:spacing w:before="80" w:after="0"/>
        <w:jc w:val="center"/>
      </w:pPr>
      <w:r>
        <w:rPr>
          <w:rFonts w:ascii="Calibri" w:hAnsi="Calibri"/>
          <w:i/>
          <w:color w:val="999999"/>
          <w:sz w:val="16"/>
        </w:rPr>
        <w:t>SCR Platform — Product Overview  |  Version 1.0  |  March 01, 2026  |  CONFIDENTIAL</w:t>
        <w:br/>
        <w:t>© SCR Platform. All rights reserved. Not for distribution without prior written consent.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