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
        <w:jc w:val="center"/>
      </w:pPr>
      <w:r>
        <w:rPr>
          <w:rFonts w:ascii="Arial" w:cs="Arial" w:eastAsia="Arial" w:hAnsi="Arial"/>
          <w:b/>
          <w:bCs/>
          <w:sz w:val="26"/>
          <w:szCs w:val="26"/>
        </w:rPr>
        <w:t xml:space="preserve">ANEXO II</w:t>
      </w:r>
    </w:p>
    <w:p>
      <w:pPr>
        <w:spacing w:after="100" w:before="60"/>
        <w:jc w:val="center"/>
      </w:pPr>
      <w:r>
        <w:rPr>
          <w:rFonts w:ascii="Arial" w:cs="Arial" w:eastAsia="Arial" w:hAnsi="Arial"/>
          <w:b/>
          <w:bCs/>
          <w:sz w:val="26"/>
          <w:szCs w:val="26"/>
        </w:rPr>
        <w:t xml:space="preserve">INFORME MENSUAL DE HORAS — KLG</w:t>
      </w:r>
    </w:p>
    <w:p>
      <w:pPr>
        <w:spacing w:after="100" w:before="60"/>
        <w:jc w:val="center"/>
      </w:pPr>
      <w:r>
        <w:rPr>
          <w:rFonts w:ascii="Arial" w:cs="Arial" w:eastAsia="Arial" w:hAnsi="Arial"/>
          <w:b/>
          <w:bCs/>
          <w:sz w:val="20"/>
          <w:szCs w:val="20"/>
        </w:rPr>
        <w:t xml:space="preserve">Período: </w:t>
      </w:r>
      <w:r>
        <w:rPr>
          <w:rFonts w:ascii="Arial" w:cs="Arial" w:eastAsia="Arial" w:hAnsi="Arial"/>
          <w:sz w:val="20"/>
          <w:szCs w:val="20"/>
        </w:rPr>
        <w:t xml:space="preserve">Agosto 2026   ·   </w:t>
      </w:r>
      <w:r>
        <w:rPr>
          <w:rFonts w:ascii="Arial" w:cs="Arial" w:eastAsia="Arial" w:hAnsi="Arial"/>
          <w:b/>
          <w:bCs/>
          <w:sz w:val="20"/>
          <w:szCs w:val="20"/>
        </w:rPr>
        <w:t xml:space="preserve">Contrato de fecha: </w:t>
      </w:r>
      <w:r>
        <w:rPr>
          <w:rFonts w:ascii="Arial" w:cs="Arial" w:eastAsia="Arial" w:hAnsi="Arial"/>
          <w:sz w:val="20"/>
          <w:szCs w:val="20"/>
        </w:rPr>
        <w:t xml:space="preserve">[DD/MM/AAAA]   ·   </w:t>
      </w:r>
      <w:r>
        <w:rPr>
          <w:rFonts w:ascii="Arial" w:cs="Arial" w:eastAsia="Arial" w:hAnsi="Arial"/>
          <w:b/>
          <w:bCs/>
          <w:sz w:val="20"/>
          <w:szCs w:val="20"/>
        </w:rPr>
        <w:t xml:space="preserve">Fecha de emisión: </w:t>
      </w:r>
      <w:r>
        <w:rPr>
          <w:rFonts w:ascii="Arial" w:cs="Arial" w:eastAsia="Arial" w:hAnsi="Arial"/>
          <w:sz w:val="20"/>
          <w:szCs w:val="20"/>
        </w:rPr>
        <w:t xml:space="preserve">[DD/MM/AAAA]</w:t>
      </w:r>
    </w:p>
    <w:p>
      <w:pPr>
        <w:spacing w:after="140" w:before="60"/>
        <w:jc w:val="center"/>
      </w:pPr>
      <w:r>
        <w:rPr>
          <w:rFonts w:ascii="Arial" w:cs="Arial" w:eastAsia="Arial" w:hAnsi="Arial"/>
          <w:i/>
          <w:iCs/>
          <w:color w:val="C00000"/>
          <w:sz w:val="18"/>
          <w:szCs w:val="18"/>
        </w:rPr>
        <w:t xml:space="preserve">EJEMPLO: agosto 2026 presentado como debió entregarse, armado por C.UNIX con los registros de Kimai. Lo marcado en rojo o con [●] es información que falta y KLG debe completar. Desde septiembre, KLG entrega este mismo formato.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808080" w:sz="4"/>
              <w:left w:val="single" w:color="808080" w:sz="4"/>
              <w:bottom w:val="single" w:color="808080" w:sz="4"/>
              <w:right w:val="single" w:color="808080" w:sz="4"/>
            </w:tcBorders>
            <w:shd w:fill="F2F2F2" w:color="auto" w:val="clear"/>
            <w:tcMar>
              <w:top w:type="dxa" w:w="60"/>
              <w:left w:type="dxa" w:w="120"/>
              <w:bottom w:type="dxa" w:w="60"/>
              <w:right w:type="dxa" w:w="120"/>
            </w:tcMar>
          </w:tcPr>
          <w:p>
            <w:pPr>
              <w:spacing w:after="40" w:before="20"/>
            </w:pPr>
            <w:r>
              <w:rPr>
                <w:rFonts w:ascii="Arial" w:cs="Arial" w:eastAsia="Arial" w:hAnsi="Arial"/>
                <w:b/>
                <w:bCs/>
                <w:sz w:val="19"/>
                <w:szCs w:val="19"/>
              </w:rPr>
              <w:t xml:space="preserve">Condiciones para aprobar las horas</w:t>
            </w:r>
          </w:p>
          <w:p>
            <w:pPr>
              <w:pStyle w:val="ListParagraph"/>
              <w:numPr>
                <w:ilvl w:val="0"/>
                <w:numId w:val="2"/>
              </w:numPr>
              <w:spacing w:after="20" w:before="20"/>
            </w:pPr>
            <w:r>
              <w:rPr>
                <w:rFonts w:ascii="Arial" w:cs="Arial" w:eastAsia="Arial" w:hAnsi="Arial"/>
                <w:sz w:val="18"/>
                <w:szCs w:val="18"/>
              </w:rPr>
              <w:t xml:space="preserve">Cada persona carga sus horas en Kimai con su propio usuario. No se aprueban horas que no estén en Kimai.</w:t>
            </w:r>
          </w:p>
          <w:p>
            <w:pPr>
              <w:pStyle w:val="ListParagraph"/>
              <w:numPr>
                <w:ilvl w:val="0"/>
                <w:numId w:val="2"/>
              </w:numPr>
              <w:spacing w:after="20" w:before="20"/>
            </w:pPr>
            <w:r>
              <w:rPr>
                <w:rFonts w:ascii="Arial" w:cs="Arial" w:eastAsia="Arial" w:hAnsi="Arial"/>
                <w:sz w:val="18"/>
                <w:szCs w:val="18"/>
              </w:rPr>
              <w:t xml:space="preserve">Cada registro de Kimai tiene una descripción que empieza con el ticket de iTop o la tarea de ClickUp y dice qué se hizo. Ejemplo: «R-012532 – Corrección del error al pujar en Subastas».</w:t>
            </w:r>
          </w:p>
          <w:p>
            <w:pPr>
              <w:pStyle w:val="ListParagraph"/>
              <w:numPr>
                <w:ilvl w:val="0"/>
                <w:numId w:val="2"/>
              </w:numPr>
              <w:spacing w:after="20" w:before="20"/>
            </w:pPr>
            <w:r>
              <w:rPr>
                <w:rFonts w:ascii="Arial" w:cs="Arial" w:eastAsia="Arial" w:hAnsi="Arial"/>
                <w:sz w:val="18"/>
                <w:szCs w:val="18"/>
              </w:rPr>
              <w:t xml:space="preserve">Este informe, el Anexo II-A (Excel) y la factura tienen las mismas horas que Kimai, por persona y por proyecto.</w:t>
            </w:r>
          </w:p>
          <w:p>
            <w:pPr>
              <w:pStyle w:val="ListParagraph"/>
              <w:numPr>
                <w:ilvl w:val="0"/>
                <w:numId w:val="2"/>
              </w:numPr>
              <w:spacing w:after="20" w:before="20"/>
            </w:pPr>
            <w:r>
              <w:rPr>
                <w:rFonts w:ascii="Arial" w:cs="Arial" w:eastAsia="Arial" w:hAnsi="Arial"/>
                <w:sz w:val="18"/>
                <w:szCs w:val="18"/>
              </w:rPr>
              <w:t>Se entrega dentro de los primeros 5 días hábiles del mes siguiente.</w:t>
            </w:r>
          </w:p>
        </w:tc>
      </w:tr>
    </w:tbl>
    <w:p>
      <w:pPr>
        <w:keepNext/>
        <w:keepLines/>
        <w:pBdr>
          <w:bottom w:val="single" w:color="1F3864" w:sz="6" w:space="2"/>
        </w:pBdr>
        <w:spacing w:after="80" w:before="240"/>
      </w:pPr>
      <w:r>
        <w:rPr>
          <w:rFonts w:ascii="Arial" w:cs="Arial" w:eastAsia="Arial" w:hAnsi="Arial"/>
          <w:b/>
          <w:bCs/>
          <w:color w:val="1F3864"/>
          <w:sz w:val="22"/>
          <w:szCs w:val="22"/>
        </w:rPr>
        <w:t xml:space="preserve">1. Horas e importe por proyecto</w:t>
      </w:r>
    </w:p>
    <w:p>
      <w:pPr>
        <w:keepNext/>
        <w:spacing w:after="60" w:before="20"/>
      </w:pPr>
      <w:r>
        <w:rPr>
          <w:rFonts w:ascii="Arial" w:cs="Arial" w:eastAsia="Arial" w:hAnsi="Arial"/>
          <w:i/>
          <w:iCs/>
          <w:color w:val="595959"/>
          <w:sz w:val="17"/>
          <w:szCs w:val="17"/>
        </w:rPr>
        <w:t xml:space="preserve">Copiar de la hoja «Resumen» del Anexo II-A, tabla 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2438"/>
        <w:gridCol w:w="1200"/>
        <w:gridCol w:w="1300"/>
        <w:gridCol w:w="1800"/>
      </w:tblGrid>
      <w:tr>
        <w:trPr>
          <w:cantSplit/>
          <w:tblHeader/>
        </w:trPr>
        <w:tc>
          <w:tcPr>
            <w:tcW w:type="dxa" w:w="2900"/>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spacing w:after="30" w:before="30"/>
            </w:pPr>
            <w:r>
              <w:rPr>
                <w:rFonts w:ascii="Arial" w:cs="Arial" w:eastAsia="Arial" w:hAnsi="Arial"/>
                <w:b/>
                <w:bCs/>
                <w:sz w:val="18"/>
                <w:szCs w:val="18"/>
              </w:rPr>
              <w:t xml:space="preserve">Cliente</w:t>
            </w:r>
          </w:p>
        </w:tc>
        <w:tc>
          <w:tcPr>
            <w:tcW w:type="dxa" w:w="2438"/>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spacing w:after="30" w:before="30"/>
            </w:pPr>
            <w:r>
              <w:rPr>
                <w:rFonts w:ascii="Arial" w:cs="Arial" w:eastAsia="Arial" w:hAnsi="Arial"/>
                <w:b/>
                <w:bCs/>
                <w:sz w:val="18"/>
                <w:szCs w:val="18"/>
              </w:rPr>
              <w:t xml:space="preserve">Proyecto</w:t>
            </w:r>
          </w:p>
        </w:tc>
        <w:tc>
          <w:tcPr>
            <w:tcW w:type="dxa" w:w="1200"/>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spacing w:after="30" w:before="30"/>
            </w:pPr>
            <w:r>
              <w:rPr>
                <w:rFonts w:ascii="Arial" w:cs="Arial" w:eastAsia="Arial" w:hAnsi="Arial"/>
                <w:b/>
                <w:bCs/>
                <w:sz w:val="18"/>
                <w:szCs w:val="18"/>
              </w:rPr>
              <w:t xml:space="preserve">Horas</w:t>
            </w:r>
          </w:p>
        </w:tc>
        <w:tc>
          <w:tcPr>
            <w:tcW w:type="dxa" w:w="1300"/>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spacing w:after="30" w:before="30"/>
            </w:pPr>
            <w:r>
              <w:rPr>
                <w:rFonts w:ascii="Arial" w:cs="Arial" w:eastAsia="Arial" w:hAnsi="Arial"/>
                <w:b/>
                <w:bCs/>
                <w:sz w:val="18"/>
                <w:szCs w:val="18"/>
              </w:rPr>
              <w:t xml:space="preserve">Valor hora</w:t>
            </w:r>
          </w:p>
        </w:tc>
        <w:tc>
          <w:tcPr>
            <w:tcW w:type="dxa" w:w="1800"/>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spacing w:after="30" w:before="30"/>
            </w:pPr>
            <w:r>
              <w:rPr>
                <w:rFonts w:ascii="Arial" w:cs="Arial" w:eastAsia="Arial" w:hAnsi="Arial"/>
                <w:b/>
                <w:bCs/>
                <w:sz w:val="18"/>
                <w:szCs w:val="18"/>
              </w:rPr>
              <w:t xml:space="preserve">Importe</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MINVU</w:t>
            </w:r>
          </w:p>
        </w:tc>
        <w:tc>
          <w:tcPr>
            <w:tcW w:type="dxa" w:w="2438"/>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SELICO (MinVu)</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218,0</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17,00</w:t>
            </w:r>
          </w:p>
        </w:tc>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3.706,00</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Servicio Nacional de Aduanas</w:t>
            </w:r>
          </w:p>
        </w:tc>
        <w:tc>
          <w:tcPr>
            <w:tcW w:type="dxa" w:w="2438"/>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Subastas (Aduana)</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61,0</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20,00</w:t>
            </w:r>
          </w:p>
        </w:tc>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1.220,00</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Instituto de Salud Pública de Chile</w:t>
            </w:r>
          </w:p>
        </w:tc>
        <w:tc>
          <w:tcPr>
            <w:tcW w:type="dxa" w:w="2438"/>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SIAC-OIRS (SIAC)</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10,0</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20,00</w:t>
            </w:r>
          </w:p>
        </w:tc>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200,00</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C.UNIX</w:t>
            </w:r>
          </w:p>
        </w:tc>
        <w:tc>
          <w:tcPr>
            <w:tcW w:type="dxa" w:w="2438"/>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VictoriusCP2</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8,0</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17,00</w:t>
            </w:r>
          </w:p>
        </w:tc>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136,00</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C.UNIX</w:t>
            </w:r>
          </w:p>
        </w:tc>
        <w:tc>
          <w:tcPr>
            <w:tcW w:type="dxa" w:w="2438"/>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Victorius 3</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9,0</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17,00</w:t>
            </w:r>
          </w:p>
        </w:tc>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153,00</w:t>
            </w:r>
          </w:p>
        </w:tc>
      </w:tr>
      <w:tr>
        <w:trPr>
          <w:cantSplit/>
        </w:trPr>
        <w:tc>
          <w:tcPr>
            <w:tcW w:type="dxa" w:w="5338"/>
            <w:gridSpan w:val="2"/>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b/>
                <w:bCs/>
                <w:sz w:val="19"/>
                <w:szCs w:val="19"/>
              </w:rPr>
              <w:t xml:space="preserve">Total a facturar</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b/>
                <w:bCs/>
                <w:sz w:val="19"/>
                <w:szCs w:val="19"/>
              </w:rPr>
              <w:t xml:space="preserve">306,0</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
            </w:r>
          </w:p>
        </w:tc>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b/>
                <w:bCs/>
                <w:sz w:val="19"/>
                <w:szCs w:val="19"/>
              </w:rPr>
              <w:t xml:space="preserve">5.415,00</w:t>
            </w:r>
          </w:p>
        </w:tc>
      </w:tr>
    </w:tbl>
    <w:p>
      <w:pPr>
        <w:keepNext/>
        <w:keepLines/>
        <w:pBdr>
          <w:bottom w:val="single" w:color="1F3864" w:sz="6" w:space="2"/>
        </w:pBdr>
        <w:spacing w:after="80" w:before="240"/>
      </w:pPr>
      <w:r>
        <w:rPr>
          <w:rFonts w:ascii="Arial" w:cs="Arial" w:eastAsia="Arial" w:hAnsi="Arial"/>
          <w:b/>
          <w:bCs/>
          <w:color w:val="1F3864"/>
          <w:sz w:val="22"/>
          <w:szCs w:val="22"/>
        </w:rPr>
        <w:t xml:space="preserve">2. Horas por persona</w:t>
      </w:r>
    </w:p>
    <w:p>
      <w:pPr>
        <w:keepNext/>
        <w:spacing w:after="60" w:before="20"/>
      </w:pPr>
      <w:r>
        <w:rPr>
          <w:rFonts w:ascii="Arial" w:cs="Arial" w:eastAsia="Arial" w:hAnsi="Arial"/>
          <w:i/>
          <w:iCs/>
          <w:color w:val="595959"/>
          <w:sz w:val="17"/>
          <w:szCs w:val="17"/>
        </w:rPr>
        <w:t xml:space="preserve">Copiar de la hoja «Resumen» del Anexo II-A, tabla 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2238"/>
        <w:gridCol w:w="1300"/>
        <w:gridCol w:w="1400"/>
        <w:gridCol w:w="1400"/>
      </w:tblGrid>
      <w:tr>
        <w:trPr>
          <w:cantSplit/>
          <w:tblHeader/>
        </w:trPr>
        <w:tc>
          <w:tcPr>
            <w:tcW w:type="dxa" w:w="3300"/>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spacing w:after="30" w:before="30"/>
            </w:pPr>
            <w:r>
              <w:rPr>
                <w:rFonts w:ascii="Arial" w:cs="Arial" w:eastAsia="Arial" w:hAnsi="Arial"/>
                <w:b/>
                <w:bCs/>
                <w:sz w:val="18"/>
                <w:szCs w:val="18"/>
              </w:rPr>
              <w:t xml:space="preserve">Persona</w:t>
            </w:r>
          </w:p>
        </w:tc>
        <w:tc>
          <w:tcPr>
            <w:tcW w:type="dxa" w:w="2238"/>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spacing w:after="30" w:before="30"/>
            </w:pPr>
            <w:r>
              <w:rPr>
                <w:rFonts w:ascii="Arial" w:cs="Arial" w:eastAsia="Arial" w:hAnsi="Arial"/>
                <w:b/>
                <w:bCs/>
                <w:sz w:val="18"/>
                <w:szCs w:val="18"/>
              </w:rPr>
              <w:t xml:space="preserve">Perfil</w:t>
            </w:r>
          </w:p>
        </w:tc>
        <w:tc>
          <w:tcPr>
            <w:tcW w:type="dxa" w:w="1300"/>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spacing w:after="30" w:before="30"/>
            </w:pPr>
            <w:r>
              <w:rPr>
                <w:rFonts w:ascii="Arial" w:cs="Arial" w:eastAsia="Arial" w:hAnsi="Arial"/>
                <w:b/>
                <w:bCs/>
                <w:sz w:val="18"/>
                <w:szCs w:val="18"/>
              </w:rPr>
              <w:t xml:space="preserve">Horas</w:t>
            </w:r>
          </w:p>
        </w:tc>
        <w:tc>
          <w:tcPr>
            <w:tcW w:type="dxa" w:w="1400"/>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spacing w:after="30" w:before="30"/>
            </w:pPr>
            <w:r>
              <w:rPr>
                <w:rFonts w:ascii="Arial" w:cs="Arial" w:eastAsia="Arial" w:hAnsi="Arial"/>
                <w:b/>
                <w:bCs/>
                <w:sz w:val="18"/>
                <w:szCs w:val="18"/>
              </w:rPr>
              <w:t xml:space="preserve">Días con registro</w:t>
            </w:r>
          </w:p>
        </w:tc>
        <w:tc>
          <w:tcPr>
            <w:tcW w:type="dxa" w:w="1400"/>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spacing w:after="30" w:before="30"/>
            </w:pPr>
            <w:r>
              <w:rPr>
                <w:rFonts w:ascii="Arial" w:cs="Arial" w:eastAsia="Arial" w:hAnsi="Arial"/>
                <w:b/>
                <w:bCs/>
                <w:sz w:val="18"/>
                <w:szCs w:val="18"/>
              </w:rPr>
              <w:t xml:space="preserve">Promedio por día</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Gabriel Denis</w:t>
            </w:r>
          </w:p>
        </w:tc>
        <w:tc>
          <w:tcPr>
            <w:tcW w:type="dxa" w:w="2238"/>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Desarrollador</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91,0</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16</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5,7</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Matías Zalazar</w:t>
            </w:r>
          </w:p>
        </w:tc>
        <w:tc>
          <w:tcPr>
            <w:tcW w:type="dxa" w:w="2238"/>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Desarrollador</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76,5</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17</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4,5</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Franco Dodera</w:t>
            </w:r>
          </w:p>
        </w:tc>
        <w:tc>
          <w:tcPr>
            <w:tcW w:type="dxa" w:w="2238"/>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Desarrollador</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62,5</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15</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4,2</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Alexis Carnero</w:t>
            </w:r>
          </w:p>
        </w:tc>
        <w:tc>
          <w:tcPr>
            <w:tcW w:type="dxa" w:w="2238"/>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Desarrollador</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59,0</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17</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3,5</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Lautaro Zalazar</w:t>
            </w:r>
          </w:p>
        </w:tc>
        <w:tc>
          <w:tcPr>
            <w:tcW w:type="dxa" w:w="2238"/>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Desarrollador</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9,0</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4</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2,3</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Luciano Carducci</w:t>
            </w:r>
          </w:p>
        </w:tc>
        <w:tc>
          <w:tcPr>
            <w:tcW w:type="dxa" w:w="2238"/>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Desarrollador</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8,0</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8</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1,0</w:t>
            </w:r>
          </w:p>
        </w:tc>
      </w:tr>
      <w:tr>
        <w:trPr>
          <w:cantSplit/>
        </w:trPr>
        <w:tc>
          <w:tcPr>
            <w:tcW w:type="dxa" w:w="5538"/>
            <w:gridSpan w:val="2"/>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b/>
                <w:bCs/>
                <w:sz w:val="19"/>
                <w:szCs w:val="19"/>
              </w:rPr>
              <w:t xml:space="preserve">Total</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b/>
                <w:bCs/>
                <w:sz w:val="19"/>
                <w:szCs w:val="19"/>
              </w:rPr>
              <w:t xml:space="preserve">306,0</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
            </w:r>
          </w:p>
        </w:tc>
      </w:tr>
    </w:tbl>
    <w:p>
      <w:pPr>
        <w:keepNext/>
        <w:keepLines/>
        <w:pBdr>
          <w:bottom w:val="single" w:color="1F3864" w:sz="6" w:space="2"/>
        </w:pBdr>
        <w:spacing w:after="80" w:before="240"/>
      </w:pPr>
      <w:r>
        <w:rPr>
          <w:rFonts w:ascii="Arial" w:cs="Arial" w:eastAsia="Arial" w:hAnsi="Arial"/>
          <w:b/>
          <w:bCs/>
          <w:color w:val="1F3864"/>
          <w:sz w:val="22"/>
          <w:szCs w:val="22"/>
        </w:rPr>
        <w:t xml:space="preserve">3. Principales trabajos del mes</w:t>
      </w:r>
    </w:p>
    <w:p>
      <w:pPr>
        <w:keepNext/>
        <w:spacing w:after="60" w:before="20"/>
      </w:pPr>
      <w:r>
        <w:rPr>
          <w:rFonts w:ascii="Arial" w:cs="Arial" w:eastAsia="Arial" w:hAnsi="Arial"/>
          <w:i/>
          <w:iCs/>
          <w:color w:val="595959"/>
          <w:sz w:val="17"/>
          <w:szCs w:val="17"/>
        </w:rPr>
        <w:t xml:space="preserve">Los trabajos que explican la mayor parte de las horas de cada proyecto; el detalle registro por registro está en el Anexo II-A. Estado al cierre: Terminado, En curso, En revisión de C.UNIX o Bloqueado.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400"/>
        <w:gridCol w:w="4238"/>
        <w:gridCol w:w="1300"/>
        <w:gridCol w:w="1200"/>
      </w:tblGrid>
      <w:tr>
        <w:trPr>
          <w:cantSplit/>
          <w:tblHeader/>
        </w:trPr>
        <w:tc>
          <w:tcPr>
            <w:tcW w:type="dxa" w:w="1500"/>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spacing w:after="30" w:before="30"/>
            </w:pPr>
            <w:r>
              <w:rPr>
                <w:rFonts w:ascii="Arial" w:cs="Arial" w:eastAsia="Arial" w:hAnsi="Arial"/>
                <w:b/>
                <w:bCs/>
                <w:sz w:val="18"/>
                <w:szCs w:val="18"/>
              </w:rPr>
              <w:t xml:space="preserve">Proyecto</w:t>
            </w:r>
          </w:p>
        </w:tc>
        <w:tc>
          <w:tcPr>
            <w:tcW w:type="dxa" w:w="1400"/>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spacing w:after="30" w:before="30"/>
            </w:pPr>
            <w:r>
              <w:rPr>
                <w:rFonts w:ascii="Arial" w:cs="Arial" w:eastAsia="Arial" w:hAnsi="Arial"/>
                <w:b/>
                <w:bCs/>
                <w:sz w:val="18"/>
                <w:szCs w:val="18"/>
              </w:rPr>
              <w:t xml:space="preserve">Ticket o tarea</w:t>
            </w:r>
          </w:p>
        </w:tc>
        <w:tc>
          <w:tcPr>
            <w:tcW w:type="dxa" w:w="4238"/>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spacing w:after="30" w:before="30"/>
            </w:pPr>
            <w:r>
              <w:rPr>
                <w:rFonts w:ascii="Arial" w:cs="Arial" w:eastAsia="Arial" w:hAnsi="Arial"/>
                <w:b/>
                <w:bCs/>
                <w:sz w:val="18"/>
                <w:szCs w:val="18"/>
              </w:rPr>
              <w:t xml:space="preserve">Qué se hizo o entregó</w:t>
            </w:r>
          </w:p>
        </w:tc>
        <w:tc>
          <w:tcPr>
            <w:tcW w:type="dxa" w:w="1300"/>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spacing w:after="30" w:before="30"/>
            </w:pPr>
            <w:r>
              <w:rPr>
                <w:rFonts w:ascii="Arial" w:cs="Arial" w:eastAsia="Arial" w:hAnsi="Arial"/>
                <w:b/>
                <w:bCs/>
                <w:sz w:val="18"/>
                <w:szCs w:val="18"/>
              </w:rPr>
              <w:t xml:space="preserve">Estado al cierre</w:t>
            </w:r>
          </w:p>
        </w:tc>
        <w:tc>
          <w:tcPr>
            <w:tcW w:type="dxa" w:w="1200"/>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spacing w:after="30" w:before="30"/>
            </w:pPr>
            <w:r>
              <w:rPr>
                <w:rFonts w:ascii="Arial" w:cs="Arial" w:eastAsia="Arial" w:hAnsi="Arial"/>
                <w:b/>
                <w:bCs/>
                <w:sz w:val="18"/>
                <w:szCs w:val="18"/>
              </w:rPr>
              <w:t xml:space="preserve">Horas</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MinVu</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b/>
                <w:bCs/>
                <w:color w:val="C00000"/>
                <w:sz w:val="19"/>
                <w:szCs w:val="19"/>
              </w:rPr>
              <w:t>BUG-102 a BUG-117</w:t>
            </w:r>
          </w:p>
        </w:tc>
        <w:tc>
          <w:tcPr>
            <w:tcW w:type="dxa" w:w="4238"/>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b/>
                <w:bCs/>
                <w:color w:val="C00000"/>
                <w:sz w:val="19"/>
                <w:szCs w:val="19"/>
              </w:rPr>
              <w:t>Registros Técnicos (RRTT), Gabriel Denis: corrección de los bugs reportados sobre el Informe Jurídico y el Informe Técnico, incluidos el BUG-107 (tipo de artículo 6 mal clasificado) y el incidente urgente de producción del 20/08; selector D.S. 135 del Módulo 1</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Terminado</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62,0</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MinVu</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b/>
                <w:bCs/>
                <w:color w:val="C00000"/>
                <w:sz w:val="19"/>
                <w:szCs w:val="19"/>
              </w:rPr>
              <w:t>Sin ticket</w:t>
            </w:r>
          </w:p>
        </w:tc>
        <w:tc>
          <w:tcPr>
            <w:tcW w:type="dxa" w:w="4238"/>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b/>
                <w:bCs/>
                <w:color w:val="C00000"/>
                <w:sz w:val="19"/>
                <w:szCs w:val="19"/>
              </w:rPr>
              <w:t>Registros Técnicos (RRTT), Gabriel Denis: auditoría de las entregas v18 a v35 y de los ASPs entregados contra el historial del repositorio, recuperación de 16 scripts del Req17 y relevamiento de la deuda técnica documental</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Terminado</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16,0</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MinVu</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b/>
                <w:bCs/>
                <w:color w:val="C00000"/>
                <w:sz w:val="19"/>
                <w:szCs w:val="19"/>
              </w:rPr>
              <w:t>Sin ticket</w:t>
            </w:r>
          </w:p>
        </w:tc>
        <w:tc>
          <w:tcPr>
            <w:tcW w:type="dxa" w:w="4238"/>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b/>
                <w:bCs/>
                <w:color w:val="C00000"/>
                <w:sz w:val="19"/>
                <w:szCs w:val="19"/>
              </w:rPr>
              <w:t>Registros Técnicos (RRTT), Gabriel Denis: traspaso del Req27 (CambioCategoria) y entrega v41 con la corrección urgente de la conexión faltante</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Terminado</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8,0</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MinVu</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b/>
                <w:bCs/>
                <w:color w:val="C00000"/>
                <w:sz w:val="19"/>
                <w:szCs w:val="19"/>
              </w:rPr>
              <w:t>Sin ticket</w:t>
            </w:r>
          </w:p>
        </w:tc>
        <w:tc>
          <w:tcPr>
            <w:tcW w:type="dxa" w:w="4238"/>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b/>
                <w:bCs/>
                <w:color w:val="C00000"/>
                <w:sz w:val="19"/>
                <w:szCs w:val="19"/>
              </w:rPr>
              <w:t>Registros Técnicos (RRTT), Gabriel Denis: revisión final del manual de usuario y reuniones de coordinación del cierre del mes</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Terminado</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5,0</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MinVu</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b/>
                <w:bCs/>
                <w:color w:val="C00000"/>
                <w:sz w:val="19"/>
                <w:szCs w:val="19"/>
              </w:rPr>
              <w:t>Sin ticket</w:t>
            </w:r>
          </w:p>
        </w:tc>
        <w:tc>
          <w:tcPr>
            <w:tcW w:type="dxa" w:w="4238"/>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b/>
                <w:bCs/>
                <w:color w:val="C00000"/>
                <w:sz w:val="19"/>
                <w:szCs w:val="19"/>
              </w:rPr>
              <w:t>Registros Técnicos (RRTT), Alexis Carnero: cierre del Hito 2, con el diagnóstico y la corrección del bug del Certificado de Inscripción Vigente (datos faltantes del inscrito y domicilio de casa matriz), la entrega de los componentes ASP y los scripts SQL del Req17, el despliegue de la API en desarrollo y el inventario de componentes para el traspaso a Producción</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Terminado</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26,5</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MinVu</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b/>
                <w:bCs/>
                <w:color w:val="C00000"/>
                <w:sz w:val="19"/>
                <w:szCs w:val="19"/>
              </w:rPr>
              <w:t>BUG-107 · BUG-109 · BUG-110 · BUG-115</w:t>
            </w:r>
          </w:p>
        </w:tc>
        <w:tc>
          <w:tcPr>
            <w:tcW w:type="dxa" w:w="4238"/>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b/>
                <w:bCs/>
                <w:color w:val="C00000"/>
                <w:sz w:val="19"/>
                <w:szCs w:val="19"/>
              </w:rPr>
              <w:t>Registros Técnicos (RRTT), Alexis Carnero: corrección de los bugs de los informes, incluidos el BUG-107 (tipo de artículo 6 mal clasificado por el criterio D.S. 135 invertido), el BUG-109 y el BUG-110 de la entrega v31 y el BUG-115 (desborde de Integer en el DLL VB6 al modificar informes, reemplazado por el SP USP_UPD_INFORME_JURIDICO), más la atención del incidente del Informe Jurídico con rol SEREMI</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Terminado</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5,0</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MinVu</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b/>
                <w:bCs/>
                <w:color w:val="C00000"/>
                <w:sz w:val="19"/>
                <w:szCs w:val="19"/>
              </w:rPr>
              <w:t>Sin ticket</w:t>
            </w:r>
          </w:p>
        </w:tc>
        <w:tc>
          <w:tcPr>
            <w:tcW w:type="dxa" w:w="4238"/>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b/>
                <w:bCs/>
                <w:color w:val="C00000"/>
                <w:sz w:val="19"/>
                <w:szCs w:val="19"/>
              </w:rPr>
              <w:t>Registros Técnicos (RRTT), Alexis Carnero: incidentes de producción del Sprint 11, con los scripts de parametrización por decreto que dependían del Req14, el fix de mayúsculas en «Profesional Habilitante» del Certificado de Vigencia, la corrección del «ERROR EN RT», el filtro de antecedentes por decreto y el fix de atr_modifica_socio.asp</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Terminado</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12,0</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MinVu</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b/>
                <w:bCs/>
                <w:color w:val="C00000"/>
                <w:sz w:val="19"/>
                <w:szCs w:val="19"/>
              </w:rPr>
              <w:t>Sin ticket</w:t>
            </w:r>
          </w:p>
        </w:tc>
        <w:tc>
          <w:tcPr>
            <w:tcW w:type="dxa" w:w="4238"/>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b/>
                <w:bCs/>
                <w:color w:val="C00000"/>
                <w:sz w:val="19"/>
                <w:szCs w:val="19"/>
              </w:rPr>
              <w:t>Registros Técnicos (RRTT), Alexis Carnero: integración PPTT-RRTT, con la corrección del error de ingreso de solicitudes de Contratistas y Consultores (el repositorio Azure de la API estaba desactualizado respecto del binario en servicio), su verificación en Test y la entrega del listado de componentes y scripts del Hito 3 / Sprint 11</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Terminado</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8,5</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MinVu</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b/>
                <w:bCs/>
                <w:color w:val="C00000"/>
                <w:sz w:val="19"/>
                <w:szCs w:val="19"/>
              </w:rPr>
              <w:t>Sin ticket</w:t>
            </w:r>
          </w:p>
        </w:tc>
        <w:tc>
          <w:tcPr>
            <w:tcW w:type="dxa" w:w="4238"/>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b/>
                <w:bCs/>
                <w:color w:val="C00000"/>
                <w:sz w:val="19"/>
                <w:szCs w:val="19"/>
              </w:rPr>
              <w:t>Registros Técnicos (RRTT), Alexis Carnero: toma de razón del decreto que modifica el Registro Nacional y selector Antiguo/Actual D.S. N°135 de los buscadores de inscritos; API SyncDocumental (GesDoc) y revisión del informe de QA</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Terminado</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7,0</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MinVu</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b/>
                <w:bCs/>
                <w:color w:val="C00000"/>
                <w:sz w:val="19"/>
                <w:szCs w:val="19"/>
              </w:rPr>
              <w:t xml:space="preserve">Sin ticket</w:t>
            </w:r>
          </w:p>
        </w:tc>
        <w:tc>
          <w:tcPr>
            <w:tcW w:type="dxa" w:w="4238"/>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ETL y Power BI de DW_MINVU: parametrización de la base, scripts de carga, verificación y documentación de pruebas</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En revisión de C.UNIX</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26,0</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MinVu</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b/>
                <w:bCs/>
                <w:color w:val="C00000"/>
                <w:sz w:val="19"/>
                <w:szCs w:val="19"/>
              </w:rPr>
              <w:t xml:space="preserve">Sin ticket</w:t>
            </w:r>
          </w:p>
        </w:tc>
        <w:tc>
          <w:tcPr>
            <w:tcW w:type="dxa" w:w="4238"/>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Corrección de bugs de producción y revisión de los sprints 9 y 11, con reuniones de seguimiento</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Terminado</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25,0</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MinVu</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b/>
                <w:bCs/>
                <w:color w:val="C00000"/>
                <w:sz w:val="19"/>
                <w:szCs w:val="19"/>
              </w:rPr>
              <w:t xml:space="preserve">Sin ticket</w:t>
            </w:r>
          </w:p>
        </w:tc>
        <w:tc>
          <w:tcPr>
            <w:tcW w:type="dxa" w:w="4238"/>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Pase a producción</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Terminado</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6,0</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MinVu</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b/>
                <w:bCs/>
                <w:color w:val="C00000"/>
                <w:sz w:val="19"/>
                <w:szCs w:val="19"/>
              </w:rPr>
              <w:t xml:space="preserve">Sin ticket</w:t>
            </w:r>
          </w:p>
        </w:tc>
        <w:tc>
          <w:tcPr>
            <w:tcW w:type="dxa" w:w="4238"/>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Garantía EEEE y CIV: revisión de pendientes y corrección de vulnerabilidades de ciberseguridad</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Terminado</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5,5</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MinVu</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b/>
                <w:bCs/>
                <w:color w:val="C00000"/>
                <w:sz w:val="19"/>
                <w:szCs w:val="19"/>
              </w:rPr>
              <w:t xml:space="preserve">Sin ticket</w:t>
            </w:r>
          </w:p>
        </w:tc>
        <w:tc>
          <w:tcPr>
            <w:tcW w:type="dxa" w:w="4238"/>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Planilla de cálculo de experiencia: nuevo y antiguo decreto por subespecialidad; reuniones de aceptación y de garantía</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Terminado</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5,5</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Aduana</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b/>
                <w:bCs/>
                <w:color w:val="C00000"/>
                <w:sz w:val="19"/>
                <w:szCs w:val="19"/>
              </w:rPr>
              <w:t xml:space="preserve">Sin ticket</w:t>
            </w:r>
          </w:p>
        </w:tc>
        <w:tc>
          <w:tcPr>
            <w:tcW w:type="dxa" w:w="4238"/>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Mejoras del pagador Linkify</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Terminado</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24,0</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Aduana</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b/>
                <w:bCs/>
                <w:color w:val="C00000"/>
                <w:sz w:val="19"/>
                <w:szCs w:val="19"/>
              </w:rPr>
              <w:t xml:space="preserve">Sin ticket</w:t>
            </w:r>
          </w:p>
        </w:tc>
        <w:tc>
          <w:tcPr>
            <w:tcW w:type="dxa" w:w="4238"/>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Mejora de caracteres acentuados</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Terminado</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12,0</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Aduana</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R-012532</w:t>
            </w:r>
          </w:p>
        </w:tc>
        <w:tc>
          <w:tcPr>
            <w:tcW w:type="dxa" w:w="4238"/>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Error para pujar: corrección de errores de websockets</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Terminado</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9,0</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Aduana</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R-012399</w:t>
            </w:r>
          </w:p>
        </w:tc>
        <w:tc>
          <w:tcPr>
            <w:tcW w:type="dxa" w:w="4238"/>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Problemas para visualizar los lotes (lote 356) y mejoras derivadas: documento de lotes por cierre</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Terminado</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6,0</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Aduana</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R-012349 · R-012379 · R-012542</w:t>
            </w:r>
          </w:p>
        </w:tc>
        <w:tc>
          <w:tcPr>
            <w:tcW w:type="dxa" w:w="4238"/>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Revisión de comprobantes de adjudicación y facturación; base de datos de usuarios; caída de página</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Terminado</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5,5</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Aduana</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b/>
                <w:bCs/>
                <w:color w:val="C00000"/>
                <w:sz w:val="19"/>
                <w:szCs w:val="19"/>
              </w:rPr>
              <w:t xml:space="preserve">Sin ticket</w:t>
            </w:r>
          </w:p>
        </w:tc>
        <w:tc>
          <w:tcPr>
            <w:tcW w:type="dxa" w:w="4238"/>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Despliegue en QA y producción, reportes de la subasta 25 y verificación del inicio de subasta</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Terminado</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4,5</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SIAC</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R-012460 · R-012528 · R-012552</w:t>
            </w:r>
          </w:p>
        </w:tc>
        <w:tc>
          <w:tcPr>
            <w:tcW w:type="dxa" w:w="4238"/>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Consultas con botón de admisibilidad; alerta de bloqueos en SQL Server; alertas de seguridad</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Terminado</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10,0</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VictoriusCP2</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b/>
                <w:bCs/>
                <w:color w:val="C00000"/>
                <w:sz w:val="19"/>
                <w:szCs w:val="19"/>
              </w:rPr>
              <w:t xml:space="preserve">Sin ticket</w:t>
            </w:r>
          </w:p>
        </w:tc>
        <w:tc>
          <w:tcPr>
            <w:tcW w:type="dxa" w:w="4238"/>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Correcciones para Olacefs: fecha de fin de inscripción e información de EFS Aruba</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Terminado</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5,0</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VictoriusCP2</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b/>
                <w:bCs/>
                <w:color w:val="C00000"/>
                <w:sz w:val="19"/>
                <w:szCs w:val="19"/>
              </w:rPr>
              <w:t xml:space="preserve">Sin ticket</w:t>
            </w:r>
          </w:p>
        </w:tc>
        <w:tc>
          <w:tcPr>
            <w:tcW w:type="dxa" w:w="4238"/>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Reuniones semanales de VCP3 con Gobierno de Córdoba</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Terminado</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3,0</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Victorius 3</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b/>
                <w:bCs/>
                <w:color w:val="C00000"/>
                <w:sz w:val="19"/>
                <w:szCs w:val="19"/>
              </w:rPr>
              <w:t xml:space="preserve">Sin ticket</w:t>
            </w:r>
          </w:p>
        </w:tc>
        <w:tc>
          <w:tcPr>
            <w:tcW w:type="dxa" w:w="4238"/>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Gobierno de Córdoba: coordinación, análisis funcional y ampliación de la estimación</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Terminado</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7,5</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Victorius 3</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b/>
                <w:bCs/>
                <w:color w:val="C00000"/>
                <w:sz w:val="19"/>
                <w:szCs w:val="19"/>
              </w:rPr>
              <w:t xml:space="preserve">Sin ticket</w:t>
            </w:r>
          </w:p>
        </w:tc>
        <w:tc>
          <w:tcPr>
            <w:tcW w:type="dxa" w:w="4238"/>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Relevamiento de Victorius 1</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Terminado</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1,5</w:t>
            </w:r>
          </w:p>
        </w:tc>
      </w:tr>
      <w:tr>
        <w:trPr>
          <w:cantSplit/>
        </w:trPr>
        <w:tc>
          <w:tcPr>
            <w:tcW w:type="dxa" w:w="8438"/>
            <w:gridSpan w:val="4"/>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b/>
                <w:bCs/>
                <w:sz w:val="19"/>
                <w:szCs w:val="19"/>
              </w:rPr>
              <w:t xml:space="preserve">Total</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b/>
                <w:bCs/>
                <w:sz w:val="19"/>
                <w:szCs w:val="19"/>
              </w:rPr>
              <w:t xml:space="preserve">306,0</w:t>
            </w:r>
          </w:p>
        </w:tc>
      </w:tr>
    </w:tbl>
    <w:p>
      <w:pPr>
        <w:keepNext/>
        <w:keepLines/>
        <w:pBdr>
          <w:bottom w:val="single" w:color="1F3864" w:sz="6" w:space="2"/>
        </w:pBdr>
        <w:spacing w:after="80" w:before="240"/>
      </w:pPr>
      <w:r>
        <w:rPr>
          <w:rFonts w:ascii="Arial" w:cs="Arial" w:eastAsia="Arial" w:hAnsi="Arial"/>
          <w:b/>
          <w:bCs/>
          <w:color w:val="1F3864"/>
          <w:sz w:val="22"/>
          <w:szCs w:val="22"/>
        </w:rPr>
        <w:t xml:space="preserve">4. Observaciones</w:t>
      </w:r>
    </w:p>
    <w:p>
      <w:pPr>
        <w:keepNext/>
        <w:spacing w:after="60" w:before="20"/>
      </w:pPr>
      <w:r>
        <w:rPr>
          <w:rFonts w:ascii="Arial" w:cs="Arial" w:eastAsia="Arial" w:hAnsi="Arial"/>
          <w:i/>
          <w:iCs/>
          <w:color w:val="595959"/>
          <w:sz w:val="17"/>
          <w:szCs w:val="17"/>
        </w:rPr>
        <w:t xml:space="preserve">Completar todas las filas; si no corresponde, poner «Sin novedades».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338"/>
      </w:tblGrid>
      <w:tr>
        <w:trPr>
          <w:cantSplit/>
          <w:tblHeader/>
        </w:trPr>
        <w:tc>
          <w:tcPr>
            <w:tcW w:type="dxa" w:w="3300"/>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spacing w:after="30" w:before="30"/>
            </w:pPr>
            <w:r>
              <w:rPr>
                <w:rFonts w:ascii="Arial" w:cs="Arial" w:eastAsia="Arial" w:hAnsi="Arial"/>
                <w:b/>
                <w:bCs/>
                <w:sz w:val="18"/>
                <w:szCs w:val="18"/>
              </w:rPr>
              <w:t xml:space="preserve">Tema</w:t>
            </w:r>
          </w:p>
        </w:tc>
        <w:tc>
          <w:tcPr>
            <w:tcW w:type="dxa" w:w="6338"/>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spacing w:after="30" w:before="30"/>
            </w:pPr>
            <w:r>
              <w:rPr>
                <w:rFonts w:ascii="Arial" w:cs="Arial" w:eastAsia="Arial" w:hAnsi="Arial"/>
                <w:b/>
                <w:bCs/>
                <w:sz w:val="18"/>
                <w:szCs w:val="18"/>
              </w:rPr>
              <w:t xml:space="preserve">Detalle</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Alertas del Anexo II-A (sin ticket, más de 9 h en el día, fin de semana, cruce de medianoche)</w:t>
            </w:r>
          </w:p>
        </w:tc>
        <w:tc>
          <w:tcPr>
            <w:tcW w:type="dxa" w:w="6338"/>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Sin ticket: 280,5 h (solo 12 registros, 25,5 h, citan un ticket de iTop).</w:t>
              <w:br/>
              <w:t>Sin descripción: los 19 registros de Alexis Carnero (150 h).</w:t>
              <w:br/>
              <w:t>Más de 9 h en el día: Alexis Carnero el 04, 05, 06, 10, 11, 13 y 14/08, cada día cargado como un único registro continuo (por ejemplo, 04/08 de 08:15 a 23:15).</w:t>
              <w:br/>
              <w:t>Fin de semana: domingo 02/08, 2 h de Alexis Carnero. Cruce de medianoche: Franco Dodera, 07/08 de 23:00 a 02:00.</w:t>
              <w:br/>
              <w:t>Explicación de KLG: las alertas se originan en que 91,0 de las 150,0 h atribuidas a Alexis Carnero eran en realidad de Gabriel Denis, que trabajó sin usuario de Kimai. Separadas en este anexo, Alexis Carnero queda con 59,0 h en 17 días (promedio 3,5 h por día) y Gabriel Denis con 91,0 h en 16 días (promedio 5,7 h por día), y ningún día de ninguno de los dos supera las 9 h: la alerta de «más de 9 h en el día» del 04, 05, 06, 10, 11, 13 y 14/08 deja de corresponder. El domingo 02/08 (2 h) también era de Gabriel Denis y queda a su nombre. El cruce de medianoche del 07/08 de Franco Dodera (23:00 a 02:00) es real: fueron reuniones y revisiones que terminaron pasada la medianoche y Kimai las registró como un único bloque. Sobre «sin ticket»: en agosto los trabajos de SELICO, VictoriusCP2 y Victorius 3 no se venían gestionando con tickets de iTop; desde septiembre toda carga en Kimai empieza con el ticket de iTop o la tarea de ClickUp. Alexis Carnero entregó su detalle diario de agosto: está incorporado al Anexo II-A, donde sus 59,0 h quedan descritas registro por registro, y coincide con la separación de horas de este anexo, los mismos 17 días con el mismo inicio, el mismo fin y las mismas horas. Aclaración sobre los horarios: el inicio y el fin de los días compartidos entre Alexis Carnero y Gabriel Denis son una reconstrucción de KLG, no un registro de Kimai. Kimai guardó un único bloque continuo por día a nombre de Alexis, y KLG lo partió por horario asignando el principio del bloque a Alexis y el final a Gabriel (por ejemplo el 04/08: bloque de 08:15 a 23:15, Alexis de 08:15 a 15:15 y Gabriel de 15:15 a 23:15). Las horas de cada uno sí están respaldadas: las de Gabriel salen de su reporte diario de agosto. Cada fila afectada del Anexo II-A lo indica en la columna «Nota KLG».</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Cambios en el equipo (altas, bajas, reemplazos)</w:t>
            </w:r>
          </w:p>
        </w:tc>
        <w:tc>
          <w:tcPr>
            <w:tcW w:type="dxa" w:w="6338"/>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El correo de agosto informó 91 h de Gabriel Denis, que no tiene registros en Kimai. Toda persona que trabaje debe cargar sus horas con su propio usuario. Explicación de KLG: Gabriel Denis se sumó al proyecto como un refuerzo previsto para unas tres semanas. Por las características del cliente final y del proyecto, su participación se extendió bastante más de lo previsto. Mientras se esperaba que fuera algo breve, sus horas se registraron en la cuenta de Alexis Carnero en lugar de tramitar un usuario propio en Kimai; al alargarse el trabajo, esa decisión inicial se arrastró, y es el origen de lo que C.UNIX observa en este período. No hubo altas ni bajas en el equipo: Gabriel Denis ya venía trabajando y lo que faltaba era su usuario. Este anexo separa sus horas día por día: Alexis Carnero queda con 59,0 h y Gabriel Denis con 91,0 h, sin cambios en el total del mes (306,0 h) ni en el importe a facturar. KLG solicita a C.UNIX, junto con este informe, el alta del usuario de Kimai de Gabriel Denis, para que desde septiembre cargue sus propias horas. Hasta que el alta esté, ninguna hora de Gabriel Denis se imputa a la cuenta de otra persona. Antes de cada cierre mensual KLG verifica que toda persona con horas del mes tenga usuario propio en Kimai y que la hoja «Datos» del Anexo II-A no tenga ninguna fila con «Usuario Kimai» vacío.</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Esperas o bloqueos atribuibles a C.UNIX</w:t>
            </w:r>
          </w:p>
        </w:tc>
        <w:tc>
          <w:tcPr>
            <w:tcW w:type="dxa" w:w="6338"/>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El 31/08 Franco Dodera registra que no pudo probar por falta de VPN. Otros: Sin novedades.</w:t>
            </w:r>
          </w:p>
        </w:tc>
      </w:tr>
    </w:tbl>
    <w:p>
      <w:pPr>
        <w:keepNext/>
        <w:keepLines/>
        <w:pBdr>
          <w:bottom w:val="single" w:color="1F3864" w:sz="6" w:space="2"/>
        </w:pBdr>
        <w:spacing w:after="80" w:before="240"/>
      </w:pPr>
      <w:r>
        <w:rPr>
          <w:rFonts w:ascii="Arial" w:cs="Arial" w:eastAsia="Arial" w:hAnsi="Arial"/>
          <w:b/>
          <w:bCs/>
          <w:color w:val="1F3864"/>
          <w:sz w:val="22"/>
          <w:szCs w:val="22"/>
        </w:rPr>
        <w:t xml:space="preserve">5. Declaración y aprobación</w:t>
      </w:r>
    </w:p>
    <w:p>
      <w:pPr>
        <w:spacing w:after="120" w:before="60"/>
      </w:pPr>
      <w:r>
        <w:rPr>
          <w:rFonts w:ascii="Arial" w:cs="Arial" w:eastAsia="Arial" w:hAnsi="Arial"/>
          <w:sz w:val="19"/>
          <w:szCs w:val="19"/>
        </w:rPr>
        <w:t xml:space="preserve">KLG declara que las horas informadas corresponden a tiempo efectivamente trabajado por el personal asignado, en tareas instruidas por C.UNIX conforme a la cláusula sexta del contrato, y que coinciden con los registros de Kimai del período. El período no comprende asesoría, consultoría, asistencia técnica ni transferencia de conocimientos.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rPr>
        <w:tc>
          <w:tcPr>
            <w:tcW w:type="dxa" w:w="4819"/>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spacing w:after="30" w:before="30"/>
            </w:pPr>
            <w:r>
              <w:rPr>
                <w:rFonts w:ascii="Arial" w:cs="Arial" w:eastAsia="Arial" w:hAnsi="Arial"/>
                <w:b/>
                <w:bCs/>
                <w:sz w:val="19"/>
                <w:szCs w:val="19"/>
              </w:rPr>
              <w:t xml:space="preserve">Emitido por KLG</w:t>
            </w:r>
          </w:p>
        </w:tc>
        <w:tc>
          <w:tcPr>
            <w:tcW w:type="dxa" w:w="4819"/>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spacing w:after="30" w:before="30"/>
            </w:pPr>
            <w:r>
              <w:rPr>
                <w:rFonts w:ascii="Arial" w:cs="Arial" w:eastAsia="Arial" w:hAnsi="Arial"/>
                <w:b/>
                <w:bCs/>
                <w:sz w:val="19"/>
                <w:szCs w:val="19"/>
              </w:rPr>
              <w:t xml:space="preserve">Revisado por C.UNIX</w:t>
            </w:r>
          </w:p>
        </w:tc>
      </w:tr>
      <w:tr>
        <w:trPr>
          <w:cantSplit/>
        </w:trPr>
        <w:tc>
          <w:tcPr>
            <w:tcW w:type="dxa" w:w="4819"/>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Nombre y cargo:</w:t>
            </w:r>
          </w:p>
          <w:p>
            <w:pPr>
              <w:spacing w:after="30" w:before="30"/>
            </w:pPr>
            <w:r>
              <w:rPr>
                <w:rFonts w:ascii="Arial" w:cs="Arial" w:eastAsia="Arial" w:hAnsi="Arial"/>
                <w:sz w:val="19"/>
                <w:szCs w:val="19"/>
              </w:rPr>
              <w:t xml:space="preserve">Fecha:</w:t>
            </w:r>
          </w:p>
          <w:p>
            <w:pPr>
              <w:spacing w:after="30" w:before="30"/>
            </w:pPr>
            <w:r>
              <w:rPr>
                <w:rFonts w:ascii="Arial" w:cs="Arial" w:eastAsia="Arial" w:hAnsi="Arial"/>
                <w:sz w:val="19"/>
                <w:szCs w:val="19"/>
              </w:rPr>
              <w:t xml:space="preserve">Firma: ______________________</w:t>
            </w:r>
          </w:p>
        </w:tc>
        <w:tc>
          <w:tcPr>
            <w:tcW w:type="dxa" w:w="4819"/>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30" w:before="30"/>
            </w:pPr>
            <w:r>
              <w:rPr>
                <w:rFonts w:ascii="Arial" w:cs="Arial" w:eastAsia="Arial" w:hAnsi="Arial"/>
                <w:sz w:val="19"/>
                <w:szCs w:val="19"/>
              </w:rPr>
              <w:t xml:space="preserve">☐ Aprobado   ☐ Aprobado parcialmente</w:t>
            </w:r>
          </w:p>
          <w:p>
            <w:pPr>
              <w:spacing w:after="30" w:before="30"/>
            </w:pPr>
            <w:r>
              <w:rPr>
                <w:rFonts w:ascii="Arial" w:cs="Arial" w:eastAsia="Arial" w:hAnsi="Arial"/>
                <w:sz w:val="19"/>
                <w:szCs w:val="19"/>
              </w:rPr>
              <w:t xml:space="preserve">☐ Observado (se devuelve para corregir)</w:t>
            </w:r>
          </w:p>
          <w:p>
            <w:pPr>
              <w:spacing w:after="30" w:before="30"/>
            </w:pPr>
            <w:r>
              <w:rPr>
                <w:rFonts w:ascii="Arial" w:cs="Arial" w:eastAsia="Arial" w:hAnsi="Arial"/>
                <w:sz w:val="19"/>
                <w:szCs w:val="19"/>
              </w:rPr>
              <w:t xml:space="preserve">Horas aprobadas: ________</w:t>
            </w:r>
          </w:p>
          <w:p>
            <w:pPr>
              <w:spacing w:after="30" w:before="30"/>
            </w:pPr>
            <w:r>
              <w:rPr>
                <w:rFonts w:ascii="Arial" w:cs="Arial" w:eastAsia="Arial" w:hAnsi="Arial"/>
                <w:sz w:val="19"/>
                <w:szCs w:val="19"/>
              </w:rPr>
              <w:t xml:space="preserve">Importe aprobado: ________</w:t>
            </w:r>
          </w:p>
          <w:p>
            <w:pPr>
              <w:spacing w:after="30" w:before="30"/>
            </w:pPr>
            <w:r>
              <w:rPr>
                <w:rFonts w:ascii="Arial" w:cs="Arial" w:eastAsia="Arial" w:hAnsi="Arial"/>
                <w:sz w:val="19"/>
                <w:szCs w:val="19"/>
              </w:rPr>
              <w:t xml:space="preserve">Motivo: ver «Observación C.UNIX» del Anexo II-A</w:t>
            </w:r>
          </w:p>
          <w:p>
            <w:pPr>
              <w:spacing w:after="30" w:before="30"/>
            </w:pPr>
            <w:r>
              <w:rPr>
                <w:rFonts w:ascii="Arial" w:cs="Arial" w:eastAsia="Arial" w:hAnsi="Arial"/>
                <w:sz w:val="19"/>
                <w:szCs w:val="19"/>
              </w:rPr>
              <w:t xml:space="preserve">Responsable técnico:</w:t>
            </w:r>
          </w:p>
          <w:p>
            <w:pPr>
              <w:spacing w:after="30" w:before="30"/>
            </w:pPr>
            <w:r>
              <w:rPr>
                <w:rFonts w:ascii="Arial" w:cs="Arial" w:eastAsia="Arial" w:hAnsi="Arial"/>
                <w:sz w:val="19"/>
                <w:szCs w:val="19"/>
              </w:rPr>
              <w:t xml:space="preserve">Fecha:</w:t>
            </w:r>
          </w:p>
          <w:p>
            <w:pPr>
              <w:spacing w:after="30" w:before="30"/>
            </w:pPr>
            <w:r>
              <w:rPr>
                <w:rFonts w:ascii="Arial" w:cs="Arial" w:eastAsia="Arial" w:hAnsi="Arial"/>
                <w:sz w:val="19"/>
                <w:szCs w:val="19"/>
              </w:rPr>
              <w:t xml:space="preserve">Firma: ______________________</w:t>
            </w:r>
          </w:p>
        </w:tc>
      </w:tr>
    </w:tbl>
    <w:p>
      <w:pPr>
        <w:spacing w:after="0" w:before="0" w:line="20"/>
      </w:pPr>
      <w:r>
        <w:rPr>
          <w:sz w:val="2"/>
          <w:szCs w:val="2"/>
        </w:rPr>
        <w:t xml:space="preserve"/>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08080"/>
        <w:sz w:val="16"/>
        <w:szCs w:val="16"/>
      </w:rPr>
      <w:t xml:space="preserve">Anexo II — Informe mensual de horas KLG · Página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2026-09-29T11:47:01.200Z</dcterms:created>
  <dcterms:modified xsi:type="dcterms:W3CDTF">2026-09-29T11:47:01.201Z</dcterms:modified>
</cp:coreProperties>
</file>

<file path=docProps/custom.xml><?xml version="1.0" encoding="utf-8"?>
<Properties xmlns="http://schemas.openxmlformats.org/officeDocument/2006/custom-properties" xmlns:vt="http://schemas.openxmlformats.org/officeDocument/2006/docPropsVTypes"/>
</file>