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ANEXO II</w:t>
      </w:r>
    </w:p>
    <w:p>
      <w:pPr>
        <w:spacing w:after="10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INFORME MENSUAL DE HORAS — KLG</w:t>
      </w:r>
    </w:p>
    <w:p>
      <w:pPr>
        <w:spacing w:after="100" w:before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Período: </w:t>
      </w:r>
      <w:r>
        <w:rPr>
          <w:rFonts w:ascii="Arial" w:cs="Arial" w:eastAsia="Arial" w:hAnsi="Arial"/>
          <w:sz w:val="20"/>
          <w:szCs w:val="20"/>
        </w:rPr>
        <w:t xml:space="preserve">Agosto 2026   ·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Contrato de fecha: </w:t>
      </w:r>
      <w:r>
        <w:rPr>
          <w:rFonts w:ascii="Arial" w:cs="Arial" w:eastAsia="Arial" w:hAnsi="Arial"/>
          <w:sz w:val="20"/>
          <w:szCs w:val="20"/>
        </w:rPr>
        <w:t xml:space="preserve">[DD/MM/AAAA]   ·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Fecha de emisión: </w:t>
      </w:r>
      <w:r>
        <w:rPr>
          <w:rFonts w:ascii="Arial" w:cs="Arial" w:eastAsia="Arial" w:hAnsi="Arial"/>
          <w:sz w:val="20"/>
          <w:szCs w:val="20"/>
        </w:rPr>
        <w:t xml:space="preserve">[DD/MM/AAAA]</w:t>
      </w:r>
    </w:p>
    <w:p>
      <w:pPr>
        <w:spacing w:after="140" w:before="60"/>
        <w:jc w:val="center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EJEMPLO: agosto 2026 presentado como debió entregarse, armado por C.UNIX con los registros de Kimai. Lo marcado en rojo o con [●] es información que falta y KLG debe completar. Desde septiembre, KLG entrega este mismo formato.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Condiciones para aprobar las horas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persona carga sus horas en Kimai con su propio usuario. No se aprueban horas que no estén en Kimai.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registro de Kimai tiene una descripción que empieza con el ticket de iTop o la tarea de ClickUp y dice qué se hizo. Ejemplo: «R-012532 – Corrección del error al pujar en Subastas».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Este informe, el Anexo II-A (Excel) y la factura tienen las mismas horas que Kimai, por persona y por proyecto.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entrega dentro de los primeros [●] días hábiles del mes siguiente.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Horas e importe por proyecto</w:t>
      </w:r>
    </w:p>
    <w:p>
      <w:pPr>
        <w:keepNext/>
        <w:spacing w:after="6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Copiar de la hoja «Resumen» del Anexo II-A, tabla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2438"/>
        <w:gridCol w:w="1200"/>
        <w:gridCol w:w="1300"/>
        <w:gridCol w:w="1800"/>
      </w:tblGrid>
      <w:tr>
        <w:trPr>
          <w:cantSplit/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hora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MINVU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SELICO (MinVu)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218,0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17,00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3.706,00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Servicio Nacional de Aduanas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Subastas (Aduana)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61,0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20,00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1.220,00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Instituto de Salud Pública de Chile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SIAC-OIRS (SIAC)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10,0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20,00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C.UNIX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VictoriusCP2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8,0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17,00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136,00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C.UNIX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Victorius 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9,0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17,00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153,00</w:t>
            </w:r>
          </w:p>
        </w:tc>
      </w:tr>
      <w:tr>
        <w:trPr>
          <w:cantSplit/>
        </w:trPr>
        <w:tc>
          <w:tcPr>
            <w:tcW w:type="dxa" w:w="53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a facturar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306,0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5.415,00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Horas por persona</w:t>
      </w:r>
    </w:p>
    <w:p>
      <w:pPr>
        <w:keepNext/>
        <w:spacing w:after="6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Copiar de la hoja «Resumen» del Anexo II-A, tabla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2238"/>
        <w:gridCol w:w="1300"/>
        <w:gridCol w:w="1400"/>
        <w:gridCol w:w="1400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Días con registro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Promedio por día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 Carnero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150,0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7,9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Matías Zalazar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76,5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4,5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Franco Dodera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62,5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4,2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Lautaro Zalazar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9,0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2,3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Luciano Carducci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8,0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55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306,0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Principales trabajos del mes</w:t>
      </w:r>
    </w:p>
    <w:p>
      <w:pPr>
        <w:keepNext/>
        <w:spacing w:after="6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Los trabajos que explican la mayor parte de las horas de cada proyecto; el detalle registro por registro está en el Anexo II-A. Estado al cierre: Terminado, En curso, En revisión de C.UNIX o Bloqueado.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400"/>
        <w:gridCol w:w="4238"/>
        <w:gridCol w:w="1300"/>
        <w:gridCol w:w="120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 o tarea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se hizo o entregó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 al cierre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MinVu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Alexis Carnero: sin descripción en Kimai. KLG debe detallar el trabajo realizado.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150,0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MinVu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ETL y Power BI de DW_MINVU: parametrización de la base, scripts de carga, verificación y documentación de pruebas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MinVu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Corrección de bugs de producción y revisión de los sprints 9 y 11, con reuniones de seguimiento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MinVu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Pase a producción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MinVu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Garantía EEEE y CIV: revisión de pendientes y corrección de vulnerabilidades de ciberseguridad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5,5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MinVu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Planilla de cálculo de experiencia: nuevo y antiguo decreto por subespecialidad; reuniones de aceptación y de garantía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5,5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Aduana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Mejoras del pagador Linkify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Aduana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Mejora de caracteres acentuados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Aduana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R-012532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para pujar: corrección de errores de websockets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Aduana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R-012399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Problemas para visualizar los lotes (lote 356) y mejoras derivadas: documento de lotes por cierre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Aduana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R-012349 · R-012379 · R-012542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Revisión de comprobantes de adjudicación y facturación; base de datos de usuarios; caída de página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5,5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Aduana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Despliegue en QA y producción, reportes de la subasta 25 y verificación del inicio de subasta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4,5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SIAC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R-012460 · R-012528 · R-012552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Consultas con botón de admisibilidad; alerta de bloqueos en SQL Server; alertas de seguridad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VictoriusCP2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Correcciones para Olacefs: fecha de fin de inscripción e información de EFS Aruba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VictoriusCP2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Reuniones semanales de VCP3 con Gobierno de Córdoba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Victorius 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Gobierno de Córdoba: coordinación, análisis funcional y ampliación de la estimación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Victorius 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Sin ticket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Relevamiento de Victorius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84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306,0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Observaciones</w:t>
      </w:r>
    </w:p>
    <w:p>
      <w:pPr>
        <w:keepNext/>
        <w:spacing w:after="6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Completar todas las filas; si no corresponde, poner «Sin novedades».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Alertas del Anexo II-A (sin ticket, más de 9 h en el día, fin de semana, cruce de medianoche)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ticket: 280,5 h (solo 12 registros, 25,5 h, citan un ticket de iTop).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descripción: los 19 registros de Alexis Carnero (150 h).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Más de 9 h en el día: Alexis Carnero el 04, 05, 06, 10, 11, 13 y 14/08, cada día cargado como un único registro continuo (por ejemplo, 04/08 de 08:15 a 23:15).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 de semana: domingo 02/08, 2 h de Alexis Carnero. Cruce de medianoche: Franco Dodera, 07/08 de 23:00 a 02:00.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Explicación de KLG: [●]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Cambios en el equipo (altas, bajas, reemplazos)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correo de agosto informó 91 h de Gabriel Denis, que no tiene registros en Kimai. Toda persona que trabaje debe cargar sus horas con su propio usuario. Explicación de KLG: [●]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Esperas o bloqueos atribuibles a C.UNIX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31/08 Franco Dodera registra que no pudo probar por falta de VPN. Otros: [●]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Declaración y aprobación</w:t>
      </w:r>
    </w:p>
    <w:p>
      <w:pPr>
        <w:spacing w:after="120" w:before="60"/>
      </w:pPr>
      <w:r>
        <w:rPr>
          <w:rFonts w:ascii="Arial" w:cs="Arial" w:eastAsia="Arial" w:hAnsi="Arial"/>
          <w:sz w:val="19"/>
          <w:szCs w:val="19"/>
        </w:rPr>
        <w:t xml:space="preserve">KLG declara que las horas informadas corresponden a tiempo efectivamente trabajado por el personal asignado, en tareas instruidas por C.UNIX conforme a la cláusula sexta del contrato, y que coinciden con los registros de Kimai del período. El período no comprende asesoría, consultoría, asistencia técnica ni transferencia de conocimientos.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Emitido por KLG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Revisado por C.UNIX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y cargo: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 ______________________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Aprobado   ☐ Aprobado parcialmente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Observado (se devuelve para corregir)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Horas aprobadas: ________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Importe aprobado: ________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Motivo: ver «Observación C.UNIX» del Anexo II-A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Responsable técnico: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 ______________________</w:t>
            </w:r>
          </w:p>
        </w:tc>
      </w:tr>
    </w:tbl>
    <w:p>
      <w:pPr>
        <w:spacing w:after="0" w:before="0" w:line="20"/>
      </w:pPr>
      <w:r>
        <w:rPr>
          <w:sz w:val="2"/>
          <w:szCs w:val="2"/>
        </w:rPr>
        <w:t xml:space="preserve"/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Anexo II — Informe mensual de horas KLG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2026-09-29T11:47:01.200Z</dcterms:created>
  <dcterms:modified xsi:type="dcterms:W3CDTF">2026-09-29T11:47:01.201Z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