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1C92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 USD/EUR 量化交易策略 — 完整解释</w:t>
      </w:r>
    </w:p>
    <w:p w14:paraId="38ECE8C1" w14:textId="77777777" w:rsidR="00787660" w:rsidRDefault="00787660" w:rsidP="00787660">
      <w:pPr>
        <w:rPr>
          <w:rFonts w:hint="eastAsia"/>
        </w:rPr>
      </w:pPr>
    </w:p>
    <w:p w14:paraId="73A9F42D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核心架构：多策略集成（Ensemble）</w:t>
      </w:r>
    </w:p>
    <w:p w14:paraId="5A0947CD" w14:textId="77777777" w:rsidR="00787660" w:rsidRDefault="00787660" w:rsidP="00787660">
      <w:pPr>
        <w:rPr>
          <w:rFonts w:hint="eastAsia"/>
        </w:rPr>
      </w:pPr>
    </w:p>
    <w:p w14:paraId="31145B37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这是一个**始终持有方向性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**的集成策略，由 4 个子策略加权投票决定做多还是做空，只在低波动率时平仓观望。</w:t>
      </w:r>
    </w:p>
    <w:p w14:paraId="74FC1B5A" w14:textId="77777777" w:rsidR="00787660" w:rsidRDefault="00787660" w:rsidP="00787660">
      <w:pPr>
        <w:rPr>
          <w:rFonts w:hint="eastAsia"/>
        </w:rPr>
      </w:pPr>
    </w:p>
    <w:p w14:paraId="06B24BC0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0110C890" w14:textId="77777777" w:rsidR="00787660" w:rsidRDefault="00787660" w:rsidP="00787660">
      <w:pPr>
        <w:rPr>
          <w:rFonts w:hint="eastAsia"/>
        </w:rPr>
      </w:pPr>
    </w:p>
    <w:p w14:paraId="7BEAFE8C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四个子策略</w:t>
      </w:r>
    </w:p>
    <w:p w14:paraId="01343095" w14:textId="77777777" w:rsidR="00787660" w:rsidRDefault="00787660" w:rsidP="00787660">
      <w:pPr>
        <w:rPr>
          <w:rFonts w:hint="eastAsia"/>
        </w:rPr>
      </w:pPr>
    </w:p>
    <w:p w14:paraId="4A387C8D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子策略 | 权重 | 核心逻辑 |</w:t>
      </w:r>
    </w:p>
    <w:p w14:paraId="740EFE71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|--------|------|----------|</w:t>
      </w:r>
    </w:p>
    <w:p w14:paraId="7E443CD1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| **趋势跟踪** | 35% | EMA20/50 </w:t>
      </w:r>
      <w:proofErr w:type="gramStart"/>
      <w:r>
        <w:rPr>
          <w:rFonts w:hint="eastAsia"/>
        </w:rPr>
        <w:t>双均线</w:t>
      </w:r>
      <w:proofErr w:type="gramEnd"/>
      <w:r>
        <w:rPr>
          <w:rFonts w:hint="eastAsia"/>
        </w:rPr>
        <w:t>交叉 + ADX 趋势强度过滤（ADX&gt;20 才生效） |</w:t>
      </w:r>
    </w:p>
    <w:p w14:paraId="1ADE233A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**均值回归** | 20% | 布林带（20日，2σ）+ RSI(14) 超买超卖，触及边界时反向交易 |</w:t>
      </w:r>
    </w:p>
    <w:p w14:paraId="56FA20F1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**动量** | 20% | MACD(12,26,9) 金叉/死叉，维持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直至下一次交叉 |</w:t>
      </w:r>
    </w:p>
    <w:p w14:paraId="54CE9238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ML** | 25% | 25+ 特征（收益率 lag、波动率、RSI、MACD、ADX、布林带位置、成交量），预测下一根 K 线涨跌概率 |</w:t>
      </w:r>
    </w:p>
    <w:p w14:paraId="13CC51ED" w14:textId="77777777" w:rsidR="00787660" w:rsidRDefault="00787660" w:rsidP="00787660">
      <w:pPr>
        <w:rPr>
          <w:rFonts w:hint="eastAsia"/>
        </w:rPr>
      </w:pPr>
    </w:p>
    <w:p w14:paraId="206FB3F0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7856B28F" w14:textId="77777777" w:rsidR="00787660" w:rsidRDefault="00787660" w:rsidP="00787660">
      <w:pPr>
        <w:rPr>
          <w:rFonts w:hint="eastAsia"/>
        </w:rPr>
      </w:pPr>
    </w:p>
    <w:p w14:paraId="310D16E1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信号融合流程</w:t>
      </w:r>
    </w:p>
    <w:p w14:paraId="5E338430" w14:textId="77777777" w:rsidR="00787660" w:rsidRDefault="00787660" w:rsidP="00787660">
      <w:pPr>
        <w:rPr>
          <w:rFonts w:hint="eastAsia"/>
        </w:rPr>
      </w:pPr>
    </w:p>
    <w:p w14:paraId="79630618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```</w:t>
      </w:r>
    </w:p>
    <w:p w14:paraId="66EDACB2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子策略信号 × 置信度 × 权重 → 加权得分</w:t>
      </w:r>
    </w:p>
    <w:p w14:paraId="47070ABF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                                    ↓</w:t>
      </w:r>
    </w:p>
    <w:p w14:paraId="7434124E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        加权得分 &gt; 0 → 多头（+1）</w:t>
      </w:r>
    </w:p>
    <w:p w14:paraId="0CAF4123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lastRenderedPageBreak/>
        <w:t xml:space="preserve">        加权得分 &lt; 0 → 空头（-1）</w:t>
      </w:r>
    </w:p>
    <w:p w14:paraId="3A628680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        波动率 &lt; 阈值(0.2%) → 平仓（0）</w:t>
      </w:r>
    </w:p>
    <w:p w14:paraId="70CEAB79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        200EMA 过滤器：多头必须在均线上方，空头必须在下</w:t>
      </w:r>
    </w:p>
    <w:p w14:paraId="43952C08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```</w:t>
      </w:r>
    </w:p>
    <w:p w14:paraId="4CC6F81C" w14:textId="77777777" w:rsidR="00787660" w:rsidRDefault="00787660" w:rsidP="00787660">
      <w:pPr>
        <w:rPr>
          <w:rFonts w:hint="eastAsia"/>
        </w:rPr>
      </w:pPr>
    </w:p>
    <w:p w14:paraId="082935C6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30009A1D" w14:textId="77777777" w:rsidR="00787660" w:rsidRDefault="00787660" w:rsidP="00787660">
      <w:pPr>
        <w:rPr>
          <w:rFonts w:hint="eastAsia"/>
        </w:rPr>
      </w:pPr>
    </w:p>
    <w:p w14:paraId="22251252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风险管理</w:t>
      </w:r>
    </w:p>
    <w:p w14:paraId="033C87B8" w14:textId="77777777" w:rsidR="00787660" w:rsidRDefault="00787660" w:rsidP="00787660">
      <w:pPr>
        <w:rPr>
          <w:rFonts w:hint="eastAsia"/>
        </w:rPr>
      </w:pPr>
    </w:p>
    <w:p w14:paraId="442F4C99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**ATR 动态止损**：入场价 ± 1.5×ATR（每笔风险 3%）</w:t>
      </w:r>
    </w:p>
    <w:p w14:paraId="659A709C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**移动止损**：盈利达到 0.8×ATR 后激活，以 1.0×ATR 距离跟踪最优价格</w:t>
      </w:r>
    </w:p>
    <w:p w14:paraId="70DEF825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**止盈**：4.0×ATR</w:t>
      </w:r>
    </w:p>
    <w:p w14:paraId="34E29DBA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计算**：基于固定比例风险（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利公式变体），最大杠杆 50×</w:t>
      </w:r>
    </w:p>
    <w:p w14:paraId="74C9ACD4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**最大回撤限制**：25%（触发后拒绝新开仓）</w:t>
      </w:r>
    </w:p>
    <w:p w14:paraId="77F82D0F" w14:textId="77777777" w:rsidR="00787660" w:rsidRDefault="00787660" w:rsidP="00787660">
      <w:pPr>
        <w:rPr>
          <w:rFonts w:hint="eastAsia"/>
        </w:rPr>
      </w:pPr>
    </w:p>
    <w:p w14:paraId="06E595F5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30B69512" w14:textId="77777777" w:rsidR="00787660" w:rsidRDefault="00787660" w:rsidP="00787660">
      <w:pPr>
        <w:rPr>
          <w:rFonts w:hint="eastAsia"/>
        </w:rPr>
      </w:pPr>
    </w:p>
    <w:p w14:paraId="6781AECD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 xml:space="preserve">### </w:t>
      </w:r>
      <w:proofErr w:type="gramStart"/>
      <w:r>
        <w:rPr>
          <w:rFonts w:hint="eastAsia"/>
        </w:rPr>
        <w:t>回测引擎</w:t>
      </w:r>
      <w:proofErr w:type="gramEnd"/>
    </w:p>
    <w:p w14:paraId="751BD173" w14:textId="77777777" w:rsidR="00787660" w:rsidRDefault="00787660" w:rsidP="00787660">
      <w:pPr>
        <w:rPr>
          <w:rFonts w:hint="eastAsia"/>
        </w:rPr>
      </w:pPr>
    </w:p>
    <w:p w14:paraId="473F26F5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**事件驱动模式**，逐根 K 线遍历，模拟真实执行流程：</w:t>
      </w:r>
    </w:p>
    <w:p w14:paraId="5CC65A59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检查止损/止盈触发 → 更新移动止损 → 信号变化时平仓/反转</w:t>
      </w:r>
    </w:p>
    <w:p w14:paraId="4084DDE7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每笔交易扣除：点差（1pip）+ 手续费（0.005%）+ 滑点（1pip）</w:t>
      </w:r>
    </w:p>
    <w:p w14:paraId="4441AB07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日线数据，2015 年至今约 3000 条</w:t>
      </w:r>
    </w:p>
    <w:p w14:paraId="264B09A8" w14:textId="77777777" w:rsidR="00787660" w:rsidRDefault="00787660" w:rsidP="00787660">
      <w:pPr>
        <w:rPr>
          <w:rFonts w:hint="eastAsia"/>
        </w:rPr>
      </w:pPr>
    </w:p>
    <w:p w14:paraId="27BE2AE7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4580B496" w14:textId="77777777" w:rsidR="00787660" w:rsidRDefault="00787660" w:rsidP="00787660">
      <w:pPr>
        <w:rPr>
          <w:rFonts w:hint="eastAsia"/>
        </w:rPr>
      </w:pPr>
    </w:p>
    <w:p w14:paraId="759CC212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关键参数</w:t>
      </w:r>
    </w:p>
    <w:p w14:paraId="19CE15BE" w14:textId="77777777" w:rsidR="00787660" w:rsidRDefault="00787660" w:rsidP="00787660">
      <w:pPr>
        <w:rPr>
          <w:rFonts w:hint="eastAsia"/>
        </w:rPr>
      </w:pPr>
    </w:p>
    <w:p w14:paraId="1224CE67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参数 | 值 | 说明 |</w:t>
      </w:r>
    </w:p>
    <w:p w14:paraId="290EF79F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|------|-----|------|</w:t>
      </w:r>
    </w:p>
    <w:p w14:paraId="3E3E5D10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初始资金 | $100,000 | |</w:t>
      </w:r>
    </w:p>
    <w:p w14:paraId="79850188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单笔风险 | 3% | $3,000/笔 |</w:t>
      </w:r>
    </w:p>
    <w:p w14:paraId="7E98AC9F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最大杠杆 | 50× | 外汇标准 |</w:t>
      </w:r>
    </w:p>
    <w:p w14:paraId="42235775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移动止</w:t>
      </w:r>
      <w:proofErr w:type="gramStart"/>
      <w:r>
        <w:rPr>
          <w:rFonts w:hint="eastAsia"/>
        </w:rPr>
        <w:t>损距离</w:t>
      </w:r>
      <w:proofErr w:type="gramEnd"/>
      <w:r>
        <w:rPr>
          <w:rFonts w:hint="eastAsia"/>
        </w:rPr>
        <w:t xml:space="preserve"> | 1.0 ATR | |</w:t>
      </w:r>
    </w:p>
    <w:p w14:paraId="60DEFB8B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移动止损激活 | 0.8 ATR | 盈利后快速锁定 |</w:t>
      </w:r>
    </w:p>
    <w:p w14:paraId="6564EDBE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| 波动率最低阈值 | 0.2% ATR/价格 | 低于此值平仓 |</w:t>
      </w:r>
    </w:p>
    <w:p w14:paraId="6C018197" w14:textId="77777777" w:rsidR="00787660" w:rsidRDefault="00787660" w:rsidP="00787660">
      <w:pPr>
        <w:rPr>
          <w:rFonts w:hint="eastAsia"/>
        </w:rPr>
      </w:pPr>
    </w:p>
    <w:p w14:paraId="10D56975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---</w:t>
      </w:r>
    </w:p>
    <w:p w14:paraId="663B5AAF" w14:textId="77777777" w:rsidR="00787660" w:rsidRDefault="00787660" w:rsidP="00787660">
      <w:pPr>
        <w:rPr>
          <w:rFonts w:hint="eastAsia"/>
        </w:rPr>
      </w:pPr>
    </w:p>
    <w:p w14:paraId="0E12D9B9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### 历史表现（2015-2026，日线）</w:t>
      </w:r>
    </w:p>
    <w:p w14:paraId="04374223" w14:textId="77777777" w:rsidR="00787660" w:rsidRDefault="00787660" w:rsidP="00787660">
      <w:pPr>
        <w:rPr>
          <w:rFonts w:hint="eastAsia"/>
        </w:rPr>
      </w:pPr>
    </w:p>
    <w:p w14:paraId="56F0E778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**总收益**：+12,810%（$100K → $12.9M）</w:t>
      </w:r>
    </w:p>
    <w:p w14:paraId="72ECCD9E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年化</w:t>
      </w:r>
      <w:proofErr w:type="gramEnd"/>
      <w:r>
        <w:rPr>
          <w:rFonts w:hint="eastAsia"/>
        </w:rPr>
        <w:t xml:space="preserve"> CAGR**：50.55%</w:t>
      </w:r>
    </w:p>
    <w:p w14:paraId="01991D3D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**最大回撤**：-6.79%</w:t>
      </w:r>
    </w:p>
    <w:p w14:paraId="6A0363EE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**Sharpe**：3.71 | **Calmar**：7.44</w:t>
      </w:r>
    </w:p>
    <w:p w14:paraId="1F1D9933" w14:textId="77777777" w:rsidR="00787660" w:rsidRDefault="00787660" w:rsidP="00787660">
      <w:pPr>
        <w:rPr>
          <w:rFonts w:hint="eastAsia"/>
        </w:rPr>
      </w:pPr>
      <w:r>
        <w:rPr>
          <w:rFonts w:hint="eastAsia"/>
        </w:rPr>
        <w:t>- **胜率**：80.9%（535 笔交易中 433 笔盈利）</w:t>
      </w:r>
    </w:p>
    <w:p w14:paraId="3C8D4287" w14:textId="4D8B0282" w:rsidR="00290ECB" w:rsidRPr="00787660" w:rsidRDefault="00787660" w:rsidP="00787660">
      <w:pPr>
        <w:rPr>
          <w:rFonts w:hint="eastAsia"/>
        </w:rPr>
      </w:pPr>
      <w:r>
        <w:rPr>
          <w:rFonts w:hint="eastAsia"/>
        </w:rPr>
        <w:t>- **同期 B&amp;H**：-5.4%（欧元兑美元自 2015 年整体贬值）</w:t>
      </w:r>
    </w:p>
    <w:sectPr w:rsidR="00290ECB" w:rsidRPr="0078766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60"/>
    <w:rsid w:val="002462C8"/>
    <w:rsid w:val="00290ECB"/>
    <w:rsid w:val="005F0154"/>
    <w:rsid w:val="007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9222"/>
  <w15:chartTrackingRefBased/>
  <w15:docId w15:val="{B461410E-2DC3-4E5B-8C0B-1EA6654E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6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6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6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6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6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6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6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6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6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6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6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6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6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6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6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geng</dc:creator>
  <cp:keywords/>
  <dc:description/>
  <cp:lastModifiedBy>martin geng</cp:lastModifiedBy>
  <cp:revision>1</cp:revision>
  <dcterms:created xsi:type="dcterms:W3CDTF">2026-07-05T11:06:00Z</dcterms:created>
  <dcterms:modified xsi:type="dcterms:W3CDTF">2026-07-05T11:08:00Z</dcterms:modified>
</cp:coreProperties>
</file>