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3863" w14:textId="77777777" w:rsidR="00CB1D41" w:rsidRPr="00CB1D41" w:rsidRDefault="00CB1D41" w:rsidP="00CB1D41">
      <w:pPr>
        <w:rPr>
          <w:rFonts w:cstheme="minorHAnsi"/>
          <w:b/>
          <w:bCs/>
          <w:sz w:val="24"/>
          <w:szCs w:val="24"/>
        </w:rPr>
      </w:pPr>
      <w:r w:rsidRPr="00CB1D41">
        <w:rPr>
          <w:rFonts w:cstheme="minorHAnsi"/>
          <w:b/>
          <w:bCs/>
          <w:sz w:val="24"/>
          <w:szCs w:val="24"/>
        </w:rPr>
        <w:t>Interaction of age and gender on post-discharge quality-of-life in adult trauma patients in urban India – a cohort study</w:t>
      </w:r>
    </w:p>
    <w:p w14:paraId="77381D4E" w14:textId="77777777" w:rsidR="00CB1D41" w:rsidRPr="00CB1D41" w:rsidRDefault="00CB1D41" w:rsidP="00CB1D41">
      <w:pPr>
        <w:rPr>
          <w:rFonts w:cstheme="minorHAnsi"/>
          <w:b/>
          <w:bCs/>
          <w:sz w:val="24"/>
          <w:szCs w:val="24"/>
        </w:rPr>
      </w:pPr>
      <w:r w:rsidRPr="00CB1D41">
        <w:rPr>
          <w:rFonts w:cstheme="minorHAnsi"/>
          <w:b/>
          <w:bCs/>
          <w:sz w:val="24"/>
          <w:szCs w:val="24"/>
        </w:rPr>
        <w:t>Introduction</w:t>
      </w:r>
    </w:p>
    <w:p w14:paraId="3EC9368B" w14:textId="0FED50A2" w:rsidR="00CB1D41" w:rsidRPr="00CB1D41" w:rsidRDefault="00CB1D41" w:rsidP="00CB1D41">
      <w:pPr>
        <w:jc w:val="both"/>
        <w:rPr>
          <w:rFonts w:cstheme="minorHAnsi"/>
          <w:sz w:val="24"/>
          <w:szCs w:val="24"/>
        </w:rPr>
      </w:pPr>
      <w:r w:rsidRPr="00CB1D41">
        <w:rPr>
          <w:rFonts w:cstheme="minorHAnsi"/>
          <w:sz w:val="24"/>
          <w:szCs w:val="24"/>
        </w:rPr>
        <w:t>Trauma contributes to one-tenth of the global disability-adjusted life-years (DALYs), with low-and middle-income countries (LMICs) bearing a disproportionate burden of the morbidity</w:t>
      </w:r>
      <w:r w:rsidR="00E51563">
        <w:rPr>
          <w:rFonts w:cstheme="minorHAnsi"/>
          <w:sz w:val="24"/>
          <w:szCs w:val="24"/>
        </w:rPr>
        <w:t xml:space="preserve"> </w:t>
      </w:r>
      <w:r w:rsidR="00E51563">
        <w:rPr>
          <w:rFonts w:cstheme="minorHAnsi"/>
          <w:sz w:val="24"/>
          <w:szCs w:val="24"/>
        </w:rPr>
        <w:fldChar w:fldCharType="begin" w:fldLock="1"/>
      </w:r>
      <w:r w:rsidR="00A83616">
        <w:rPr>
          <w:rFonts w:cstheme="minorHAnsi"/>
          <w:sz w:val="24"/>
          <w:szCs w:val="24"/>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2019","type":"article-journal","volume":"396"},"uris":["http://www.mendeley.com/documents/?uuid=92b93d58-0f7a-49a4-b70c-a694d5e292e7"]},{"id":"ITEM-2","itemData":{"DOI":"https://dx.doi.org/10.1186/s12955-019-1139-4","ISBN":"1477-7525","PMID":"31014327","abstract":"BACKGROUND: Retrospective assessment of pre-injury health-related quality of life (HRQL) is frequently used to measure change from pre- to post-injury HRQL. However, retrospective measurement may be confounded by recall bias. It is assumed that presence of recall bias is influenced by several factors, such as the measurement scale or the instrument that is used, the measurement schedule, and the presence of a substantial health event during the follow up period. This study empirically tests these assumptions by comparing pre-injury EQ-5D summary scores, EQ-5D profiles and visual analogue scale (EQ-VAS) scores of trauma patients, as recorded 1 week and 12 months post-injury, respectively. METHODS: A sample of 5371 adult trauma patients who attended the Emergency Department (ED) followed by hospital admission, received postal questionnaires 1 week (T1) and 12 months (T2) post-injury. The questionnaires contained items on pre-injury health, in terms of EQ-5D3L and EQ-VAS. RESULTS: One thousand one hundred sixty-six completed data pairs with T1 and T2 pre-injury data were available. Mean pre-injury EQ-5D summary scores were 0.906 (T1) and 0.905 (T2), respectively, with moderate intertemporal agreement (intraclass correlation coefficient (ICC) T1T2 = 0.595). In absolute terms, 442 (37.9%) respondents reported a different pre-injury EQ-5D profile at T2 compared to T1. The least stable EQ-5D dimension was pain/discomfort (20.2% reported a change). Mean T2 pre-injury EQ-VAS score was significantly higher than mean T1 pre-injury EQ-VAS score (T2 84.6 versus T1 83.3). Multivariable logistic regression analysis indicated that lower educational level, comorbid disease and having PTSD symptoms were independent predictors of change of pre-injury EQ-5D profile. CONCLUSIONS: Despite one third of respondents reported a different pre-injury health level, if asked for on two interview occasions separated by 1 year, on the group level this difference was nil (EQ-5D summary score) to small (EQ-VAS). The consistent symmetrical pattern of change suggests random error to play the largest role. Intertemporal reliability was the same in EQ-5D profiles vs. EQ-VAS scores, ruling out scale effects. Particularly certain trauma subgroups showed highest distortion. While group comparisons may be trusted, in pre-post analysis and repeated measure analysis the individual injury impact and recovery pattern may be wrongly estimated.","author":[{"dropping-particle":"","family":"Haagsma","given":"J","non-dropping-particle":"","parse-names":false,"suffix":""},{"dropping-particle":"","family":"Bonsel","given":"G","non-dropping-particle":"","parse-names":false,"suffix":""},{"dropping-particle":"","family":"Jongh","given":"M","non-dropping-particle":"de","parse-names":false,"suffix":""},{"dropping-particle":"","family":"Polinder","given":"S","non-dropping-particle":"","parse-names":false,"suffix":""}],"container-title":"Health &amp; Quality of Life Outcomes","id":"ITEM-2","issue":"1","issued":{"date-parts":[["2019"]]},"note":"Haagsma, Juanita Bonsel, Gouke de Jongh, Mariska Polinder, Suzanne","page":"70","title":"Agreement between retrospectively assessed health-related quality of life collected 1 week and 12 months post-injury: an observational follow-up study","type":"article-journal","volume":"17"},"uris":["http://www.mendeley.com/documents/?uuid=de6ad5b5-eb5f-4305-8c00-597846380b9d"]}],"mendeley":{"formattedCitation":"(1,2)","plainTextFormattedCitation":"(1,2)","previouslyFormattedCitation":"(1,2)"},"properties":{"noteIndex":0},"schema":"https://github.com/citation-style-language/schema/raw/master/csl-citation.json"}</w:instrText>
      </w:r>
      <w:r w:rsidR="00E51563">
        <w:rPr>
          <w:rFonts w:cstheme="minorHAnsi"/>
          <w:sz w:val="24"/>
          <w:szCs w:val="24"/>
        </w:rPr>
        <w:fldChar w:fldCharType="separate"/>
      </w:r>
      <w:r w:rsidR="00E51563" w:rsidRPr="00E51563">
        <w:rPr>
          <w:rFonts w:cstheme="minorHAnsi"/>
          <w:noProof/>
          <w:sz w:val="24"/>
          <w:szCs w:val="24"/>
        </w:rPr>
        <w:t>(1,2)</w:t>
      </w:r>
      <w:r w:rsidR="00E51563">
        <w:rPr>
          <w:rFonts w:cstheme="minorHAnsi"/>
          <w:sz w:val="24"/>
          <w:szCs w:val="24"/>
        </w:rPr>
        <w:fldChar w:fldCharType="end"/>
      </w:r>
      <w:r w:rsidRPr="00CB1D41">
        <w:rPr>
          <w:rFonts w:cstheme="minorHAnsi"/>
          <w:sz w:val="24"/>
          <w:szCs w:val="24"/>
        </w:rPr>
        <w:t xml:space="preserve">. To address this </w:t>
      </w:r>
      <w:r w:rsidR="00E51563" w:rsidRPr="00CB1D41">
        <w:rPr>
          <w:rFonts w:cstheme="minorHAnsi"/>
          <w:sz w:val="24"/>
          <w:szCs w:val="24"/>
        </w:rPr>
        <w:t>burden,</w:t>
      </w:r>
      <w:r w:rsidRPr="00CB1D41">
        <w:rPr>
          <w:rFonts w:cstheme="minorHAnsi"/>
          <w:sz w:val="24"/>
          <w:szCs w:val="24"/>
        </w:rPr>
        <w:t xml:space="preserve"> it is important to understand the long-term outcomes of trauma and the different factors associated with these outcomes, especially in LMICs </w:t>
      </w:r>
      <w:r w:rsidR="00A83616">
        <w:rPr>
          <w:rFonts w:cstheme="minorHAnsi"/>
          <w:sz w:val="24"/>
          <w:szCs w:val="24"/>
        </w:rPr>
        <w:fldChar w:fldCharType="begin" w:fldLock="1"/>
      </w:r>
      <w:r w:rsidR="00A83616">
        <w:rPr>
          <w:rFonts w:cstheme="minorHAnsi"/>
          <w:sz w:val="24"/>
          <w:szCs w:val="24"/>
        </w:rPr>
        <w:instrText>ADDIN CSL_CITATION {"citationItems":[{"id":"ITEM-1","itemData":{"DOI":"https://dx.doi.org/10.1097/TA.0000000000001490","ISBN":"2163-0763","PMID":"28426563","abstract":"BACKGROUND: The National Academies of Sciences, Engineering, and Medicine (formerly the Institute of Medicine) recently recommended inclusion of postdischarge health-related quality of life (HRQoL) and patient-reported outcomes (PROs) metrics to benchmark the quality of trauma care. Currently, these measures are not routinely collected at most trauma centers. We sought to determine the feasibility and value of adding such long-term outcome measures to trauma registries. METHODS: As part of the FORTE (Functional Outcomes and Recovery after Trauma Emergencies) project, we included patients with an Injury Severity Score of 9 or greater, admitted to the Brigham and Women's Hospital in Boston, MA, who were identified retrospectively using the institutional trauma registry and contacted 6 or 12 months after injury to participate in a telephone survey evaluating HRQoL (Short Form 12 [SF-12]), PROs (Trauma Quality of Life), posttraumatic stress disorder, return to work, residential status, and health care utilization. RESULTS: Data were collected for 171 of 394 eligible patients: 85/189 (45%) at 6 months and 86/205 (42%) at 12 months; 25%/29% (6/12 months) patients could not be contacted, 15%/16% (6/12 months) declined to participate, and 15%/13% (6/12 months) were interested in participating at another time but were not reached again. Approximately 20% patients screened positive for posttraumatic stress disorder, and half had not yet returned to work. There were significant reductions in SF-12 physical composite scores relative to population norms (mean, 50 [SD, 10]) at 6 months (mean, 44; 95% confidence interval [CI], 41-47) and 12 months (45; 95% CI, 42-47); no difference was noted in the SF-12 mental composite scores (6 months: 51 [95% CI, 48-54]; 12 months: 50 [95% CI, 46-53]). CONCLUSIONS: Trauma patients reported considerable impairment 6 and 12 months after injury. Routine collection of PROs and HRQoL provides important data regarding trauma outcomes beyond mortality and will enable the development of quality improvement metrics that better reflect patients' postinjury experiences. Improved and alternate methods for collection of these data need to be developed to enhance response rates before widespread adoption across trauma centers in the United States. LEVEL OF EVIDENCE: Prognostic/epidemiologic, level II; Therapeutic, level III.","author":[{"dropping-particle":"","family":"Rios-Diaz","given":"A J","non-dropping-particle":"","parse-names":false,"suffix":""},{"dropping-particle":"","family":"Herrera-Escobar","given":"J P","non-dropping-particle":"","parse-names":false,"suffix":""},{"dropping-particle":"","family":"Lilley","given":"E J","non-dropping-particle":"","parse-names":false,"suffix":""},{"dropping-particle":"","family":"Appelson","given":"J R","non-dropping-particle":"","parse-names":false,"suffix":""},{"dropping-particle":"","family":"Gabbe","given":"B","non-dropping-particle":"","parse-names":false,"suffix":""},{"dropping-particle":"","family":"Brasel","given":"K","non-dropping-particle":"","parse-names":false,"suffix":""},{"dropping-particle":"","family":"deRoon-Cassini","given":"T","non-dropping-particle":"","parse-names":false,"suffix":""},{"dropping-particle":"","family":"Schneider","given":"E B","non-dropping-particle":"","parse-names":false,"suffix":""},{"dropping-particle":"","family":"Kasotakis","given":"G","non-dropping-particle":"","parse-names":false,"suffix":""},{"dropping-particle":"","family":"Kaafarani","given":"H","non-dropping-particle":"","parse-names":false,"suffix":""},{"dropping-particle":"","family":"Velmahos","given":"G","non-dropping-particle":"","parse-names":false,"suffix":""},{"dropping-particle":"","family":"Salim","given":"A","non-dropping-particle":"","parse-names":false,"suffix":""},{"dropping-particle":"","family":"Haider","given":"A H","non-dropping-particle":"","parse-names":false,"suffix":""}],"container-title":"The Journal of Trauma and Acute Care Surgery","id":"ITEM-1","issue":"1","issued":{"date-parts":[["2017"]]},"note":"Rios-Diaz, Arturo J Herrera-Escobar, Juan P Lilley, Elizabeth J Appelson, Jessica R Gabbe, Belinda Brasel, Karen deRoon-Cassini, Terri Schneider, Eric B Kasotakis, George Kaafarani, Haytham Velmahos, George Salim, Ali Haider, Adil H","page":"97-104","title":"Routine inclusion of long-term functional and patient-reported outcomes into trauma registries: The FORTE project","type":"article-journal","volume":"83"},"uris":["http://www.mendeley.com/documents/?uuid=bcc20e5b-7162-4040-9c28-38b664d5c16d"]},{"id":"ITEM-2","itemData":{"DOI":"10.1111/aas.12875","ISSN":"13996576","author":[{"dropping-particle":"","family":"Wisborg","given":"T.","non-dropping-particle":"","parse-names":false,"suffix":""},{"dropping-particle":"","family":"Manskow","given":"U. S.","non-dropping-particle":"","parse-names":false,"suffix":""},{"dropping-particle":"","family":"Jeppesen","given":"E.","non-dropping-particle":"","parse-names":false,"suffix":""}],"container-title":"Acta Anaesthesiologica Scandinavica","id":"ITEM-2","issue":"4","issued":{"date-parts":[["2017"]]},"page":"362-364","title":"Trauma outcome research – More is needed","type":"article-journal","volume":"61"},"uris":["http://www.mendeley.com/documents/?uuid=2bae0199-2476-4a75-a977-d11fae38101c"]},{"id":"ITEM-3","itemData":{"DOI":"10.1016/j.injury.2017.01.013","ISSN":"18790267","abstract":"Background Over the past decades, the number of survivors of injuries has rapidly grown. It has become important to focus more on the determinants of non-fatal outcome. Although socio-economic status (SES) is considered to be a fundamental determinant of health in general, the role of SES as a determinant of non-fatal outcome after injury is largely unknown. Methods An online search was conducted in November 2015 using Embase, Medline, Web of Science, Cinahl, Cochrane, Google scholar and PubMed. Studies examining the relation between SES and a physical or psychological outcome measure, or using SES as a confounder in a general trauma population were included. There were no restrictions regarding study design. The ‘Quality in Prognostic Studies tool’ was used to assess the methodological quality of the included studies. Results The 24 included studies showed large variations in methodological quality. The number of participants ranged from 56 to 4639, and assessments of the measures ranged from immediately to 6 year post-injury. Studies used a large number of variables as indicators of SES. Participant's educational level was used most frequently. The majority of the studies used a multivariable technique to analyse the relation between SES and non-fatal outcome after injury. All studies found a positive association (80% of studies significant, n = 19) between increased SES and better non-fatal outcome after injury. Conclusion Although an adequate and valid measure of SES is lacking, the results of this review showed that SES is an important determinant of non-fatal outcome after injury. Future research should focus on the definition and measurement of SES and should further underpin the effect of SES on non-fatal outcome after injury.","author":[{"dropping-particle":"","family":"Kruithof","given":"N.","non-dropping-particle":"","parse-names":false,"suffix":""},{"dropping-particle":"","family":"Jongh","given":"M. A.C.","non-dropping-particle":"de","parse-names":false,"suffix":""},{"dropping-particle":"","family":"Munter","given":"L.","non-dropping-particle":"de","parse-names":false,"suffix":""},{"dropping-particle":"","family":"Lansink","given":"K. W.W.","non-dropping-particle":"","parse-names":false,"suffix":""},{"dropping-particle":"","family":"Polinder","given":"S.","non-dropping-particle":"","parse-names":false,"suffix":""}],"container-title":"Injury","id":"ITEM-3","issue":"3","issued":{"date-parts":[["2017"]]},"page":"578-590","publisher":"Elsevier Ltd","title":"The effect of socio-economic status on non-fatal outcome after injury: A systematic review","type":"article-journal","volume":"48"},"uris":["http://www.mendeley.com/documents/?uuid=96007482-a8aa-40ab-98cb-febf698f8789"]}],"mendeley":{"formattedCitation":"(3–5)","plainTextFormattedCitation":"(3–5)","previouslyFormattedCitation":"(3–5)"},"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(3–5)</w:t>
      </w:r>
      <w:r w:rsidR="00A83616">
        <w:rPr>
          <w:rFonts w:cstheme="minorHAnsi"/>
          <w:sz w:val="24"/>
          <w:szCs w:val="24"/>
        </w:rPr>
        <w:fldChar w:fldCharType="end"/>
      </w:r>
      <w:r w:rsidRPr="00CB1D41">
        <w:rPr>
          <w:rFonts w:cstheme="minorHAnsi"/>
          <w:sz w:val="24"/>
          <w:szCs w:val="24"/>
        </w:rPr>
        <w:t>. This encompasses a range of socioeconomic outcomes including health-related quality of life (QOL)</w:t>
      </w:r>
      <w:r w:rsidR="00A83616">
        <w:rPr>
          <w:rFonts w:cstheme="minorHAnsi"/>
          <w:sz w:val="24"/>
          <w:szCs w:val="24"/>
        </w:rPr>
        <w:t xml:space="preserve"> </w:t>
      </w:r>
      <w:r w:rsidR="00A83616">
        <w:rPr>
          <w:rFonts w:cstheme="minorHAnsi"/>
          <w:sz w:val="24"/>
          <w:szCs w:val="24"/>
        </w:rPr>
        <w:fldChar w:fldCharType="begin" w:fldLock="1"/>
      </w:r>
      <w:r w:rsidR="00A83616">
        <w:rPr>
          <w:rFonts w:cstheme="minorHAnsi"/>
          <w:sz w:val="24"/>
          <w:szCs w:val="24"/>
        </w:rPr>
        <w:instrText>ADDIN CSL_CITATION {"citationItems":[{"id":"ITEM-1","itemData":{"DOI":"10.1177/0269215517712044","ISSN":"0269-2155","author":[{"dropping-particle":"","family":"Ahmed","given":"Wail","non-dropping-particle":"","parse-names":false,"suffix":""},{"dropping-particle":"","family":"Alwe","given":"Rupali","non-dropping-particle":"","parse-names":false,"suffix":""},{"dropping-particle":"","family":"Wade","given":"Derick","non-dropping-particle":"","parse-names":false,"suffix":""}],"container-title":"Clinical Rehabilitation","id":"ITEM-1","issue":"12","issued":{"date-parts":[["2017"]]},"page":"1646-1652","title":"One-year functional outcomes following major trauma: experience of a UK level 1 major trauma centre","type":"article-journal","volume":"31"},"uris":["http://www.mendeley.com/documents/?uuid=2f685d0b-bdb6-439f-99f7-b2ea5d4f5e0a"]},{"id":"ITEM-2","itemData":{"DOI":"10.1136/bmjgh-2016-000082","ISBN":"2016000082","ISSN":"20597908","abstract":"BACKGROUND: Injuries create major financial burden for families. In this study, we estimated the distribution of out-of-pocket payment for medical care of injuries and the role of health insurance in containing such costs.\\n\\nMETHODS: A prospective cohort study of 892 injured patients admitted to a provincial general hospital between Jan 1, 2010, and Aug 31, 2010, in Vietnam was done. Data for demographic, injury characteristics, and costs by specific categories paid out-of-pocket by patients were included in the analyses. Generalised linear models with log link and gamma distribution were used to examine the associations between insurance status and total medical care costs and specific cost component.\\n\\nFINDINGS: The average total medical care costs paid out-of-pocket by patients during hospital stays were greater than US$270 (SD 193). Major drivers of total medical care costs related to surgery (nearly 25%), diagnostic tests or examinations (24%), and drugs (23%). Burn injuries incurred the highest medical care costs during hospital stays (mean US$321 [SD 179]) and assault incurred the lowest costs (mean US$167 [SD 165]). Total costs were higher for more severe injuries and those that required a higher level of surgery (from US$122 for maximum abbreviated injury score [MAIS] of 1 to US$485 to MAIS of 5; and US$194 for non-surgery, US$202 for minor surgery, and US$428 for major surgery). Patients using health insurance had lower total costs than those who did not (US$245 vs US$279). However, no significant associations were noted between health insurance and total costs (p=0·142), costs for surgery (p=0·154), diagnostic tests or examinations (p=0·689), or drugs (p=0·341).\\n\\nINTERPRETATION: This study provides estimates and distribution of costs of medical care for injuries in hospital. Patients and their families seemed to bear all or most of these costs. Although the study highlights the need for ongoing efforts in injury prevention, it also provides further evidence on the few benefits of health insurance in protecting patients and their families from the high costs of hospital stays in Vietnam.\\n\\nFUNDING: Atlantic Philanthropies.","author":[{"dropping-particle":"","family":"Nguyen","given":"Ha","non-dropping-particle":"","parse-names":false,"suffix":""},{"dropping-particle":"","family":"Ivers","given":"Rebecca","non-dropping-particle":"","parse-names":false,"suffix":""},{"dropping-particle":"","family":"Jan","given":"Stephen","non-dropping-particle":"","parse-names":false,"suffix":""},{"dropping-particle":"","family":"Pham","given":"Cuong","non-dropping-particle":"","parse-names":false,"suffix":""}],"container-title":"BMJ Global Health","id":"ITEM-2","issue":"1","issued":{"date-parts":[["2017"]]},"title":"Analysis of out-of-pocket costs associated with hospitalised injuries in Vietnam","type":"article-journal","volume":"2"},"uris":["http://www.mendeley.com/documents/?uuid=6a51fd8c-ba84-4cf1-a4f4-ddd4ebe59b30"]},{"id":"ITEM-3","itemData":{"DOI":"10.1038/s41393-019-0382-1","ISSN":"14765624","PMID":"31772346","abstract":"Study design: Cross-sectional study. Objectives: To determine the degree of impoverishment of people with spinal cord injury (SCI) and their families in Bangladesh caused by loss of work-related income following injury. Setting: Spinal cord injury centre, Bangladesh. Methods: A total of 410 wheelchair-dependent people with recent SCI about to be discharged from a hospital in Bangladesh were interviewed to determine the size of their families, their incomes from paid work prior to injury and the incomes of their family members. These data were used to calculate income per family unit and per family member prior to and immediately after injury. Results: Ninety percent of the participants were men, 98% were from rural areas of Bangladesh and 58% were manual labours prior to injury. Median (interquartile range, IQR) family size was 5 (4–6) people. Prior to injury, 74% of participants were the main income earners for their families and 50% provided the only source of income for their families. Participants’ median (IQR) monthly income prior to injury was US$106 (US$60–US$180) per person and family members’ income was US$30 (US$19–US$48) per person. After injury, the median income (IQR) of each family member dropped to US$0 (US$0–US$18) placing 91% of families below the extreme poverty line of US$37.50 per person per month (equivalent to US$1.25 per day). Conclusion: In Bangladesh, SCI have profound financial implications for individuals and their families and causes extreme poverty. This is because those most often injured are young and the main income earners for their families.","author":[{"dropping-particle":"","family":"Hossain","given":"Mohammad Sohrab","non-dropping-particle":"","parse-names":false,"suffix":""},{"dropping-particle":"","family":"Harvey","given":"Lisa A.","non-dropping-particle":"","parse-names":false,"suffix":""},{"dropping-particle":"","family":"Islam","given":"Md Shofiqul","non-dropping-particle":"","parse-names":false,"suffix":""},{"dropping-particle":"","family":"Rahman","given":"Md Akhlasur","non-dropping-particle":"","parse-names":false,"suffix":""},{"dropping-particle":"","family":"Liu","given":"Hueiming","non-dropping-particle":"","parse-names":false,"suffix":""},{"dropping-particle":"","family":"Herbert","given":"Robert D.","non-dropping-particle":"","parse-names":false,"suffix":""}],"container-title":"Spinal Cord","id":"ITEM-3","issue":"4","issued":{"date-parts":[["2020"]]},"page":"423-429","title":"Loss of work-related income impoverishes people with SCI and their families in Bangladesh","type":"article-journal","volume":"58"},"uris":["http://www.mendeley.com/documents/?uuid=a78ed0f8-9c07-4639-bfba-dad553509555"]},{"id":"ITEM-4","itemData":{"DOI":"https://dx.doi.org/10.1136/injuryprev-2019-043143","ISB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&gt;=18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&gt;=7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non-dropping-particle":"","parse-names":false,"suffix":""},{"dropping-particle":"","family":"Prinja","given":"S","non-dropping-particle":"","parse-names":false,"suffix":""},{"dropping-particle":"","family":"Nguyen","given":"H","non-dropping-particle":"","parse-names":false,"suffix":""},{"dropping-particle":"","family":"Gabbe","given":"B J","non-dropping-particle":"","parse-names":false,"suffix":""},{"dropping-particle":"","family":"Peden","given":"M","non-dropping-particle":"","parse-names":false,"suffix":""},{"dropping-particle":"","family":"Ivers","given":"R Q","non-dropping-particle":"","parse-names":false,"suffix":""}],"container-title":"Injury Prevention","id":"ITEM-4","issued":{"date-parts":[["2019"]]},"language":"English","note":"Using Smart Source Parsing\nJul\nJagnoor, Jagnoor\nPrinja, Shankar\nNguyen, Ha\nGabbe, Belinda J\nPeden, Margaret\nIvers, Rebecca Q\ninjuryprev-2019-043143","page":"4","title":"Mortality and health-related quality of life following injuries and associated factors: a cohort study in Chandigarh, North India","type":"article-journal","volume":"04"},"uris":["http://www.mendeley.com/documents/?uuid=9af67f03-6dc3-4579-9cbb-bbf67cf5bcb0"]}],"mendeley":{"formattedCitation":"(6–9)","plainTextFormattedCitation":"(6–9)","previouslyFormattedCitation":"(6–9)"},"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(6–9)</w:t>
      </w:r>
      <w:r w:rsidR="00A83616">
        <w:rPr>
          <w:rFonts w:cstheme="minorHAnsi"/>
          <w:sz w:val="24"/>
          <w:szCs w:val="24"/>
        </w:rPr>
        <w:fldChar w:fldCharType="end"/>
      </w:r>
      <w:r w:rsidRPr="00CB1D41">
        <w:rPr>
          <w:rFonts w:cstheme="minorHAnsi"/>
          <w:sz w:val="24"/>
          <w:szCs w:val="24"/>
        </w:rPr>
        <w:t>.</w:t>
      </w:r>
    </w:p>
    <w:p w14:paraId="3C29F396" w14:textId="78595640" w:rsidR="003941D0" w:rsidRDefault="00CB1D41" w:rsidP="00CB1D41">
      <w:pPr>
        <w:jc w:val="both"/>
        <w:rPr>
          <w:rFonts w:cstheme="minorHAnsi"/>
          <w:sz w:val="24"/>
          <w:szCs w:val="24"/>
        </w:rPr>
      </w:pPr>
      <w:r w:rsidRPr="00CB1D41">
        <w:rPr>
          <w:rFonts w:cstheme="minorHAnsi"/>
          <w:sz w:val="24"/>
          <w:szCs w:val="24"/>
        </w:rPr>
        <w:t xml:space="preserve">Age and gender are associated with post-discharge QOL among trauma patients. Elderly populations and women tend to have limited access to resources, reduced social capital, disparities in support, poor health-seeking </w:t>
      </w:r>
      <w:r w:rsidR="00B55B5B" w:rsidRPr="00CB1D41">
        <w:rPr>
          <w:rFonts w:cstheme="minorHAnsi"/>
          <w:sz w:val="24"/>
          <w:szCs w:val="24"/>
        </w:rPr>
        <w:t>behavior</w:t>
      </w:r>
      <w:r w:rsidRPr="00CB1D41">
        <w:rPr>
          <w:rFonts w:cstheme="minorHAnsi"/>
          <w:sz w:val="24"/>
          <w:szCs w:val="24"/>
        </w:rPr>
        <w:t>, and restricted education and employment opportunities</w:t>
      </w:r>
      <w:r w:rsidR="00A83616">
        <w:rPr>
          <w:rFonts w:cstheme="minorHAnsi"/>
          <w:sz w:val="24"/>
          <w:szCs w:val="24"/>
        </w:rPr>
        <w:fldChar w:fldCharType="begin" w:fldLock="1"/>
      </w:r>
      <w:r w:rsidR="005866DC">
        <w:rPr>
          <w:rFonts w:cstheme="minorHAnsi"/>
          <w:sz w:val="24"/>
          <w:szCs w:val="24"/>
        </w:rPr>
        <w:instrText>ADDIN CSL_CITATION {"citationItems":[{"id":"ITEM-1","itemData":{"DOI":"10.1093/geronb/gby094","ISSN":"10795014","PMID":"30124930","abstract":"Individual households remain important for elderly care and support in resource-limited settings. Factors such as availability of young people and ownership of assets are important for care and support for the elderly. This article examines changing trends in accessing care and support for the elderly in a context of socioeconomic changes such as increasing school attendance and outmigration of youth from rural areas. Method: Rich data from the life stories of individuals from 22 households in rural Uganda collected in 2009-2010 were analyzed. Results: The elderly were lacking care and support, as the youth experienced increasing schooling and outmigration. The loss of young adults from HIV infection deprived the elderly of care and support, and increased their responsibilities of caring for the sick and the orphans. Mitigating factors included remittances and asset ownership. The availability of free health care encouraged people to stay in households to utilize these resources while also caring for the elderly members. Discussion: With the current socioeconomic transformations, the rules and resources used in the traditional care system no longer serve as a \"safety network\" for the elderly. Adaptation efforts from individual households cannot deal with the multiple concurrent changes. Programs to increase education should consider investing in additional social programs, especially for those who are negatively impacted by increased access to education.","author":[{"dropping-particle":"","family":"Amurwon","given":"Jovita","non-dropping-particle":"","parse-names":false,"suffix":""},{"dropping-particle":"","family":"Carr","given":"Deborah","non-dropping-particle":"","parse-names":false,"suffix":""}],"container-title":"Journals of Gerontology - Series B Psychological Sciences and Social Sciences","id":"ITEM-1","issue":"8","issued":{"date-parts":[["2019"]]},"page":"1483-1491","title":"\"It's Like i Never Had a Child of My Own\": Care and Support for the Elderly in a Changing Socioeconomic Context in Rural Uganda","type":"article-journal","volume":"74"},"uris":["http://www.mendeley.com/documents/?uuid=caa779db-706b-45c6-8a2a-ecc687bafbaf"]},{"id":"ITEM-2","itemData":{"DOI":"10.1186/s12889-015-1824-0","ISBN":"1288901518","ISSN":"14712458","PMID":"26002342","abstract":"Background: Since mobility and social participation are key determinants of health and quality of life, it is important to identify factors associated with them. Although several investigations have been conducted on the neighborhood environment, mobility and social participation, there is no clear integration of the results. This study aimed to provide a comprehensive understanding regarding how the neighborhood environment is associated with mobility and social participation in older adults. Methods: A rigorous methodological scoping study framework was used to search nine databases from different fields with fifty-one keywords. Data were exhaustively analyzed, organized and synthesized according to the International Classification of Functioning, Disability and Health (ICF) by two research assistants following PRISMA guidelines, and results were validated with knowledge users. Results: The majority of the 50 selected articles report results of cross-sectional studies (29; 58 %), mainly conducted in the US (24; 48 %) or Canada (15; 30 %). Studies mostly focused on neighborhood environment associations with mobility (39; 78 %), social participation (19; 38 %), and occasionally both (11; 22 %). Neighborhood attributes considered were mainly 'Pro ducts and technology' (43; 86) and 'Services, systems and policies' (37; 74 %), but also 'Natural and human-made changes' (27; 54 %) and 'Support and relationships' (21; 42 %). Mobility and social participation were both positively associated with Proximity to resources and recreational facilities, Social support, Having a car or driver's license, Public transportation and Neighborhood security, and negatively associated with Poor user-friendliness of the walking environment and Neighborhood insecurity. Attributes of the neighborhood environment not covered by previous research on mobility and social participation mainly concerned 'Attitudes', and 'Services, systems and policies'. Conclusion: Results from this comprehensive synthesis of empirical studies on associations of the neighborhood environment with mobility and social participation will ultimately support best practices, decisions and the development of innovative inclusive public health interventions including clear guidelines for the creation of age-supportive environments. To foster mobility and social participation, these interventions must consider Proximity to resources and to recreational facilities, Social support, Transportation, Neighborhood se…","author":[{"dropping-particle":"","family":"Levasseur","given":"Mélanie","non-dropping-particle":"","parse-names":false,"suffix":""},{"dropping-particle":"","family":"Généreux","given":"Mélissa","non-dropping-particle":"","parse-names":false,"suffix":""},{"dropping-particle":"","family":"Bruneau","given":"Jean François","non-dropping-particle":"","parse-names":false,"suffix":""},{"dropping-particle":"","family":"Vanasse","given":"Alain","non-dropping-particle":"","parse-names":false,"suffix":""},{"dropping-particle":"","family":"Chabot","given":"Éric","non-dropping-particle":"","parse-names":false,"suffix":""},{"dropping-particle":"","family":"Beaulac","given":"Claude","non-dropping-particle":"","parse-names":false,"suffix":""},{"dropping-particle":"","family":"Bédard","given":"Marie Michèle","non-dropping-particle":"","parse-names":false,"suffix":""}],"container-title":"BMC Public Health","id":"ITEM-2","issue":"1","issued":{"date-parts":[["2015"]]},"page":"1-19","publisher":"BMC Public Health","title":"Importance of proximity to resources, social support, transportation and neighborhood security for mobility and social participation in older adults: Results from a scoping study","type":"article-journal","volume":"15"},"uris":["http://www.mendeley.com/documents/?uuid=d6a47ab4-bd13-4b9b-bd92-6b35507f0b41"]},{"id":"ITEM-3","itemData":{"DOI":"10.1016/j.puhe.2016.08.005","ISSN":"0033-3506","author":[{"dropping-particle":"","family":"Brinda","given":"E M","non-dropping-particle":"","parse-names":false,"suffix":""},{"dropping-particle":"","family":"Attermann","given":"J","non-dropping-particle":"","parse-names":false,"suffix":""},{"dropping-particle":"","family":"Gerdtham","given":"U G","non-dropping-particle":"","parse-names":false,"suffix":""},{"dropping-particle":"","family":"Enemark","given":"U","non-dropping-particle":"","parse-names":false,"suffix":""}],"container-title":"Public Health","id":"ITEM-3","issued":{"date-parts":[["2016"]]},"page":"32-41","publisher":"Elsevier Ltd","title":"Socio-economic inequalities in health and health service use among older adults in India : results from the WHO Study on Global AGEing and adult health survey","type":"article-journal","volume":"141"},"uris":["http://www.mendeley.com/documents/?uuid=b61e3f76-ef4d-4304-beec-2aef558ecfa6"]},{"id":"ITEM-4","itemData":{"author":[{"dropping-particle":"","family":"Gupta","given":"Geeta Rao","non-dropping-particle":"","parse-names":false,"suffix":""},{"dropping-particle":"","family":"Oomman","given":"Nandini","non-dropping-particle":"","parse-names":false,"suffix":""},{"dropping-particle":"","family":"Grown","given":"Caren","non-dropping-particle":"","parse-names":false,"suffix":""},{"dropping-particle":"","family":"Conn","given":"Kathryn","non-dropping-particle":"","parse-names":false,"suffix":""},{"dropping-particle":"","family":"Hawkes","given":"Sarah","non-dropping-particle":"","parse-names":false,"suffix":""},{"dropping-particle":"","family":"Shawar","given":"Yusra Ribhi","non-dropping-particle":"","parse-names":false,"suffix":""},{"dropping-particle":"","family":"Shiffman","given":"Jeremy","non-dropping-particle":"","parse-names":false,"suffix":""},{"dropping-particle":"","family":"Buse","given":"Kent","non-dropping-particle":"","parse-names":false,"suffix":""},{"dropping-particle":"","family":"Mehra","given":"Rekha","non-dropping-particle":"","parse-names":false,"suffix":""},{"dropping-particle":"","family":"Bah","given":"Chernor A","non-dropping-particle":"","parse-names":false,"suffix":""},{"dropping-particle":"","family":"Heise","given":"Lori","non-dropping-particle":"","parse-names":false,"suffix":""},{"dropping-particle":"","family":"Greene","given":"Margaret E","non-dropping-particle":"","parse-names":false,"suffix":""},{"dropping-particle":"","family":"Weber","given":"Ann M","non-dropping-particle":"","parse-names":false,"suffix":""},{"dropping-particle":"","family":"Heymann","given":"Jody","non-dropping-particle":"","parse-names":false,"suffix":""},{"dropping-particle":"","family":"Hay","given":"Katherine","non-dropping-particle":"","parse-names":false,"suffix":""},{"dropping-particle":"","family":"Raj","given":"Anita","non-dropping-particle":"","parse-names":false,"suffix":""},{"dropping-particle":"","family":"Henry","given":"Sarah","non-dropping-particle":"","parse-names":false,"suffix":""},{"dropping-particle":"","family":"Klugman","given":"Jeni","non-dropping-particle":"","parse-names":false,"suffix":""}],"container-title":"Lancet","id":"ITEM-4","issued":{"date-parts":[["2019"]]},"title":"Gender Equality , Norms , and Health 5 Gender equality and gender norms : framing the opportunities for health","type":"article-journal","volume":"393"},"uris":["http://www.mendeley.com/documents/?uuid=bf779e7b-9b00-4d5a-a966-0e41e48444d3"]},{"id":"ITEM-5","itemData":{"DOI":"10.1016/S2214-109X(20)30354-5","ISSN":"2214-109X","author":[{"dropping-particle":"","family":"Kennedy","given":"Elissa","non-dropping-particle":"","parse-names":false,"suffix":""},{"dropping-particle":"","family":"Binder","given":"Gerda","non-dropping-particle":"","parse-names":false,"suffix":""},{"dropping-particle":"","family":"Humphries-waa","given":"Karen","non-dropping-particle":"","parse-names":false,"suffix":""},{"dropping-particle":"","family":"Tidhar","given":"Tom","non-dropping-particle":"","parse-names":false,"suffix":""},{"dropping-particle":"","family":"Cini","given":"Karly","non-dropping-particle":"","parse-names":false,"suffix":""},{"dropping-particle":"","family":"Comrie-thomson","given":"Liz","non-dropping-particle":"","parse-names":false,"suffix":""},{"dropping-particle":"","family":"Vaughan","given":"Cathy","non-dropping-particle":"","parse-names":false,"suffix":""},{"dropping-particle":"","family":"Francis","given":"Kate","non-dropping-particle":"","parse-names":false,"suffix":""},{"dropping-particle":"","family":"Scott","given":"Nick","non-dropping-particle":"","parse-names":false,"suffix":""},{"dropping-particle":"","family":"Wulan","given":"Nisaa","non-dropping-particle":"","parse-names":false,"suffix":""},{"dropping-particle":"","family":"Patton","given":"George","non-dropping-particle":"","parse-names":false,"suffix":""},{"dropping-particle":"","family":"Azzopardi","given":"Peter","non-dropping-particle":"","parse-names":false,"suffix":""}],"container-title":"The Lancet Global Health","id":"ITEM-5","issue":"12","issued":{"date-parts":[["2020"]]},"page":"1473-e488","publisher":"The Author(s). Published by Elsevier Ltd. This is an Open Access article under the CC BY 4.0 license","title":"Articles Gender inequalities in health and wellbeing across the first two decades of life : an analysis of 40 low-income and middle-income countries in the Asia-Pacific region","type":"article-journal","volume":"8"},"uris":["http://www.mendeley.com/documents/?uuid=98de027f-014a-4adc-b6bc-6926a4dbc967"]}],"mendeley":{"formattedCitation":"(10–14)","plainTextFormattedCitation":"(10–14)","previouslyFormattedCitation":"(10–14)"},"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(10–14)</w:t>
      </w:r>
      <w:r w:rsidR="00A83616">
        <w:rPr>
          <w:rFonts w:cstheme="minorHAnsi"/>
          <w:sz w:val="24"/>
          <w:szCs w:val="24"/>
        </w:rPr>
        <w:fldChar w:fldCharType="end"/>
      </w:r>
      <w:r w:rsidRPr="00CB1D41">
        <w:rPr>
          <w:rFonts w:cstheme="minorHAnsi"/>
          <w:sz w:val="24"/>
          <w:szCs w:val="24"/>
        </w:rPr>
        <w:t>. This can shape their post-discharge well-being and outcomes after trauma</w:t>
      </w:r>
      <w:r w:rsidR="005866DC">
        <w:rPr>
          <w:rFonts w:cstheme="minorHAnsi"/>
          <w:sz w:val="24"/>
          <w:szCs w:val="24"/>
        </w:rPr>
        <w:t xml:space="preserve">  </w:t>
      </w:r>
      <w:r w:rsidR="005866DC">
        <w:rPr>
          <w:rFonts w:cstheme="minorHAnsi"/>
          <w:sz w:val="24"/>
          <w:szCs w:val="24"/>
        </w:rPr>
        <w:fldChar w:fldCharType="begin" w:fldLock="1"/>
      </w:r>
      <w:r w:rsidR="001A66DB">
        <w:rPr>
          <w:rFonts w:cstheme="minorHAnsi"/>
          <w:sz w:val="24"/>
          <w:szCs w:val="24"/>
        </w:rPr>
        <w:instrText>ADDIN CSL_CITATION {"citationItems":[{"id":"ITEM-1","itemData":{"DOI":"10.1016/j.burns.2017.06.014","abstract":"Background: Social support is among the most well‐established predictors of post‐burn psychopathology after burn. Despite a disproportionately large burden of burns in the developing world, the nature of social support among burn patients in this context remains elusive. We, therefore, seek to investigate social support and its biopsychosocial determinants among patients with burn injuries in Pakistan. Methods: A cross‐sectional study of 343 patients presenting with burn injuries at four teaching hospitals in the Punjab province of Pakistan was conducted. Patient evaluation consisted of a multi‐part survey of demographic status, clinical features, and social support as measured by the validated Urdu translation of the Multidimensional Scale of Perceived Social Support (MSPSS). Multiple regression analysis was performed to evaluate associations between patient characteristics and MSPSS score. Results: Mean overall MSPSS score was 57.64 (std dev 13.57). Notable positive predictors of social support include male gender, Punjabi ethnicity, burn surface area, and ego resiliency. Conclusion: Our study reveals a troubling pattern of inadequate social support among certain subgroups of Pakistani burn patients. Addressing these inequities in the provision of social support must be prioritized as part of the global burn care agenda. Copyright © 2017 Elsevier Ltd and ISBI.","author":[{"dropping-particle":"","family":"Waqas","given":"A","non-dropping-particle":"","parse-names":false,"suffix":""},{"dropping-particle":"","family":"Turk","given":"M","non-dropping-particle":"","parse-names":false,"suffix":""},{"dropping-particle":"","family":"Naveed","given":"S","non-dropping-particle":"","parse-names":false,"suffix":""},{"dropping-particle":"","family":"Amin","given":"A","non-dropping-particle":"","parse-names":false,"suffix":""},{"dropping-particle":"","family":"Kiwanuka","given":"H","non-dropping-particle":"","parse-names":false,"suffix":""},{"dropping-particle":"","family":"Shafique","given":"N","non-dropping-particle":"","parse-names":false,"suffix":""},{"dropping-particle":"","family":"Chaudhry","given":"M A","non-dropping-particle":"","parse-names":false,"suffix":""}],"container-title":"Burns","id":"ITEM-1","issued":{"date-parts":[["2017"]]},"title":"Perceived social support among patients with burn injuries: a perspective from the developing world","type":"article-journal","volume":"(no pagina"},"uris":["http://www.mendeley.com/documents/?uuid=6f303c44-2fe4-4966-ad05-d6d548bc14af"]},{"id":"ITEM-2","itemData":{"DOI":"10.1016/j.shaw.2017.11.001","ISSN":"20937997","abstract":"Background: The success of an injury intervention program can be measured by the proportion of successful return to work (RTW). This study examined factors of successful return to employment among workers suffering from work-related injuries. Methods: Data were obtained from the Social Security Organization, Malaysia database consisting of 10,049 RTW program participants in 2010–2014. The dependent variable was the RTW outcome which consisted of RTW with same employer, RTW with new employer or unsuccessful return. Multinomial logistic regression was performed to test the likelihood of successful return with same employer and new employer against unsuccessful return. Results: Overall, 65.3% of injured workers were successfully returned to employment, 52.8% to the same employer and 12.5% to new employer. Employer interest; motivation; age 30–49 years; intervention less than 9 months; occupational disease; injuries in the lower limbs, upper limbs, and general injuries; and working in the manufacturing, services, and electrical/electronics were associated with returning to work with the same employer against unsuccessful return. Male, employer interest, motivation, age 49 years or younger, intervention less than 6 months, occupational disease, injuries in the upper limbs and services sector of employment were associated with returning to new employer against unsuccessful return. Conclusion: There is a need to strengthen employer commitment for early and intensified intervention that will lead to improvement in the RTW outcome.","author":[{"dropping-particle":"","family":"Awang","given":"Halimah","non-dropping-particle":"","parse-names":false,"suffix":""},{"dropping-particle":"","family":"Mansor","given":"Norma","non-dropping-particle":"","parse-names":false,"suffix":""}],"container-title":"Safety and Health at Work","id":"ITEM-2","issue":"3","issued":{"date-parts":[["2018"]]},"page":"347-351","publisher":"Elsevier Ltd","title":"Predicting Employment Status of Injured Workers Following a Case Management Intervention","type":"article-journal","volume":"9"},"uris":["http://www.mendeley.com/documents/?uuid=fd09328e-ba0f-4955-a2f6-4cdfc2eba68c"]},{"id":"ITEM-3","itemData":{"DOI":"https://dx.doi.org/10.1080/09638288.2019.1626494","ISBN":"1464-5165","PMID":"31211925","abstract":"&lt;b&gt;Purpose:&lt;/b&gt; On April 24, 2013 a building called \"Rana Plaza\" that housed several garment factories collapsed in Bangladesh. Around 1134 people died and more than 2500 sustained serious injuries. This study evaluates the change in income and occupation of the Rana Plaza survivors as well as their level of community participation and quality of life two years after the incident. It also aimed to gain insight into these survivors' success or failure in economic reintegration. &lt;b&gt;Methods:&lt;/b&gt; A cross-sectional survey collected data from the injured garment workers using convenience sampling method. The Short Form 36 Items Questionnaire measured their quality of life, and the Participation Scale measured their community participation restriction level. Poor economic reintegration was defined when a survivor was not working or had an income less than 3000 Taka [US$36]/month. &lt;b&gt;Results:&lt;/b&gt; Data were collected from 338 Rana Plaza survivors all of who were previously garment workers. Their income decreased substantially after the disaster. The majority were now engaged in earning livelihood from retail shop management and animal husbandry. A total of 124 survivors (36.6%) were found to be poorly economically reintegrated; females were found to be at greater odds (twice) of poor economic reintegration than males. Those with severe participation restriction scores had four times greater odds and who reported moderate restriction had two times greater odds of poor economic reintegration compared to those with no restriction. &lt;b&gt;Conclusions:&lt;/b&gt; Survivors of Rana Plaza factory disaster were facing many health and economic challenges two years after the event. Implications for rehabilitation Rehabilitation service providers should document and describe the health status correctly to understand the burden and monitor the effectiveness of their intervention. Government needs to develop and strengthen rehabilitation capacity as more workers will be injured as the country rapidly industrializes. Factory owners should create light duty work opportunities and provide other workplace modification for injured workers to re-enter the workforce.","author":[{"dropping-particle":"","family":"Quadir","given":"M M","non-dropping-particle":"","parse-names":false,"suffix":""},{"dropping-particle":"","family":"Lee","given":"Y J","non-dropping-particle":"","parse-names":false,"suffix":""},{"dropping-particle":"","family":"Hoque","given":"R","non-dropping-particle":"","parse-names":false,"suffix":""},{"dropping-particle":"","family":"Karim","given":"M M","non-dropping-particle":"","parse-names":false,"suffix":""},{"dropping-particle":"","family":"Alamgir","given":"H","non-dropping-particle":"","parse-names":false,"suffix":""}],"container-title":"Disability &amp; Rehabilitation","id":"ITEM-3","issued":{"date-parts":[["2019"]]},"language":"English","note":"Quadir, Mohammad Morshedul\nLee, Yoon Ju\nHoque, Roksana\nKarim, Mohammad Monjurul\nAlamgir, Hasanat","page":"1-7","title":"How are the surviving workers of the Rana Plaza factory collapse in Bangladesh doing: quality of life, participation restriction, income and occupation","type":"article-journal"},"uris":["http://www.mendeley.com/documents/?uuid=58f9e27d-1dcb-4104-a079-c3252b2914f5"]},{"id":"ITEM-4","itemData":{"DOI":"10.1177/1049732319900163","ISSN":"15527557","PMID":"31971079","abstract":"Despite recognizing that women have worse outcomes after traumatic brain injury (TBI), little is known about how gender influences their experiences of this critical injury. Past research has been dominated by androcentrism and quantitative approaches, leaving the lived experience of women with TBI insufficiently examined. To gain insight into their experiences, this qualitative study interviewed 19 Canadian women with mild and moderate-to-severe TBIs. Applying a thematic analysis, we discerned three themes: Gender prevails considers choosing to do gender over complying with physician advice; Consequences of TBI impeding performativity explores how women frame themselves as terrible people for being unable to do gender post-TBI; and Perceptions of receiving care looks at gendered caregiving expectations. These results broadly align with research on how doing gender influences recovery and health outcomes. We discuss the implications of our findings for knowledge translation, future research on women’s TBI recovery, and clinical practice.","author":[{"dropping-particle":"","family":"Fabricius","given":"Alexis M.","non-dropping-particle":"","parse-names":false,"suffix":""},{"dropping-particle":"","family":"D’Souza","given":"Andrea","non-dropping-particle":"","parse-names":false,"suffix":""},{"dropping-particle":"","family":"Amodio","given":"Vanessa","non-dropping-particle":"","parse-names":false,"suffix":""},{"dropping-particle":"","family":"Colantonio","given":"Angela","non-dropping-particle":"","parse-names":false,"suffix":""},{"dropping-particle":"","family":"Mollayeva","given":"Tatyana","non-dropping-particle":"","parse-names":false,"suffix":""}],"container-title":"Qualitative Health Research","id":"ITEM-4","issue":"7","issued":{"date-parts":[["2020"]]},"page":"1033-1044","title":"Women’s Gendered Experiences of Traumatic Brain Injury","type":"article-journal","volume":"30"},"uris":["http://www.mendeley.com/documents/?uuid=8aa8f3ad-e840-4018-b4a3-ca739dbdd648"]}],"mendeley":{"formattedCitation":"(15–18)","plainTextFormattedCitation":"(15–18)","previouslyFormattedCitation":"(15–18)"},"properties":{"noteIndex":0},"schema":"https://github.com/citation-style-language/schema/raw/master/csl-citation.json"}</w:instrText>
      </w:r>
      <w:r w:rsidR="005866DC">
        <w:rPr>
          <w:rFonts w:cstheme="minorHAnsi"/>
          <w:sz w:val="24"/>
          <w:szCs w:val="24"/>
        </w:rPr>
        <w:fldChar w:fldCharType="separate"/>
      </w:r>
      <w:r w:rsidR="005866DC" w:rsidRPr="005866DC">
        <w:rPr>
          <w:rFonts w:cstheme="minorHAnsi"/>
          <w:noProof/>
          <w:sz w:val="24"/>
          <w:szCs w:val="24"/>
        </w:rPr>
        <w:t>(15–18)</w:t>
      </w:r>
      <w:r w:rsidR="005866DC">
        <w:rPr>
          <w:rFonts w:cstheme="minorHAnsi"/>
          <w:sz w:val="24"/>
          <w:szCs w:val="24"/>
        </w:rPr>
        <w:fldChar w:fldCharType="end"/>
      </w:r>
      <w:r w:rsidR="005866DC">
        <w:rPr>
          <w:rFonts w:cstheme="minorHAnsi"/>
          <w:sz w:val="24"/>
          <w:szCs w:val="24"/>
        </w:rPr>
        <w:t>.</w:t>
      </w:r>
      <w:r w:rsidR="00771898">
        <w:rPr>
          <w:rFonts w:cstheme="minorHAnsi"/>
          <w:sz w:val="24"/>
          <w:szCs w:val="24"/>
        </w:rPr>
        <w:t xml:space="preserve"> </w:t>
      </w:r>
      <w:r w:rsidRPr="00CB1D41">
        <w:rPr>
          <w:rFonts w:cstheme="minorHAnsi"/>
          <w:sz w:val="24"/>
          <w:szCs w:val="24"/>
        </w:rPr>
        <w:t>Consequently, older age and being a women can make trauma patients more vulnerable to poorer post-discharge QOL</w:t>
      </w:r>
      <w:r w:rsidR="001A66DB">
        <w:rPr>
          <w:rFonts w:cstheme="minorHAnsi"/>
          <w:sz w:val="24"/>
          <w:szCs w:val="24"/>
        </w:rPr>
        <w:t xml:space="preserve"> </w:t>
      </w:r>
      <w:r w:rsidR="001A66DB">
        <w:rPr>
          <w:rFonts w:cstheme="minorHAnsi"/>
          <w:sz w:val="24"/>
          <w:szCs w:val="24"/>
        </w:rPr>
        <w:fldChar w:fldCharType="begin" w:fldLock="1"/>
      </w:r>
      <w:r w:rsidR="001A66DB">
        <w:rPr>
          <w:rFonts w:cstheme="minorHAnsi"/>
          <w:sz w:val="24"/>
          <w:szCs w:val="24"/>
        </w:rPr>
        <w:instrText>ADDIN CSL_CITATION {"citationItems":[{"id":"ITEM-1","itemData":{"DOI":"https://dx.doi.org/10.1080/15389588.2016.1244335","ISBN":"1538-957X","PMID":"27736156","abstract":"OBJECTIVES: A better understanding of the long-term factors that independently predict poorer quality of life following mild to moderate musculoskeletal injuries is needed. We aimed to establish the predictors of quality of life (including sociodemographic, health, psychosocial, and pre-injury factors) 24 months after a noncatastrophic road traffic injury. METHODS: In a prospective cohort study of 252 participants with mild/moderate injury sustained in a road traffic crash, quality of life was measured 24 months following the baseline survey. A telephone-administered questionnaire obtained information on various potential explanatory variables. Health-related quality of life was measured using the European Quality of Life-5 Dimensions (EQ-5D) and Medical Outcomes Survey Short Form-12 (SF-12). Multivariable linear regression analyses determined the associations between explanatory variables and quality of life measures. RESULTS: Mean SF-12 physical component summary (PCS) and mental component summary (MCS) scores increased by 7.3 and 2.5 units, respectively, from baseline to 24-month follow-up. Each 10-year increase in baseline age was independently associated with 3.1-unit (P &lt; .001) and 1.5-unit (P = .001) decrease in EQ Visual Analogue Scale (VAS) and SF-12 PCS scores at follow-up, respectively. Poor/fair compared to excellent pre-injury health was associated with a 0.16-, 21.3-, and 11.5-unit decrease in EQ-5D summary (P = .03), VAS scores (P = .001), and SF-12 PCS scores (P &lt; .001), respectively. Baseline pain severity ratings and pain catastrophizing scores were inversely associated with 24-month EQ VAS scores (both P &lt; .001). Each unit increase in baseline pain score (P = .001) and pain catastrophizing score (P = .02) was associated with a 1.0- and 4.6-unit decrease in SF-12 MCS scores at 24 months, respectively. Other observed predictors of quality of life measures (EQ-5D summary and/or VAS scores and/ or SF-12 MCS) included marital status, smoking, hospital admission, pre-injury health (anxiety/depression and chronic illness), and whiplash injury. CONCLUSION: Sociodemographic indicators, pre-injury health, and biopsychosocial correlates were independently associated with health-related quality of life 24 months following a noncatastrophic road traffic crash injury.","author":[{"dropping-particle":"","family":"Gopinath","given":"B","non-dropping-particle":"","parse-names":false,"suffix":""},{"dropping-particle":"","family":"Jagnoor","given":"J","non-dropping-particle":"","parse-names":false,"suffix":""},{"dropping-particle":"","family":"Harris","given":"I A","non-dropping-particle":"","parse-names":false,"suffix":""},{"dropping-particle":"","family":"Nicholas","given":"M","non-dropping-particle":"","parse-names":false,"suffix":""},{"dropping-particle":"","family":"Casey","given":"P","non-dropping-particle":"","parse-names":false,"suffix":""},{"dropping-particle":"","family":"Blyth","given":"F","non-dropping-particle":"","parse-names":false,"suffix":""},{"dropping-particle":"","family":"Maher","given":"C G","non-dropping-particle":"","parse-names":false,"suffix":""},{"dropping-particle":"","family":"Cameron","given":"I D","non-dropping-particle":"","parse-names":false,"suffix":""}],"container-title":"Traffic Injury Prevention","id":"ITEM-1","issue":"3","issued":{"date-parts":[["2017"]]},"note":"Gopinath, Bamini Jagnoor, Jagnoor Harris, Ian A Nicholas, Michael Casey, Petrina Blyth, Fiona Maher, Christopher G Cameron, Ian D","page":"251-256","title":"Health-related quality of life 24 months after sustaining a minor musculoskeletal injury in a road traffic crash: A prospective cohort study","type":"article-journal","volume":"18"},"uris":["http://www.mendeley.com/documents/?uuid=c3c46bf1-48cf-4fab-aa66-c8c4e53c042d"]},{"id":"ITEM-2","itemData":{"DOI":"https://dx.doi.org/10.1136/injuryprev-2016-042192","ISBN":"1475-5785","PMID":"28073948","abstract":"AIM AND BACKGROUND: There is growing evidence around the impact of injury and recovery trajectories but little focuses on older people, despite rising burden. The aim of this review was to describe the evidence for postinjury functioning and health-related quality of life (HRQoL) in older people. METHOD: A systematic search of three databases and an extensive search of the grey literature was carried out on prospective injury outcome studies in older people (age &gt;=65 years) that used a generic health status outcome measure. The search results were reported using PRISMA reporting guidelines, and risk of bias was assessed using a modification of the Quality in Prognosis Studies tool. RESULTS: There was limited evidence on functioning and HRQoL postinjury in older people. There were 367 studies identified, with 13 eligible for inclusion. Most focused on hip fracture or traumatic brain injury. Older people appeared to have poorer postinjury functioning and HRQoL compared with younger adults or preinjury levels. Poor preinjury function, pre-existing conditions and increasing age were associated with poorer outcomes, whereas preinjury-independent living was associated with better outcomes. DISCUSSION: The studies were heterogeneous, limiting synthesis. There was a lack of evidence around the impact of injury on older people in terms of paid work and unpaid work. It was unclear if existing injury outcome guidelines are appropriate for older people. CONCLUSIONS: Further research is required on older people's postinjury course, outcomes and determinants. This will require standardised methodologies and qualitative studies. The findings will inform clinical care, policy development, health and compensation systems.","author":[{"dropping-particle":"","family":"Brown","given":"K","non-dropping-particle":"","parse-names":false,"suffix":""},{"dropping-particle":"","family":"Cameron","given":"I D","non-dropping-particle":"","parse-names":false,"suffix":""},{"dropping-particle":"","family":"Keay","given":"L","non-dropping-particle":"","parse-names":false,"suffix":""},{"dropping-particle":"","family":"Coxon","given":"K","non-dropping-particle":"","parse-names":false,"suffix":""},{"dropping-particle":"","family":"Ivers","given":"R","non-dropping-particle":"","parse-names":false,"suffix":""}],"container-title":"Injury Prevention","id":"ITEM-2","issue":"6","issued":{"date-parts":[["2017"]]},"note":"Brown, Katherine Cameron, Ian D Keay, Lisa Coxon, Kristy Ivers, Rebecca","page":"403-411","title":"Functioning and health-related quality of life following injury in older people: a systematic review","type":"article-journal","volume":"23"},"uris":["http://www.mendeley.com/documents/?uuid=c6df3d03-c229-4547-bd6a-f1c11ac1337c"]},{"id":"ITEM-3","itemData":{"DOI":"10.1038/s41582-018-0091-y","ISSN":"17594766","PMID":"30397256","abstract":"Over the past decade, traumatic brain injury (TBI) has emerged as a major public health concern, attracting considerable interest from the scientific community, clinical and behavioural services and policymakers, owing to its rising prevalence, wide-ranging risk factors and substantial lifelong familial and societal impact. This increased attention to TBI has resulted in increased funding and advances in legislation. However, many questions surrounding TBI remain unanswered, including questions on sex and gender trends with respect to vulnerability to injury, presentation of injury, response to treatment, and outcomes. Here, we review recent research efforts aimed at advancing knowledge on the constructs of sex and gender and their respective influences in the context of TBI, and discuss methodological challenges in disentangling the differential impacts of these two constructs, particularly in marginalized populations.","author":[{"dropping-particle":"","family":"Mollayeva","given":"Tatyana","non-dropping-particle":"","parse-names":false,"suffix":""},{"dropping-particle":"","family":"Mollayeva","given":"Shirin","non-dropping-particle":"","parse-names":false,"suffix":""},{"dropping-particle":"","family":"Colantonio","given":"Angela","non-dropping-particle":"","parse-names":false,"suffix":""}],"container-title":"Nature Reviews Neurology","id":"ITEM-3","issue":"12","issued":{"date-parts":[["2018"]]},"page":"711-722","title":"Traumatic brain injury: sex, gender and intersecting vulnerabilities","type":"article","volume":"14"},"uris":["http://www.mendeley.com/documents/?uuid=1e3b81d1-06ff-4087-a29e-31e66df7579b"]},{"id":"ITEM-4","itemData":{"DOI":"https://dx.doi.org/10.1007/s11136-020-02427-3","ISBN":"1573-2649","PMID":"31960212","abstract":"PURPOSE: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Research","id":"ITEM-4","issued":{"date-parts":[["2020"]]},"language":"English","note":"Using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mendeley":{"formattedCitation":"(19–22)","plainTextFormattedCitation":"(19–22)","previouslyFormattedCitation":"(19–22)"},"properties":{"noteIndex":0},"schema":"https://github.com/citation-style-language/schema/raw/master/csl-citation.json"}</w:instrText>
      </w:r>
      <w:r w:rsidR="001A66DB">
        <w:rPr>
          <w:rFonts w:cstheme="minorHAnsi"/>
          <w:sz w:val="24"/>
          <w:szCs w:val="24"/>
        </w:rPr>
        <w:fldChar w:fldCharType="separate"/>
      </w:r>
      <w:r w:rsidR="001A66DB" w:rsidRPr="001A66DB">
        <w:rPr>
          <w:rFonts w:cstheme="minorHAnsi"/>
          <w:noProof/>
          <w:sz w:val="24"/>
          <w:szCs w:val="24"/>
        </w:rPr>
        <w:t>(19–22)</w:t>
      </w:r>
      <w:r w:rsidR="001A66DB">
        <w:rPr>
          <w:rFonts w:cstheme="minorHAnsi"/>
          <w:sz w:val="24"/>
          <w:szCs w:val="24"/>
        </w:rPr>
        <w:fldChar w:fldCharType="end"/>
      </w:r>
      <w:r w:rsidRPr="00CB1D41">
        <w:rPr>
          <w:rFonts w:cstheme="minorHAnsi"/>
          <w:sz w:val="24"/>
          <w:szCs w:val="24"/>
        </w:rPr>
        <w:t>. There is some evidence that older women may have higher morbidity in LMIC settings</w:t>
      </w:r>
      <w:r w:rsidR="00833354">
        <w:rPr>
          <w:rFonts w:cstheme="minorHAnsi"/>
          <w:sz w:val="24"/>
          <w:szCs w:val="24"/>
        </w:rPr>
        <w:t xml:space="preserve"> </w:t>
      </w:r>
      <w:r w:rsidR="00833354">
        <w:rPr>
          <w:rFonts w:cstheme="minorHAnsi"/>
          <w:sz w:val="24"/>
          <w:szCs w:val="24"/>
        </w:rPr>
        <w:fldChar w:fldCharType="begin" w:fldLock="1"/>
      </w:r>
      <w:r w:rsidR="0054502A">
        <w:rPr>
          <w:rFonts w:cstheme="minorHAnsi"/>
          <w:sz w:val="24"/>
          <w:szCs w:val="24"/>
        </w:rPr>
        <w:instrText>ADDIN CSL_CITATION {"citationItems":[{"id":"ITEM-1","itemData":{"DOI":"10.3389/fmed.2019.00218","author":[{"dropping-particle":"","family":"Carmel","given":"Sara","non-dropping-particle":"","parse-names":false,"suffix":""}],"container-title":"Frontiers in Medicine","id":"ITEM-1","issue":"October","issued":{"date-parts":[["2019"]]},"page":"3-6","title":"Health and Well-Being in Late Life : Gender Differences Worldwide","type":"article-journal","volume":"6"},"uris":["http://www.mendeley.com/documents/?uuid=911f2e6b-bd22-42e1-8c67-4a3cd64e9a49"]},{"id":"ITEM-2","itemData":{"DOI":"10.1371/journal.pone.0094295","ISSN":"19326203","PMID":"24718291","abstract":"In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ONE","id":"ITEM-2","issue":"4","issued":{"date-parts":[["2014"]]},"page":"1-8","title":"Morbidity patterns and health care seeking behavior among older widows in India","type":"article-journal","volume":"9"},"uris":["http://www.mendeley.com/documents/?uuid=85faaa37-7fae-4dd8-af99-797f2907011b"]}],"mendeley":{"formattedCitation":"(23,24)","plainTextFormattedCitation":"(23,24)","previouslyFormattedCitation":"(23,24)"},"properties":{"noteIndex":0},"schema":"https://github.com/citation-style-language/schema/raw/master/csl-citation.json"}</w:instrText>
      </w:r>
      <w:r w:rsidR="00833354">
        <w:rPr>
          <w:rFonts w:cstheme="minorHAnsi"/>
          <w:sz w:val="24"/>
          <w:szCs w:val="24"/>
        </w:rPr>
        <w:fldChar w:fldCharType="separate"/>
      </w:r>
      <w:r w:rsidR="00833354" w:rsidRPr="00833354">
        <w:rPr>
          <w:rFonts w:cstheme="minorHAnsi"/>
          <w:noProof/>
          <w:sz w:val="24"/>
          <w:szCs w:val="24"/>
        </w:rPr>
        <w:t>(23,24)</w:t>
      </w:r>
      <w:r w:rsidR="00833354">
        <w:rPr>
          <w:rFonts w:cstheme="minorHAnsi"/>
          <w:sz w:val="24"/>
          <w:szCs w:val="24"/>
        </w:rPr>
        <w:fldChar w:fldCharType="end"/>
      </w:r>
      <w:r w:rsidR="003941D0">
        <w:rPr>
          <w:rFonts w:cstheme="minorHAnsi"/>
          <w:sz w:val="24"/>
          <w:szCs w:val="24"/>
        </w:rPr>
        <w:t xml:space="preserve">. </w:t>
      </w:r>
      <w:r w:rsidR="00771898">
        <w:rPr>
          <w:rFonts w:cstheme="minorHAnsi"/>
          <w:sz w:val="24"/>
          <w:szCs w:val="24"/>
        </w:rPr>
        <w:t xml:space="preserve">Additionally, age and gender shape health outcomes, working not as an additive but a multiplicative interaction across different age groups and sex </w:t>
      </w:r>
      <w:r w:rsidR="00771898">
        <w:rPr>
          <w:rFonts w:cstheme="minorHAnsi"/>
          <w:sz w:val="24"/>
          <w:szCs w:val="24"/>
        </w:rPr>
        <w:fldChar w:fldCharType="begin" w:fldLock="1"/>
      </w:r>
      <w:r w:rsidR="00771898">
        <w:rPr>
          <w:rFonts w:cstheme="minorHAnsi"/>
          <w:sz w:val="24"/>
          <w:szCs w:val="24"/>
        </w:rPr>
        <w:instrText>ADDIN CSL_CITATION {"citationItems":[{"id":"ITEM-1","itemData":{"DOI":"10.1016/j.socscimed.2014.03.022","ISSN":"18735347","PMID":"24704889","abstract":"Intersectionality theory, developed to address the non-additivity of effects of sex/gender and race/ethnicity but extendable to other domains, allows for the potential to study health and disease at different intersections of identity, social position, processes of oppression or privilege, and policies or institutional practices. Intersectionality has the potential to enrich population health research through improved validity and greater attention to both heterogeneity of effects and causal processes producing health inequalities. Moreover, intersectional population health research may serve to both test and generate new theories. Nevertheless, its implementation within health research to date has been primarily through qualitative research. In this paper, challenges to incorporation of intersectionality into population health research are identified or expanded upon. These include: 1) confusion of quantitative terms used metaphorically in theoretical work with similar-sounding statistical methods; 2) the question of whether all intersectional positions are of equal value, or even of sufficient value for study; 3) distinguishing between intersecting identities, social positions, processes, and policies or other structural factors; 4) reflecting embodiment in how processes of oppression and privilege are measured and analysed; 5) understanding and utilizing appropriate scale for interactions in regression models; 6) structuring interaction or risk modification to best convey effects, and 7) avoiding assumptions of equidistance or single level in the design of analyses. Addressing these challenges throughout the processes of conceptualizing and planning research and in conducting analyses has the potential to improve researchers' ability to more specifically document inequalities at varying intersectional positions, and to study the potential individual- and group-level causes that may drive these observed inequalities. A greater and more thoughtful incorporation of intersectionality can promote the creation of evidence that is directly useful in population-level interventions such as policy changes, or that is specific enough to be applicable within the social contexts of affected communities. © 2014 The Author.","author":[{"dropping-particle":"","family":"Bauer","given":"Greta R.","non-dropping-particle":"","parse-names":false,"suffix":""}],"container-title":"Social Science and Medicine","id":"ITEM-1","issued":{"date-parts":[["2014"]]},"page":"10-17","publisher":"Elsevier Ltd","title":"Incorporating intersectionality theory into population health research methodology: Challenges and the potential to advance health equity","type":"article-journal","volume":"110"},"uris":["http://www.mendeley.com/documents/?uuid=9a82c95b-06b7-4062-9ca7-1e290dbfca10"]},{"id":"ITEM-2","itemData":{"DOI":"10.1016/j.ssmph.2016.04.011","ISSN":"23528273","PMID":"28111630","abstract":"Historically,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Health","id":"ITEM-2","issued":{"date-parts":[["2016"]]},"page":"425-435","publisher":"Elsevier","title":"(En)gendering racial disparities in health trajectories: A life course and intersectional analysis","type":"article-journal","volume":"2"},"uris":["http://www.mendeley.com/documents/?uuid=5e01eb48-d429-43d7-a60d-eee5cb0d60d9"]}],"mendeley":{"formattedCitation":"(25,26)","plainTextFormattedCitation":"(25,26)","previouslyFormattedCitation":"(25,26)"},"properties":{"noteIndex":0},"schema":"https://github.com/citation-style-language/schema/raw/master/csl-citation.json"}</w:instrText>
      </w:r>
      <w:r w:rsidR="00771898">
        <w:rPr>
          <w:rFonts w:cstheme="minorHAnsi"/>
          <w:sz w:val="24"/>
          <w:szCs w:val="24"/>
        </w:rPr>
        <w:fldChar w:fldCharType="separate"/>
      </w:r>
      <w:r w:rsidR="00771898" w:rsidRPr="00771898">
        <w:rPr>
          <w:rFonts w:cstheme="minorHAnsi"/>
          <w:noProof/>
          <w:sz w:val="24"/>
          <w:szCs w:val="24"/>
        </w:rPr>
        <w:t>(25,26)</w:t>
      </w:r>
      <w:r w:rsidR="00771898">
        <w:rPr>
          <w:rFonts w:cstheme="minorHAnsi"/>
          <w:sz w:val="24"/>
          <w:szCs w:val="24"/>
        </w:rPr>
        <w:fldChar w:fldCharType="end"/>
      </w:r>
      <w:r w:rsidR="00771898">
        <w:rPr>
          <w:rFonts w:cstheme="minorHAnsi"/>
          <w:sz w:val="24"/>
          <w:szCs w:val="24"/>
        </w:rPr>
        <w:t xml:space="preserve">. </w:t>
      </w:r>
    </w:p>
    <w:p w14:paraId="0CF63AB3" w14:textId="6739534B" w:rsidR="00CB1D41" w:rsidRPr="00CB1D41" w:rsidRDefault="003941D0" w:rsidP="00CB1D41">
      <w:pPr>
        <w:jc w:val="both"/>
        <w:rPr>
          <w:rFonts w:cstheme="minorHAnsi"/>
          <w:sz w:val="24"/>
          <w:szCs w:val="24"/>
        </w:rPr>
      </w:pPr>
      <w:r>
        <w:rPr>
          <w:rFonts w:cstheme="minorHAnsi"/>
          <w:sz w:val="24"/>
          <w:szCs w:val="24"/>
        </w:rPr>
        <w:t>However, t</w:t>
      </w:r>
      <w:r w:rsidR="00CB1D41" w:rsidRPr="00CB1D41">
        <w:rPr>
          <w:rFonts w:cstheme="minorHAnsi"/>
          <w:sz w:val="24"/>
          <w:szCs w:val="24"/>
        </w:rPr>
        <w:t>here is little research on the interaction between age and gender on QOL among post-discharge trauma patients in this setting.</w:t>
      </w:r>
      <w:r>
        <w:rPr>
          <w:rFonts w:cstheme="minorHAnsi"/>
          <w:sz w:val="24"/>
          <w:szCs w:val="24"/>
        </w:rPr>
        <w:t xml:space="preserve"> </w:t>
      </w:r>
      <w:r w:rsidR="00CB1D41" w:rsidRPr="00CB1D41">
        <w:rPr>
          <w:rFonts w:cstheme="minorHAnsi"/>
          <w:sz w:val="24"/>
          <w:szCs w:val="24"/>
        </w:rPr>
        <w:t xml:space="preserve">Understanding the interaction between age and gender on QOL may provide insights for improving trauma management and developing support services in LMIC settings </w:t>
      </w:r>
      <w:r w:rsidR="001A66DB">
        <w:rPr>
          <w:rFonts w:cstheme="minorHAnsi"/>
          <w:sz w:val="24"/>
          <w:szCs w:val="24"/>
        </w:rPr>
        <w:fldChar w:fldCharType="begin" w:fldLock="1"/>
      </w:r>
      <w:r w:rsidR="00771898">
        <w:rPr>
          <w:rFonts w:cstheme="minorHAnsi"/>
          <w:sz w:val="24"/>
          <w:szCs w:val="24"/>
        </w:rPr>
        <w:instrText>ADDIN CSL_CITATION {"citationItems":[{"id":"ITEM-1","itemData":{"DOI":"10.1016/S0140-6736(15)60160-X","ISSN":"1474547X","PMID":"25924834","abstract":"Remarkable gains have been made in global health in the past 25 years, but progress has not been uniform. Mortality and morbidity from common conditions needing surgery have grown in the world's poorest regions, both in real terms and relative to other health gains. At the same time, development of safe, essential, life-saving surgical and anaesthesia care in low-income and middle-income countries (LMICs) has stagnated or regressed. In the absence of surgical care, case-fatality rates are high for common, easily treatable conditions including appendicitis, hernia, fractures, obstructed labour, congenital anomalies, and breast and cervical cancer. In 2015, many LMICs are facing a multifaceted burden of infectious disease, maternal disease, neonatal disease, non-communicable diseases, and injuries. Surgical and anaesthesia care are essential for the treatment of many of these conditions and represent an integral component of a functional, responsive, and resilient health system. In view of the large projected increase in the incidence of cancer, road traffi c injuries, and cardiovascular and metabolic diseases in LMICs, the need for surgical services in these regions will continue to rise substantially from now until 2030. Reduction of death and disability hinges on access to surgical and anaesthesia care, which should be available, aff ordable, timely, and safe to ensure good coverage, uptake, and outcomes. Despite growing need, the development and delivery of surgical and anaesthesia care in LMICs has been nearly absent from the global health discourse. Little has been written about the human and economic eff ect of surgical conditions, the state of surgical care, or the potential strategies for scale-up of surgical services in LMICs. To begin to address these crucial gaps in knowledge, policy, and action, the Lancet Commission on Global Surgery was launched in January, 2014. The Commission brought together an international, multidisciplinary team of 25 commissioners, supported by advisors and collaborators in more than 110 countries and six continents. We formed four working groups that focused on the domains of health-care delivery and management; workforce, training, and education; economics and fi nance; and information management. Our Commission has fi ve key messages, a set of indicators and recommendations to improve access to safe, aff ordablesurgical and anaesthesia care in LMICs, and a template for a national surgical plan. Our fi ve key messa…","author":[{"dropping-particle":"","family":"Meara","given":"John G.","non-dropping-particle":"","parse-names":false,"suffix":""},{"dropping-particle":"","family":"Leather","given":"Andrew J.M.","non-dropping-particle":"","parse-names":false,"suffix":""},{"dropping-particle":"","family":"Hagander","given":"Lars","non-dropping-particle":"","parse-names":false,"suffix":""},{"dropping-particle":"","family":"Alkire","given":"Blake C.","non-dropping-particle":"","parse-names":false,"suffix":""},{"dropping-particle":"","family":"Alonso","given":"Nivaldo","non-dropping-particle":"","parse-names":false,"suffix":""},{"dropping-particle":"","family":"Ameh","given":"Emmanuel A.","non-dropping-particle":"","parse-names":false,"suffix":""},{"dropping-particle":"","family":"Bickler","given":"Stephen W.","non-dropping-particle":"","parse-names":false,"suffix":""},{"dropping-particle":"","family":"Conteh","given":"Lesong","non-dropping-particle":"","parse-names":false,"suffix":""},{"dropping-particle":"","family":"Dare","given":"Anna J.","non-dropping-particle":"","parse-names":false,"suffix":""},{"dropping-particle":"","family":"Davies","given":"Justine","non-dropping-particle":"","parse-names":false,"suffix":""},{"dropping-particle":"","family":"Mérisier","given":"Eunice Dérivois","non-dropping-particle":"","parse-names":false,"suffix":""},{"dropping-particle":"","family":"El-Halabi","given":"Shenaaz","non-dropping-particle":"","parse-names":false,"suffix":""},{"dropping-particle":"","family":"Farmer","given":"Paul E.","non-dropping-particle":"","parse-names":false,"suffix":""},{"dropping-particle":"","family":"Gawande","given":"Atul","non-dropping-particle":"","parse-names":false,"suffix":""},{"dropping-particle":"","family":"Gillies","given":"Rowan","non-dropping-particle":"","parse-names":false,"suffix":""},{"dropping-particle":"","family":"Greenberg","given":"Sarah L.M.","non-dropping-particle":"","parse-names":false,"suffix":""},{"dropping-particle":"","family":"Grimes","given":"Caris E.","non-dropping-particle":"","parse-names":false,"suffix":""},{"dropping-particle":"","family":"Gruen","given":"Russell L.","non-dropping-particle":"","parse-names":false,"suffix":""},{"dropping-particle":"","family":"Ismail","given":"Edna Adan","non-dropping-particle":"","parse-names":false,"suffix":""},{"dropping-particle":"","family":"Kamara","given":"Thaim Buya","non-dropping-particle":"","parse-names":false,"suffix":""},{"dropping-particle":"","family":"Lavy","given":"Chris","non-dropping-particle":"","parse-names":false,"suffix":""},{"dropping-particle":"","family":"Lundeg","given":"Ganbold","non-dropping-particle":"","parse-names":false,"suffix":""},{"dropping-particle":"","family":"Mkandawire","given":"Nyengo C.","non-dropping-particle":"","parse-names":false,"suffix":""},{"dropping-particle":"","family":"Raykar","given":"Nakul P.","non-dropping-particle":"","parse-names":false,"suffix":""},{"dropping-particle":"","family":"Riesel","given":"Johanna N.","non-dropping-particle":"","parse-names":false,"suffix":""},{"dropping-particle":"","family":"Rodas","given":"Edgar","non-dropping-particle":"","parse-names":false,"suffix":""},{"dropping-particle":"","family":"Rose","given":"John","non-dropping-particle":"","parse-names":false,"suffix":""},{"dropping-particle":"","family":"Roy","given":"Nobhojit","non-dropping-particle":"","parse-names":false,"suffix":""},{"dropping-particle":"","family":"Shrime","given":"Mark G.","non-dropping-particle":"","parse-names":false,"suffix":""},{"dropping-particle":"","family":"Sullivan","given":"Richard","non-dropping-particle":"","parse-names":false,"suffix":""},{"dropping-particle":"","family":"Verguet","given":"Stéphane","non-dropping-particle":"","parse-names":false,"suffix":""},{"dropping-particle":"","family":"Watters","given":"David","non-dropping-particle":"","parse-names":false,"suffix":""},{"dropping-particle":"","family":"Weiser","given":"Thomas G.","non-dropping-particle":"","parse-names":false,"suffix":""},{"dropping-particle":"","family":"Wilson","given":"Iain H.","non-dropping-particle":"","parse-names":false,"suffix":""},{"dropping-particle":"","family":"Yamey","given":"Gavin","non-dropping-particle":"","parse-names":false,"suffix":""},{"dropping-particle":"","family":"Yip","given":"Winnie","non-dropping-particle":"","parse-names":false,"suffix":""}],"container-title":"The Lancet","id":"ITEM-1","issue":"9993","issued":{"date-parts":[["2015"]]},"page":"569-624","title":"Global Surgery 2030: Evidence and solutions for achieving health, welfare, and economic development","type":"article-journal","volume":"386"},"uris":["http://www.mendeley.com/documents/?uuid=5e34a620-6a38-447a-9488-b8810041ddc1"]},{"id":"ITEM-2","itemData":{"DOI":"10.1097/oi9.0000000000000017","ISSN":"2574-2167","author":[{"dropping-particle":"","family":"Babhulkar","given":"Sushrut","non-dropping-particle":"","parse-names":false,"suffix":""},{"dropping-particle":"","family":"Apte","given":"Ashutosh","non-dropping-particle":"","parse-names":false,"suffix":""},{"dropping-particle":"","family":"Barick","given":"Devashish","non-dropping-particle":"","parse-names":false,"suffix":""},{"dropping-particle":"","family":"Hoogervorst","given":"Paul","non-dropping-particle":"","parse-names":false,"suffix":""},{"dropping-particle":"","family":"Tian","given":"Yun","non-dropping-particle":"","parse-names":false,"suffix":""},{"dropping-particle":"","family":"Wang","given":"Yan","non-dropping-particle":"","parse-names":false,"suffix":""}],"container-title":"OTA International: The Open Access Journal of Orthopaedic Trauma","id":"ITEM-2","issue":"S1","issued":{"date-parts":[["2019","3"]]},"page":"e017","publisher":"Ovid Technologies (Wolters Kluwer Health)","title":"Trauma care systems in India and China","type":"article-journal","volume":"2"},"uris":["http://www.mendeley.com/documents/?uuid=f94f7f68-e33c-3dd7-8f2d-117b4c4d3b93"]}],"mendeley":{"formattedCitation":"(27,28)","plainTextFormattedCitation":"(27,28)","previouslyFormattedCitation":"(27,28)"},"properties":{"noteIndex":0},"schema":"https://github.com/citation-style-language/schema/raw/master/csl-citation.json"}</w:instrText>
      </w:r>
      <w:r w:rsidR="001A66DB">
        <w:rPr>
          <w:rFonts w:cstheme="minorHAnsi"/>
          <w:sz w:val="24"/>
          <w:szCs w:val="24"/>
        </w:rPr>
        <w:fldChar w:fldCharType="separate"/>
      </w:r>
      <w:r w:rsidR="00771898" w:rsidRPr="00771898">
        <w:rPr>
          <w:rFonts w:cstheme="minorHAnsi"/>
          <w:noProof/>
          <w:sz w:val="24"/>
          <w:szCs w:val="24"/>
        </w:rPr>
        <w:t>(27,28)</w:t>
      </w:r>
      <w:r w:rsidR="001A66DB">
        <w:rPr>
          <w:rFonts w:cstheme="minorHAnsi"/>
          <w:sz w:val="24"/>
          <w:szCs w:val="24"/>
        </w:rPr>
        <w:fldChar w:fldCharType="end"/>
      </w:r>
      <w:r w:rsidR="001A66DB">
        <w:rPr>
          <w:rFonts w:cstheme="minorHAnsi"/>
          <w:sz w:val="24"/>
          <w:szCs w:val="24"/>
        </w:rPr>
        <w:t>.</w:t>
      </w:r>
      <w:r w:rsidR="00CB1D41" w:rsidRPr="00CB1D41">
        <w:rPr>
          <w:rFonts w:cstheme="minorHAnsi"/>
          <w:sz w:val="24"/>
          <w:szCs w:val="24"/>
        </w:rPr>
        <w:t xml:space="preserve"> The aim of this study is to assess the interaction of age and gender with post-discharge QOL among adult trauma patients using the context of urban India.</w:t>
      </w:r>
    </w:p>
    <w:p w14:paraId="540196CD" w14:textId="3A313620" w:rsidR="0017592D" w:rsidRPr="00845A8C" w:rsidRDefault="0017592D" w:rsidP="00CB1D41">
      <w:pPr>
        <w:rPr>
          <w:rFonts w:cstheme="minorHAnsi"/>
          <w:b/>
          <w:bCs/>
          <w:sz w:val="24"/>
          <w:szCs w:val="24"/>
        </w:rPr>
      </w:pPr>
      <w:r w:rsidRPr="00845A8C">
        <w:rPr>
          <w:rFonts w:cstheme="minorHAnsi"/>
          <w:b/>
          <w:bCs/>
          <w:sz w:val="24"/>
          <w:szCs w:val="24"/>
        </w:rPr>
        <w:t>Methods</w:t>
      </w:r>
    </w:p>
    <w:p w14:paraId="66F6BF6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Study Design</w:t>
      </w:r>
    </w:p>
    <w:p w14:paraId="607ECFAB" w14:textId="2E2BFBDA" w:rsidR="0017592D" w:rsidRPr="00845A8C" w:rsidRDefault="0017592D" w:rsidP="0045461C">
      <w:pPr>
        <w:spacing w:after="0"/>
        <w:jc w:val="both"/>
        <w:rPr>
          <w:rFonts w:cstheme="minorHAnsi"/>
          <w:sz w:val="24"/>
          <w:szCs w:val="24"/>
        </w:rPr>
      </w:pPr>
      <w:r w:rsidRPr="00845A8C">
        <w:rPr>
          <w:rFonts w:cstheme="minorHAnsi"/>
          <w:sz w:val="24"/>
          <w:szCs w:val="24"/>
        </w:rPr>
        <w:t>This study is a cross-sectional study using data from an ongoing interrupted time series trial of trauma patients discharged from four tertiary-care hospital in urban India between November 2019 and June 2020.</w:t>
      </w:r>
    </w:p>
    <w:p w14:paraId="6869AC3D" w14:textId="77777777" w:rsidR="0045461C" w:rsidRPr="00845A8C" w:rsidRDefault="0045461C" w:rsidP="0045461C">
      <w:pPr>
        <w:spacing w:after="0"/>
        <w:jc w:val="both"/>
        <w:rPr>
          <w:rFonts w:cstheme="minorHAnsi"/>
          <w:i/>
          <w:iCs/>
          <w:sz w:val="24"/>
          <w:szCs w:val="24"/>
        </w:rPr>
      </w:pPr>
    </w:p>
    <w:p w14:paraId="059E5BD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Setting</w:t>
      </w:r>
    </w:p>
    <w:p w14:paraId="0DD98851" w14:textId="64470517" w:rsidR="0045461C" w:rsidRPr="00845A8C" w:rsidRDefault="0017592D" w:rsidP="0045461C">
      <w:pPr>
        <w:spacing w:after="0"/>
        <w:jc w:val="both"/>
        <w:rPr>
          <w:rFonts w:cstheme="minorHAnsi"/>
          <w:sz w:val="24"/>
          <w:szCs w:val="24"/>
        </w:rPr>
      </w:pPr>
      <w:r w:rsidRPr="00845A8C">
        <w:rPr>
          <w:rFonts w:cstheme="minorHAnsi"/>
          <w:sz w:val="24"/>
          <w:szCs w:val="24"/>
        </w:rPr>
        <w:t xml:space="preserve">India accounts for nearly 20% of global trauma burden </w:t>
      </w:r>
      <w:r w:rsidRPr="00845A8C">
        <w:rPr>
          <w:rFonts w:cstheme="minorHAnsi"/>
          <w:sz w:val="24"/>
          <w:szCs w:val="24"/>
        </w:rPr>
        <w:fldChar w:fldCharType="begin" w:fldLock="1"/>
      </w:r>
      <w:r w:rsidRPr="00845A8C">
        <w:rPr>
          <w:rFonts w:cstheme="minorHAnsi"/>
          <w:sz w:val="24"/>
          <w:szCs w:val="24"/>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mendeley":{"formattedCitation":"(1)","plainTextFormattedCitation":"(1)","previouslyFormattedCitation":"(1)"},"properties":{"noteIndex":0},"schema":"https://github.com/citation-style-language/schema/raw/master/csl-citation.json"}</w:instrText>
      </w:r>
      <w:r w:rsidRPr="00845A8C">
        <w:rPr>
          <w:rFonts w:cstheme="minorHAnsi"/>
          <w:sz w:val="24"/>
          <w:szCs w:val="24"/>
        </w:rPr>
        <w:fldChar w:fldCharType="separate"/>
      </w:r>
      <w:r w:rsidRPr="00845A8C">
        <w:rPr>
          <w:rFonts w:cstheme="minorHAnsi"/>
          <w:noProof/>
          <w:sz w:val="24"/>
          <w:szCs w:val="24"/>
        </w:rPr>
        <w:t>(1)</w:t>
      </w:r>
      <w:r w:rsidRPr="00845A8C">
        <w:rPr>
          <w:rFonts w:cstheme="minorHAnsi"/>
          <w:sz w:val="24"/>
          <w:szCs w:val="24"/>
        </w:rPr>
        <w:fldChar w:fldCharType="end"/>
      </w:r>
      <w:r w:rsidRPr="00845A8C">
        <w:rPr>
          <w:rFonts w:cstheme="minorHAnsi"/>
          <w:sz w:val="24"/>
          <w:szCs w:val="24"/>
        </w:rPr>
        <w:t xml:space="preserve">. More than one-tenth of all the DALYs in India are due to trauma and it is among the top five causes of morbidity </w:t>
      </w:r>
      <w:r w:rsidRPr="00845A8C">
        <w:rPr>
          <w:rFonts w:cstheme="minorHAnsi"/>
          <w:sz w:val="24"/>
          <w:szCs w:val="24"/>
        </w:rPr>
        <w:fldChar w:fldCharType="begin" w:fldLock="1"/>
      </w:r>
      <w:r w:rsidR="00771898">
        <w:rPr>
          <w:rFonts w:cstheme="minorHAnsi"/>
          <w:sz w:val="24"/>
          <w:szCs w:val="24"/>
        </w:rPr>
        <w:instrText>ADDIN CSL_CITATION {"citationItems":[{"id":"ITEM-1","itemData":{"DOI":"10.1016/S2214-109X(19)30451-6","ISSN":"2214109X","PMID":"31708148","abstract":"Background: Many countries, including India, seek locally constructed disease burden estimates comprising mortality and loss of health to aid priority setting for the prevention and treatment of diseases. We created the National Burden Estimates (NBE) to provide transparent and understandable disease burdens at the national and subnational levels, and to identify gaps in knowledge. Methods: To calculate the NBE for India, we combined 2017 UN death totals with national and subnational mortality rates for 2010–17 and causes of death from 211 166 verbal autopsy interviews in the Indian Million Death Study for 2010–14. We calculated years of life lost (YLLs) and years lived with disability (YLDs) for 2017 using published YLD–YLL ratios from WHO Global Health Estimates. We grouped causes of death into 45 groups, including ill-defined deaths, and summed YLLs and YLDs to calculate disability-adjusted life-years (DALYs) for these causes in eight age groups covering rural and urban areas and 21 major states of India. Findings: In 2017, there were about 9·7 million deaths and 486 million DALYs in India. About three quarters of deaths and DALYs occurred in rural areas. More than a third of national DALYs arose from communicable, maternal, perinatal, and nutritional disorders. DALY rates in rural areas were at least twice those of urban areas for perinatal and nutritional conditions, chronic respiratory diseases, diarrhoea, and fever of unknown origin. DALY rates for ischaemic heart disease were greater in urban areas. Injuries caused 11·4% of DALYs nationally. The top 15 conditions that accounted for the most DALYs were mostly those causing mortality (ischaemic heart disease, perinatal conditions, chronic respiratory diseases, diarrhoea, respiratory infections, cancer, stroke, road traffic accidents, tuberculosis, and liver and alcohol-related conditions), with disability mostly due to a few conditions (nutritional deficiencies, neuropsychiatric conditions, vision and other sensory loss, musculoskeletal disorders, and genitourinary diseases). Every condition that was common in one part of India was uncommon elsewhere, suggesting state-specific priorities for disease control. Interpretation: The NBE method quantifies disease burden using transparent, intuitive, and reproducible methods. It provides a simple, locally operable tool to aid policy makers in priority setting in India and other low-income and middle-income countries. The NBE underlines the need for many …","author":[{"dropping-particle":"","family":"Menon","given":"Geetha R.","non-dropping-particle":"","parse-names":false,"suffix":""},{"dropping-particle":"","family":"Singh","given":"Lucky","non-dropping-particle":"","parse-names":false,"suffix":""},{"dropping-particle":"","family":"Sharma","given":"Palak","non-dropping-particle":"","parse-names":false,"suffix":""},{"dropping-particle":"","family":"Yadav","given":"Priyanka","non-dropping-particle":"","parse-names":false,"suffix":""},{"dropping-particle":"","family":"Sharma","given":"Shweta","non-dropping-particle":"","parse-names":false,"suffix":""},{"dropping-particle":"","family":"Kalaskar","given":"Shrikant","non-dropping-particle":"","parse-names":false,"suffix":""},{"dropping-particle":"","family":"Singh","given":"Harpreet","non-dropping-particle":"","parse-names":false,"suffix":""},{"dropping-particle":"","family":"Adinarayanan","given":"Srividya","non-dropping-particle":"","parse-names":false,"suffix":""},{"dropping-particle":"","family":"Joshua","given":"Vasna","non-dropping-particle":"","parse-names":false,"suffix":""},{"dropping-particle":"","family":"Kulothungan","given":"Vaitheeswaran","non-dropping-particle":"","parse-names":false,"suffix":""},{"dropping-particle":"","family":"Yadav","given":"Jeetendra","non-dropping-particle":"","parse-names":false,"suffix":""},{"dropping-particle":"","family":"Watson","given":"Leah K.","non-dropping-particle":"","parse-names":false,"suffix":""},{"dropping-particle":"","family":"Fadel","given":"Shaza A.","non-dropping-particle":"","parse-names":false,"suffix":""},{"dropping-particle":"","family":"Suraweera","given":"Wilson","non-dropping-particle":"","parse-names":false,"suffix":""},{"dropping-particle":"","family":"Rao","given":"M. Vishnu Vardhana","non-dropping-particle":"","parse-names":false,"suffix":""},{"dropping-particle":"","family":"Dhaliwal","given":"R. S.","non-dropping-particle":"","parse-names":false,"suffix":""},{"dropping-particle":"","family":"Begum","given":"Rehana","non-dropping-particle":"","parse-names":false,"suffix":""},{"dropping-particle":"","family":"Sati","given":"Prabha","non-dropping-particle":"","parse-names":false,"suffix":""},{"dropping-particle":"","family":"Jamison","given":"Dean T.","non-dropping-particle":"","parse-names":false,"suffix":""},{"dropping-particle":"","family":"Jha","given":"Prabhat","non-dropping-particle":"","parse-names":false,"suffix":""}],"container-title":"The Lancet Global Health","id":"ITEM-1","issue":"12","issued":{"date-parts":[["2019"]]},"page":"e1675-e1684","publisher":"The Author(s). Published by Elsevier Ltd. This is an Open Access article under the CC BY 4.0 license","title":"National Burden Estimates of healthy life lost in India, 2017: an analysis using direct mortality data and indirect disability data","type":"article-journal","volume":"7"},"uris":["http://www.mendeley.com/documents/?uuid=f8ca4cc7-ba79-4be5-8195-cd1f154b9203"]}],"mendeley":{"formattedCitation":"(29)","plainTextFormattedCitation":"(29)","previouslyFormattedCitation":"(29)"},"properties":{"noteIndex":0},"schema":"https://github.com/citation-style-language/schema/raw/master/csl-citation.json"}</w:instrText>
      </w:r>
      <w:r w:rsidRPr="00845A8C">
        <w:rPr>
          <w:rFonts w:cstheme="minorHAnsi"/>
          <w:sz w:val="24"/>
          <w:szCs w:val="24"/>
        </w:rPr>
        <w:fldChar w:fldCharType="separate"/>
      </w:r>
      <w:r w:rsidR="00771898" w:rsidRPr="00771898">
        <w:rPr>
          <w:rFonts w:cstheme="minorHAnsi"/>
          <w:noProof/>
          <w:sz w:val="24"/>
          <w:szCs w:val="24"/>
        </w:rPr>
        <w:t>(29)</w:t>
      </w:r>
      <w:r w:rsidRPr="00845A8C">
        <w:rPr>
          <w:rFonts w:cstheme="minorHAnsi"/>
          <w:sz w:val="24"/>
          <w:szCs w:val="24"/>
        </w:rPr>
        <w:fldChar w:fldCharType="end"/>
      </w:r>
      <w:r w:rsidRPr="00845A8C">
        <w:rPr>
          <w:rFonts w:cstheme="minorHAnsi"/>
          <w:sz w:val="24"/>
          <w:szCs w:val="24"/>
        </w:rPr>
        <w:t xml:space="preserve">. The patients were enrolled from the on-going Trauma Audit Filters Trial (TAFT) in four participating tertiary-care hospitals in Indian cities </w:t>
      </w:r>
      <w:r w:rsidRPr="00845A8C">
        <w:rPr>
          <w:rFonts w:cstheme="minorHAnsi"/>
          <w:sz w:val="24"/>
          <w:szCs w:val="24"/>
        </w:rPr>
        <w:fldChar w:fldCharType="begin" w:fldLock="1"/>
      </w:r>
      <w:r w:rsidR="00771898">
        <w:rPr>
          <w:rFonts w:cstheme="minorHAnsi"/>
          <w:sz w:val="24"/>
          <w:szCs w:val="24"/>
        </w:rPr>
        <w:instrText>ADDIN CSL_CITATION {"citationItems":[{"id":"ITEM-1","itemData":{"URL":"https://clinicaltrials.gov/ct2/show/NCT03235388","accessed":{"date-parts":[["2019","4","20"]]},"author":[{"dropping-particle":"","family":"ClinicalTrials.gov","given":"","non-dropping-particle":"","parse-names":false,"suffix":""}],"id":"ITEM-1","issued":{"date-parts":[["2017"]]},"title":"Identifier: NCT03235388 The Trauma Audit Filters Trial (TAFT)","type":"webpage"},"uris":["http://www.mendeley.com/documents/?uuid=c12959bc-8920-44cf-9209-6d2adec17177"]}],"mendeley":{"formattedCitation":"(30)","plainTextFormattedCitation":"(30)","previouslyFormattedCitation":"(30)"},"properties":{"noteIndex":0},"schema":"https://github.com/citation-style-language/schema/raw/master/csl-citation.json"}</w:instrText>
      </w:r>
      <w:r w:rsidRPr="00845A8C">
        <w:rPr>
          <w:rFonts w:cstheme="minorHAnsi"/>
          <w:sz w:val="24"/>
          <w:szCs w:val="24"/>
        </w:rPr>
        <w:fldChar w:fldCharType="separate"/>
      </w:r>
      <w:r w:rsidR="00771898" w:rsidRPr="00771898">
        <w:rPr>
          <w:rFonts w:cstheme="minorHAnsi"/>
          <w:noProof/>
          <w:sz w:val="24"/>
          <w:szCs w:val="24"/>
        </w:rPr>
        <w:t>(30)</w:t>
      </w:r>
      <w:r w:rsidRPr="00845A8C">
        <w:rPr>
          <w:rFonts w:cstheme="minorHAnsi"/>
          <w:sz w:val="24"/>
          <w:szCs w:val="24"/>
        </w:rPr>
        <w:fldChar w:fldCharType="end"/>
      </w:r>
      <w:r w:rsidRPr="00845A8C">
        <w:rPr>
          <w:rFonts w:cstheme="minorHAnsi"/>
          <w:sz w:val="24"/>
          <w:szCs w:val="24"/>
        </w:rPr>
        <w:t xml:space="preserve">. These were the Grant Medical College and Sir </w:t>
      </w:r>
      <w:proofErr w:type="spellStart"/>
      <w:r w:rsidRPr="00845A8C">
        <w:rPr>
          <w:rFonts w:cstheme="minorHAnsi"/>
          <w:sz w:val="24"/>
          <w:szCs w:val="24"/>
        </w:rPr>
        <w:t>Jamshedjee</w:t>
      </w:r>
      <w:proofErr w:type="spellEnd"/>
      <w:r w:rsidRPr="00845A8C">
        <w:rPr>
          <w:rFonts w:cstheme="minorHAnsi"/>
          <w:sz w:val="24"/>
          <w:szCs w:val="24"/>
        </w:rPr>
        <w:t xml:space="preserve"> Jeejeebhoy Hospital in Mumbai, Lok Nayak Hospital of Maulana Azad Medical College (MAMC) in Delhi, the Institute of Post-Graduate Medical Education and Research and Seth </w:t>
      </w:r>
      <w:proofErr w:type="spellStart"/>
      <w:r w:rsidRPr="00845A8C">
        <w:rPr>
          <w:rFonts w:cstheme="minorHAnsi"/>
          <w:sz w:val="24"/>
          <w:szCs w:val="24"/>
        </w:rPr>
        <w:t>Sukhlal</w:t>
      </w:r>
      <w:proofErr w:type="spellEnd"/>
      <w:r w:rsidRPr="00845A8C">
        <w:rPr>
          <w:rFonts w:cstheme="minorHAnsi"/>
          <w:sz w:val="24"/>
          <w:szCs w:val="24"/>
        </w:rPr>
        <w:t xml:space="preserve"> </w:t>
      </w:r>
      <w:proofErr w:type="spellStart"/>
      <w:r w:rsidRPr="00845A8C">
        <w:rPr>
          <w:rFonts w:cstheme="minorHAnsi"/>
          <w:sz w:val="24"/>
          <w:szCs w:val="24"/>
        </w:rPr>
        <w:t>Karnani</w:t>
      </w:r>
      <w:proofErr w:type="spellEnd"/>
      <w:r w:rsidRPr="00845A8C">
        <w:rPr>
          <w:rFonts w:cstheme="minorHAnsi"/>
          <w:sz w:val="24"/>
          <w:szCs w:val="24"/>
        </w:rPr>
        <w:t xml:space="preserve"> Memorial Hospital (SSKM) in Kolkata and St. John's Medical College, Bengaluru. The first three are public hospitals that have nominal fees catering to patients from lower socioeconomic sections of the population, while the fourth is a charitable private hospital catering to a mix of different socioeconomic sections of the population.</w:t>
      </w:r>
    </w:p>
    <w:p w14:paraId="107E6773" w14:textId="77777777" w:rsidR="0045461C" w:rsidRPr="00845A8C" w:rsidRDefault="0045461C" w:rsidP="0045461C">
      <w:pPr>
        <w:spacing w:after="0"/>
        <w:jc w:val="both"/>
        <w:rPr>
          <w:rFonts w:cstheme="minorHAnsi"/>
          <w:sz w:val="24"/>
          <w:szCs w:val="24"/>
        </w:rPr>
      </w:pPr>
    </w:p>
    <w:p w14:paraId="65010F24" w14:textId="77777777" w:rsidR="0045461C" w:rsidRPr="00845A8C" w:rsidRDefault="0017592D" w:rsidP="0045461C">
      <w:pPr>
        <w:spacing w:after="0"/>
        <w:jc w:val="both"/>
        <w:rPr>
          <w:rFonts w:cstheme="minorHAnsi"/>
          <w:i/>
          <w:iCs/>
          <w:sz w:val="24"/>
          <w:szCs w:val="24"/>
        </w:rPr>
      </w:pPr>
      <w:r w:rsidRPr="00845A8C">
        <w:rPr>
          <w:rFonts w:cstheme="minorHAnsi"/>
          <w:i/>
          <w:iCs/>
          <w:sz w:val="24"/>
          <w:szCs w:val="24"/>
        </w:rPr>
        <w:t>Participants</w:t>
      </w:r>
    </w:p>
    <w:p w14:paraId="6E067F7F" w14:textId="71BB1781" w:rsidR="0017592D" w:rsidRPr="00845A8C" w:rsidRDefault="0017592D" w:rsidP="0045461C">
      <w:pPr>
        <w:spacing w:after="0"/>
        <w:jc w:val="both"/>
        <w:rPr>
          <w:rFonts w:cstheme="minorHAnsi"/>
          <w:i/>
          <w:iCs/>
          <w:sz w:val="24"/>
          <w:szCs w:val="24"/>
        </w:rPr>
      </w:pPr>
      <w:r w:rsidRPr="00845A8C">
        <w:rPr>
          <w:rFonts w:cstheme="minorHAnsi"/>
          <w:sz w:val="24"/>
          <w:szCs w:val="24"/>
        </w:rPr>
        <w:t xml:space="preserve">We include patients aged 18, which is the legal age for consent in in India </w:t>
      </w:r>
      <w:r w:rsidR="0045461C" w:rsidRPr="00845A8C">
        <w:rPr>
          <w:rFonts w:cstheme="minorHAnsi"/>
          <w:sz w:val="24"/>
          <w:szCs w:val="24"/>
        </w:rPr>
        <w:fldChar w:fldCharType="begin" w:fldLock="1"/>
      </w:r>
      <w:r w:rsidR="00771898">
        <w:rPr>
          <w:rFonts w:cstheme="minorHAnsi"/>
          <w:sz w:val="24"/>
          <w:szCs w:val="24"/>
        </w:rPr>
        <w:instrText>ADDIN CSL_CITATION {"citationItems":[{"id":"ITEM-1","itemData":{"DOI":"10.1016/j.ijgo.2011.07.006","ISSN":"1879-3479","PMID":"21839448","author":[{"dropping-particle":"","family":"Indian Council of Medical Research","given":"","non-dropping-particle":"","parse-names":false,"suffix":""}],"container-title":"Biomedical Research","id":"ITEM-1","issued":{"date-parts":[["2006"]]},"page":"1-120","title":"Ethical Guidelines for on Human Participants Indian Council of Medical Research","type":"article-journal"},"uris":["http://www.mendeley.com/documents/?uuid=39d2f9d7-f9cb-429c-86b1-7274c6b1754c"]}],"mendeley":{"formattedCitation":"(31)","plainTextFormattedCitation":"(31)","previouslyFormattedCitation":"(31)"},"properties":{"noteIndex":0},"schema":"https://github.com/citation-style-language/schema/raw/master/csl-citation.json"}</w:instrText>
      </w:r>
      <w:r w:rsidR="0045461C" w:rsidRPr="00845A8C">
        <w:rPr>
          <w:rFonts w:cstheme="minorHAnsi"/>
          <w:sz w:val="24"/>
          <w:szCs w:val="24"/>
        </w:rPr>
        <w:fldChar w:fldCharType="separate"/>
      </w:r>
      <w:r w:rsidR="00771898" w:rsidRPr="00771898">
        <w:rPr>
          <w:rFonts w:cstheme="minorHAnsi"/>
          <w:noProof/>
          <w:sz w:val="24"/>
          <w:szCs w:val="24"/>
        </w:rPr>
        <w:t>(31)</w:t>
      </w:r>
      <w:r w:rsidR="0045461C" w:rsidRPr="00845A8C">
        <w:rPr>
          <w:rFonts w:cstheme="minorHAnsi"/>
          <w:sz w:val="24"/>
          <w:szCs w:val="24"/>
        </w:rPr>
        <w:fldChar w:fldCharType="end"/>
      </w:r>
      <w:r w:rsidR="0045461C" w:rsidRPr="00845A8C">
        <w:rPr>
          <w:rFonts w:cstheme="minorHAnsi"/>
          <w:sz w:val="24"/>
          <w:szCs w:val="24"/>
        </w:rPr>
        <w:t xml:space="preserve"> </w:t>
      </w:r>
      <w:r w:rsidRPr="00845A8C">
        <w:rPr>
          <w:rFonts w:cstheme="minorHAnsi"/>
          <w:sz w:val="24"/>
          <w:szCs w:val="24"/>
        </w:rPr>
        <w:t>presenting to the casualty department with a history of trauma---as per the V01-Y36, chapter XX of the International Classification of Disease version 10 (ICD-10)</w:t>
      </w:r>
      <w:r w:rsidR="0045461C" w:rsidRPr="00845A8C">
        <w:rPr>
          <w:rFonts w:cstheme="minorHAnsi"/>
          <w:sz w:val="24"/>
          <w:szCs w:val="24"/>
        </w:rPr>
        <w:t xml:space="preserve"> </w:t>
      </w:r>
      <w:r w:rsidR="0045461C" w:rsidRPr="00845A8C">
        <w:rPr>
          <w:rFonts w:cstheme="minorHAnsi"/>
          <w:sz w:val="24"/>
          <w:szCs w:val="24"/>
        </w:rPr>
        <w:fldChar w:fldCharType="begin" w:fldLock="1"/>
      </w:r>
      <w:r w:rsidR="00771898">
        <w:rPr>
          <w:rFonts w:cstheme="minorHAnsi"/>
          <w:sz w:val="24"/>
          <w:szCs w:val="24"/>
        </w:rPr>
        <w:instrText>ADDIN CSL_CITATION {"citationItems":[{"id":"ITEM-1","itemData":{"URL":"http://apps.who.int/classifications/icd10/browse/2016/en#/XX","author":[{"dropping-particle":"","family":"Word Health Organization","given":"","non-dropping-particle":"","parse-names":false,"suffix":""}],"id":"ITEM-1","issued":{"date-parts":[["2016"]]},"title":"International Statistical Classification of Diseases and Related Health Problems 10th Revision (ICD-10)-WHO Version for2016","type":"webpage"},"uris":["http://www.mendeley.com/documents/?uuid=c50bce39-1883-4e0a-855f-a0444f52ebac"]}],"mendeley":{"formattedCitation":"(32)","plainTextFormattedCitation":"(32)","previouslyFormattedCitation":"(32)"},"properties":{"noteIndex":0},"schema":"https://github.com/citation-style-language/schema/raw/master/csl-citation.json"}</w:instrText>
      </w:r>
      <w:r w:rsidR="0045461C" w:rsidRPr="00845A8C">
        <w:rPr>
          <w:rFonts w:cstheme="minorHAnsi"/>
          <w:sz w:val="24"/>
          <w:szCs w:val="24"/>
        </w:rPr>
        <w:fldChar w:fldCharType="separate"/>
      </w:r>
      <w:r w:rsidR="00771898" w:rsidRPr="00771898">
        <w:rPr>
          <w:rFonts w:cstheme="minorHAnsi"/>
          <w:noProof/>
          <w:sz w:val="24"/>
          <w:szCs w:val="24"/>
        </w:rPr>
        <w:t>(32)</w:t>
      </w:r>
      <w:r w:rsidR="0045461C" w:rsidRPr="00845A8C">
        <w:rPr>
          <w:rFonts w:cstheme="minorHAnsi"/>
          <w:sz w:val="24"/>
          <w:szCs w:val="24"/>
        </w:rPr>
        <w:fldChar w:fldCharType="end"/>
      </w:r>
      <w:r w:rsidRPr="00845A8C">
        <w:rPr>
          <w:rFonts w:cstheme="minorHAnsi"/>
          <w:sz w:val="24"/>
          <w:szCs w:val="24"/>
        </w:rPr>
        <w:t>--who are admitted and discharged alive.</w:t>
      </w:r>
      <w:r w:rsidR="00A172A7">
        <w:rPr>
          <w:rFonts w:cstheme="minorHAnsi"/>
          <w:sz w:val="24"/>
          <w:szCs w:val="24"/>
        </w:rPr>
        <w:t xml:space="preserve"> </w:t>
      </w:r>
      <w:r w:rsidR="00A172A7" w:rsidRPr="00A172A7">
        <w:rPr>
          <w:rFonts w:cstheme="minorHAnsi"/>
          <w:sz w:val="24"/>
          <w:szCs w:val="24"/>
        </w:rPr>
        <w:t>Majority of the participants in the study were from low-income households often living in poorly-maintained dense slum buildings with limited piped water or sewage and use communal public toilets.</w:t>
      </w:r>
      <w:r w:rsidR="00A172A7">
        <w:rPr>
          <w:rFonts w:cstheme="minorHAnsi"/>
          <w:sz w:val="24"/>
          <w:szCs w:val="24"/>
        </w:rPr>
        <w:t xml:space="preserve"> </w:t>
      </w:r>
      <w:r w:rsidR="00B37CD0">
        <w:rPr>
          <w:rFonts w:cstheme="minorHAnsi"/>
          <w:sz w:val="24"/>
          <w:szCs w:val="24"/>
        </w:rPr>
        <w:t>Additionally,</w:t>
      </w:r>
      <w:r w:rsidR="00B37CD0" w:rsidRPr="00B37CD0">
        <w:rPr>
          <w:rFonts w:cstheme="minorHAnsi"/>
          <w:sz w:val="24"/>
          <w:szCs w:val="24"/>
        </w:rPr>
        <w:t xml:space="preserve"> most trauma patients in India are young male adults</w:t>
      </w:r>
      <w:r w:rsidR="00B37CD0">
        <w:rPr>
          <w:rFonts w:cstheme="minorHAnsi"/>
          <w:sz w:val="24"/>
          <w:szCs w:val="24"/>
        </w:rPr>
        <w:t>.</w:t>
      </w:r>
    </w:p>
    <w:p w14:paraId="0A560F3F" w14:textId="77777777" w:rsidR="0017592D" w:rsidRPr="00845A8C" w:rsidRDefault="0017592D" w:rsidP="0045461C">
      <w:pPr>
        <w:spacing w:after="0"/>
        <w:jc w:val="both"/>
        <w:rPr>
          <w:rFonts w:cstheme="minorHAnsi"/>
          <w:sz w:val="24"/>
          <w:szCs w:val="24"/>
        </w:rPr>
      </w:pPr>
    </w:p>
    <w:p w14:paraId="22938AC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Variables</w:t>
      </w:r>
    </w:p>
    <w:p w14:paraId="53A39043" w14:textId="2D73DE0F" w:rsidR="0017592D" w:rsidRPr="00845A8C" w:rsidRDefault="0017592D" w:rsidP="00845A8C">
      <w:pPr>
        <w:spacing w:after="0"/>
        <w:jc w:val="both"/>
        <w:rPr>
          <w:rFonts w:cstheme="minorHAnsi"/>
          <w:sz w:val="24"/>
          <w:szCs w:val="24"/>
        </w:rPr>
      </w:pPr>
      <w:r w:rsidRPr="00845A8C">
        <w:rPr>
          <w:rFonts w:cstheme="minorHAnsi"/>
          <w:sz w:val="24"/>
          <w:szCs w:val="24"/>
        </w:rPr>
        <w:t xml:space="preserve">Age and gender were the main variables for this study. We also included </w:t>
      </w:r>
      <w:r w:rsidR="00373FFE">
        <w:rPr>
          <w:rFonts w:cstheme="minorHAnsi"/>
          <w:sz w:val="24"/>
          <w:szCs w:val="24"/>
        </w:rPr>
        <w:t>variables that has been shown in literature to influence injury severity and can consequently affect post-discharge QOL. V</w:t>
      </w:r>
      <w:r w:rsidRPr="00845A8C">
        <w:rPr>
          <w:rFonts w:cstheme="minorHAnsi"/>
          <w:sz w:val="24"/>
          <w:szCs w:val="24"/>
        </w:rPr>
        <w:t xml:space="preserve">ital sign measures such as systolic blood pressure (SBP), respiratory rate (RR), heart rate (HR), oxygen saturation (SPO), Injury severity scores (ISS) and Glasgow Coma Scale (GCS) and injury </w:t>
      </w:r>
      <w:proofErr w:type="spellStart"/>
      <w:r w:rsidR="0045461C" w:rsidRPr="00845A8C">
        <w:rPr>
          <w:rFonts w:cstheme="minorHAnsi"/>
          <w:sz w:val="24"/>
          <w:szCs w:val="24"/>
        </w:rPr>
        <w:t>aetiology</w:t>
      </w:r>
      <w:proofErr w:type="spellEnd"/>
      <w:r w:rsidRPr="00845A8C">
        <w:rPr>
          <w:rFonts w:cstheme="minorHAnsi"/>
          <w:sz w:val="24"/>
          <w:szCs w:val="24"/>
        </w:rPr>
        <w:t xml:space="preserve"> measures like mode of transport to hospital, type of injury, </w:t>
      </w:r>
      <w:r w:rsidR="00373FFE">
        <w:rPr>
          <w:rFonts w:cstheme="minorHAnsi"/>
          <w:sz w:val="24"/>
          <w:szCs w:val="24"/>
        </w:rPr>
        <w:t xml:space="preserve">and </w:t>
      </w:r>
      <w:r w:rsidRPr="00845A8C">
        <w:rPr>
          <w:rFonts w:cstheme="minorHAnsi"/>
          <w:sz w:val="24"/>
          <w:szCs w:val="24"/>
        </w:rPr>
        <w:t>mechanism of injury</w:t>
      </w:r>
      <w:r w:rsidR="00373FFE">
        <w:rPr>
          <w:rFonts w:cstheme="minorHAnsi"/>
          <w:sz w:val="24"/>
          <w:szCs w:val="24"/>
        </w:rPr>
        <w:t xml:space="preserve"> were included in the study</w:t>
      </w:r>
      <w:r w:rsidRPr="00845A8C">
        <w:rPr>
          <w:rFonts w:cstheme="minorHAnsi"/>
          <w:sz w:val="24"/>
          <w:szCs w:val="24"/>
        </w:rPr>
        <w:t>.</w:t>
      </w:r>
      <w:r w:rsidR="00373FFE">
        <w:rPr>
          <w:rFonts w:cstheme="minorHAnsi"/>
          <w:sz w:val="24"/>
          <w:szCs w:val="24"/>
        </w:rPr>
        <w:t xml:space="preserve"> </w:t>
      </w:r>
    </w:p>
    <w:p w14:paraId="44E2365A" w14:textId="77777777" w:rsidR="0017592D" w:rsidRPr="00845A8C" w:rsidRDefault="0017592D" w:rsidP="00845A8C">
      <w:pPr>
        <w:spacing w:after="0"/>
        <w:jc w:val="both"/>
        <w:rPr>
          <w:rFonts w:cstheme="minorHAnsi"/>
          <w:sz w:val="24"/>
          <w:szCs w:val="24"/>
        </w:rPr>
      </w:pPr>
    </w:p>
    <w:p w14:paraId="3E4179D2" w14:textId="3275DB42" w:rsidR="0017592D" w:rsidRPr="00845A8C" w:rsidRDefault="0017592D" w:rsidP="00845A8C">
      <w:pPr>
        <w:spacing w:after="0"/>
        <w:jc w:val="both"/>
        <w:rPr>
          <w:rFonts w:cstheme="minorHAnsi"/>
          <w:i/>
          <w:iCs/>
          <w:sz w:val="24"/>
          <w:szCs w:val="24"/>
        </w:rPr>
      </w:pPr>
      <w:r w:rsidRPr="00845A8C">
        <w:rPr>
          <w:rFonts w:cstheme="minorHAnsi"/>
          <w:i/>
          <w:iCs/>
          <w:sz w:val="24"/>
          <w:szCs w:val="24"/>
        </w:rPr>
        <w:t>Outcomes</w:t>
      </w:r>
    </w:p>
    <w:p w14:paraId="70EB4660" w14:textId="0889DAD8" w:rsidR="0017592D" w:rsidRPr="00845A8C" w:rsidRDefault="0017592D" w:rsidP="00845A8C">
      <w:pPr>
        <w:spacing w:after="0"/>
        <w:jc w:val="both"/>
        <w:rPr>
          <w:rFonts w:cstheme="minorHAnsi"/>
          <w:sz w:val="24"/>
          <w:szCs w:val="24"/>
        </w:rPr>
      </w:pPr>
      <w:r w:rsidRPr="00845A8C">
        <w:rPr>
          <w:rFonts w:cstheme="minorHAnsi"/>
          <w:sz w:val="24"/>
          <w:szCs w:val="24"/>
        </w:rPr>
        <w:t>Health-related quality-of-life outcome was measured using the EQ-5D Tool</w:t>
      </w:r>
      <w:r w:rsidR="00845A8C" w:rsidRPr="00845A8C">
        <w:rPr>
          <w:rFonts w:cstheme="minorHAnsi"/>
          <w:sz w:val="24"/>
          <w:szCs w:val="24"/>
        </w:rPr>
        <w:t xml:space="preserve"> </w:t>
      </w:r>
      <w:r w:rsidR="00845A8C" w:rsidRPr="00845A8C">
        <w:rPr>
          <w:rFonts w:cstheme="minorHAnsi"/>
          <w:sz w:val="24"/>
          <w:szCs w:val="24"/>
        </w:rPr>
        <w:fldChar w:fldCharType="begin" w:fldLock="1"/>
      </w:r>
      <w:r w:rsidR="00771898">
        <w:rPr>
          <w:rFonts w:cstheme="minorHAnsi"/>
          <w:sz w:val="24"/>
          <w:szCs w:val="24"/>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(33)","plainTextFormattedCitation":"(33)","previouslyFormattedCitation":"(33)"},"properties":{"noteIndex":0},"schema":"https://github.com/citation-style-language/schema/raw/master/csl-citation.json"}</w:instrText>
      </w:r>
      <w:r w:rsidR="00845A8C" w:rsidRPr="00845A8C">
        <w:rPr>
          <w:rFonts w:cstheme="minorHAnsi"/>
          <w:sz w:val="24"/>
          <w:szCs w:val="24"/>
        </w:rPr>
        <w:fldChar w:fldCharType="separate"/>
      </w:r>
      <w:r w:rsidR="00771898" w:rsidRPr="00771898">
        <w:rPr>
          <w:rFonts w:cstheme="minorHAnsi"/>
          <w:noProof/>
          <w:sz w:val="24"/>
          <w:szCs w:val="24"/>
        </w:rPr>
        <w:t>(33)</w:t>
      </w:r>
      <w:r w:rsidR="00845A8C" w:rsidRPr="00845A8C">
        <w:rPr>
          <w:rFonts w:cstheme="minorHAnsi"/>
          <w:sz w:val="24"/>
          <w:szCs w:val="24"/>
        </w:rPr>
        <w:fldChar w:fldCharType="end"/>
      </w:r>
      <w:r w:rsidR="00845A8C" w:rsidRPr="00845A8C">
        <w:rPr>
          <w:rFonts w:cstheme="minorHAnsi"/>
          <w:sz w:val="24"/>
          <w:szCs w:val="24"/>
        </w:rPr>
        <w:t>.</w:t>
      </w:r>
      <w:r w:rsidRPr="00845A8C">
        <w:rPr>
          <w:rFonts w:cstheme="minorHAnsi"/>
          <w:sz w:val="24"/>
          <w:szCs w:val="24"/>
        </w:rPr>
        <w:t xml:space="preserve"> EQ-5D is a standardized measure of quality of life using five dimensions: mobility, self-care, usual activities, pain/discomfort, and anxiety/depression. Each dimension in the tool has three levels: no problems, some problems, and extreme problems. Additionally, there is a visual analog scale (VAS) The patients were followed up at 3-months. EQ-5D tool can be administered over the telephone and has translations available in multiple Indian languages</w:t>
      </w:r>
      <w:r w:rsidR="00845A8C" w:rsidRPr="00845A8C">
        <w:rPr>
          <w:rFonts w:cstheme="minorHAnsi"/>
          <w:sz w:val="24"/>
          <w:szCs w:val="24"/>
        </w:rPr>
        <w:t xml:space="preserve"> </w:t>
      </w:r>
      <w:r w:rsidR="00845A8C" w:rsidRPr="00845A8C">
        <w:rPr>
          <w:rFonts w:cstheme="minorHAnsi"/>
          <w:sz w:val="24"/>
          <w:szCs w:val="24"/>
        </w:rPr>
        <w:fldChar w:fldCharType="begin" w:fldLock="1"/>
      </w:r>
      <w:r w:rsidR="00771898">
        <w:rPr>
          <w:rFonts w:cstheme="minorHAnsi"/>
          <w:sz w:val="24"/>
          <w:szCs w:val="24"/>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(33)","plainTextFormattedCitation":"(33)","previouslyFormattedCitation":"(33)"},"properties":{"noteIndex":0},"schema":"https://github.com/citation-style-language/schema/raw/master/csl-citation.json"}</w:instrText>
      </w:r>
      <w:r w:rsidR="00845A8C" w:rsidRPr="00845A8C">
        <w:rPr>
          <w:rFonts w:cstheme="minorHAnsi"/>
          <w:sz w:val="24"/>
          <w:szCs w:val="24"/>
        </w:rPr>
        <w:fldChar w:fldCharType="separate"/>
      </w:r>
      <w:r w:rsidR="00771898" w:rsidRPr="00771898">
        <w:rPr>
          <w:rFonts w:cstheme="minorHAnsi"/>
          <w:noProof/>
          <w:sz w:val="24"/>
          <w:szCs w:val="24"/>
        </w:rPr>
        <w:t>(33)</w:t>
      </w:r>
      <w:r w:rsidR="00845A8C" w:rsidRPr="00845A8C">
        <w:rPr>
          <w:rFonts w:cstheme="minorHAnsi"/>
          <w:sz w:val="24"/>
          <w:szCs w:val="24"/>
        </w:rPr>
        <w:fldChar w:fldCharType="end"/>
      </w:r>
      <w:r w:rsidR="00845A8C" w:rsidRPr="00845A8C">
        <w:rPr>
          <w:rFonts w:cstheme="minorHAnsi"/>
          <w:sz w:val="24"/>
          <w:szCs w:val="24"/>
        </w:rPr>
        <w:t>.</w:t>
      </w:r>
    </w:p>
    <w:p w14:paraId="0CF7CFF5" w14:textId="77777777" w:rsidR="0017592D" w:rsidRPr="00845A8C" w:rsidRDefault="0017592D" w:rsidP="0045461C">
      <w:pPr>
        <w:spacing w:after="0"/>
        <w:rPr>
          <w:rFonts w:cstheme="minorHAnsi"/>
          <w:sz w:val="24"/>
          <w:szCs w:val="24"/>
        </w:rPr>
      </w:pPr>
    </w:p>
    <w:p w14:paraId="70A781B9" w14:textId="36195819" w:rsidR="0017592D" w:rsidRPr="00D158F7" w:rsidRDefault="0017592D" w:rsidP="0017592D">
      <w:pPr>
        <w:rPr>
          <w:rFonts w:cstheme="minorHAnsi"/>
          <w:i/>
          <w:iCs/>
          <w:sz w:val="24"/>
          <w:szCs w:val="24"/>
        </w:rPr>
      </w:pPr>
      <w:r w:rsidRPr="00845A8C">
        <w:rPr>
          <w:rFonts w:cstheme="minorHAnsi"/>
          <w:i/>
          <w:iCs/>
          <w:sz w:val="24"/>
          <w:szCs w:val="24"/>
        </w:rPr>
        <w:t>Table 1: Description of study variables and outcomes</w:t>
      </w:r>
    </w:p>
    <w:tbl>
      <w:tblPr>
        <w:tblStyle w:val="PlainTable4"/>
        <w:tblW w:w="0" w:type="auto"/>
        <w:tblLook w:val="04A0" w:firstRow="1" w:lastRow="0" w:firstColumn="1" w:lastColumn="0" w:noHBand="0" w:noVBand="1"/>
      </w:tblPr>
      <w:tblGrid>
        <w:gridCol w:w="4508"/>
        <w:gridCol w:w="4508"/>
      </w:tblGrid>
      <w:tr w:rsidR="0017592D" w:rsidRPr="00845A8C" w14:paraId="0ACECF89" w14:textId="77777777" w:rsidTr="00175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A15937" w14:textId="7D1D0C52" w:rsidR="0017592D" w:rsidRPr="00845A8C" w:rsidRDefault="0017592D" w:rsidP="0017592D">
            <w:pPr>
              <w:rPr>
                <w:rFonts w:cstheme="minorHAnsi"/>
                <w:sz w:val="24"/>
                <w:szCs w:val="24"/>
              </w:rPr>
            </w:pPr>
            <w:r w:rsidRPr="00845A8C">
              <w:rPr>
                <w:rFonts w:cstheme="minorHAnsi"/>
                <w:sz w:val="24"/>
                <w:szCs w:val="24"/>
              </w:rPr>
              <w:t>Name</w:t>
            </w:r>
          </w:p>
        </w:tc>
        <w:tc>
          <w:tcPr>
            <w:tcW w:w="4508" w:type="dxa"/>
          </w:tcPr>
          <w:p w14:paraId="4CE86746" w14:textId="2CDF5CE2" w:rsidR="0017592D" w:rsidRPr="00845A8C" w:rsidRDefault="0017592D" w:rsidP="0017592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 xml:space="preserve">Description </w:t>
            </w:r>
          </w:p>
        </w:tc>
      </w:tr>
      <w:tr w:rsidR="0017592D" w:rsidRPr="00845A8C" w14:paraId="51CA9D7B"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B6BCDFF" w14:textId="48321CF5" w:rsidR="0017592D" w:rsidRPr="00845A8C" w:rsidRDefault="0017592D" w:rsidP="0017592D">
            <w:pPr>
              <w:rPr>
                <w:rFonts w:cstheme="minorHAnsi"/>
                <w:i/>
                <w:iCs/>
                <w:sz w:val="24"/>
                <w:szCs w:val="24"/>
              </w:rPr>
            </w:pPr>
            <w:r w:rsidRPr="00845A8C">
              <w:rPr>
                <w:rFonts w:cstheme="minorHAnsi"/>
                <w:i/>
                <w:iCs/>
                <w:sz w:val="24"/>
                <w:szCs w:val="24"/>
              </w:rPr>
              <w:t xml:space="preserve">Variables </w:t>
            </w:r>
          </w:p>
        </w:tc>
      </w:tr>
      <w:tr w:rsidR="0017592D" w:rsidRPr="00845A8C" w14:paraId="369F62D7"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3AFC6BD9" w14:textId="677EA1DE" w:rsidR="0017592D" w:rsidRPr="00845A8C" w:rsidRDefault="0017592D" w:rsidP="0017592D">
            <w:pPr>
              <w:rPr>
                <w:rFonts w:cstheme="minorHAnsi"/>
                <w:sz w:val="24"/>
                <w:szCs w:val="24"/>
              </w:rPr>
            </w:pPr>
            <w:r w:rsidRPr="00845A8C">
              <w:rPr>
                <w:rFonts w:cstheme="minorHAnsi"/>
                <w:sz w:val="24"/>
                <w:szCs w:val="24"/>
              </w:rPr>
              <w:t xml:space="preserve">Age   </w:t>
            </w:r>
          </w:p>
        </w:tc>
        <w:tc>
          <w:tcPr>
            <w:tcW w:w="4508" w:type="dxa"/>
          </w:tcPr>
          <w:p w14:paraId="00C23CB3" w14:textId="3D419948"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Patient's age rounded up to closest whole year</w:t>
            </w:r>
          </w:p>
        </w:tc>
      </w:tr>
      <w:tr w:rsidR="0017592D" w:rsidRPr="00845A8C" w14:paraId="3CC5B889"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9F9459" w14:textId="7E4F3FCA" w:rsidR="0017592D" w:rsidRPr="00845A8C" w:rsidRDefault="0017592D" w:rsidP="0017592D">
            <w:pPr>
              <w:rPr>
                <w:rFonts w:cstheme="minorHAnsi"/>
                <w:sz w:val="24"/>
                <w:szCs w:val="24"/>
              </w:rPr>
            </w:pPr>
            <w:r w:rsidRPr="00845A8C">
              <w:rPr>
                <w:rFonts w:cstheme="minorHAnsi"/>
                <w:sz w:val="24"/>
                <w:szCs w:val="24"/>
              </w:rPr>
              <w:t xml:space="preserve">Sex    </w:t>
            </w:r>
          </w:p>
        </w:tc>
        <w:tc>
          <w:tcPr>
            <w:tcW w:w="4508" w:type="dxa"/>
          </w:tcPr>
          <w:p w14:paraId="70EB0AE9" w14:textId="77777777"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Patient's sex:</w:t>
            </w:r>
          </w:p>
          <w:p w14:paraId="1C70BFE5" w14:textId="77777777"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Female</w:t>
            </w:r>
          </w:p>
          <w:p w14:paraId="540AC8C9" w14:textId="4C795FA3"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Male</w:t>
            </w:r>
          </w:p>
        </w:tc>
      </w:tr>
      <w:tr w:rsidR="0017592D" w:rsidRPr="00845A8C" w14:paraId="633C3FF8"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084540BB" w14:textId="49E96879" w:rsidR="0017592D" w:rsidRPr="00845A8C" w:rsidRDefault="0017592D" w:rsidP="0017592D">
            <w:pPr>
              <w:rPr>
                <w:rFonts w:cstheme="minorHAnsi"/>
                <w:sz w:val="24"/>
                <w:szCs w:val="24"/>
              </w:rPr>
            </w:pPr>
            <w:r w:rsidRPr="00845A8C">
              <w:rPr>
                <w:rFonts w:cstheme="minorHAnsi"/>
                <w:sz w:val="24"/>
                <w:szCs w:val="24"/>
              </w:rPr>
              <w:t>Vital Signs</w:t>
            </w:r>
          </w:p>
        </w:tc>
        <w:tc>
          <w:tcPr>
            <w:tcW w:w="4508" w:type="dxa"/>
          </w:tcPr>
          <w:p w14:paraId="63D0FB0E" w14:textId="1259AA58"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Systolic blood pressure (SBP), respiratory rate (RR), heart rate (HR), oxygen saturation (SPO), and Glasgow Coma Scale (GCS)</w:t>
            </w:r>
          </w:p>
        </w:tc>
      </w:tr>
      <w:tr w:rsidR="0017592D" w:rsidRPr="00845A8C" w14:paraId="7DBBAE89"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EFEEA" w14:textId="684BA14D" w:rsidR="0017592D" w:rsidRPr="00845A8C" w:rsidRDefault="0017592D" w:rsidP="0017592D">
            <w:pPr>
              <w:rPr>
                <w:rFonts w:cstheme="minorHAnsi"/>
                <w:sz w:val="24"/>
                <w:szCs w:val="24"/>
              </w:rPr>
            </w:pPr>
            <w:r w:rsidRPr="00845A8C">
              <w:rPr>
                <w:rFonts w:cstheme="minorHAnsi"/>
                <w:sz w:val="24"/>
                <w:szCs w:val="24"/>
              </w:rPr>
              <w:t xml:space="preserve">Injury </w:t>
            </w:r>
            <w:r w:rsidR="00B55B5B" w:rsidRPr="00845A8C">
              <w:rPr>
                <w:rFonts w:cstheme="minorHAnsi"/>
                <w:sz w:val="24"/>
                <w:szCs w:val="24"/>
              </w:rPr>
              <w:t>Etiology</w:t>
            </w:r>
          </w:p>
        </w:tc>
        <w:tc>
          <w:tcPr>
            <w:tcW w:w="4508" w:type="dxa"/>
          </w:tcPr>
          <w:p w14:paraId="5236071C" w14:textId="72DAE2D6"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Mode of transport, type of injury, mechanism of injury</w:t>
            </w:r>
          </w:p>
        </w:tc>
      </w:tr>
      <w:tr w:rsidR="0017592D" w:rsidRPr="00845A8C" w14:paraId="7FE4E653"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2423B728" w14:textId="1F59F4EE" w:rsidR="0017592D" w:rsidRPr="00845A8C" w:rsidRDefault="0017592D" w:rsidP="0017592D">
            <w:pPr>
              <w:rPr>
                <w:rFonts w:cstheme="minorHAnsi"/>
                <w:sz w:val="24"/>
                <w:szCs w:val="24"/>
              </w:rPr>
            </w:pPr>
            <w:r w:rsidRPr="00845A8C">
              <w:rPr>
                <w:rFonts w:cstheme="minorHAnsi"/>
                <w:sz w:val="24"/>
                <w:szCs w:val="24"/>
              </w:rPr>
              <w:t>Injury Severity</w:t>
            </w:r>
          </w:p>
        </w:tc>
        <w:tc>
          <w:tcPr>
            <w:tcW w:w="4508" w:type="dxa"/>
          </w:tcPr>
          <w:p w14:paraId="093636E7" w14:textId="1B8F573A"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Injury Severity Score</w:t>
            </w:r>
          </w:p>
        </w:tc>
      </w:tr>
      <w:tr w:rsidR="0017592D" w:rsidRPr="00845A8C" w14:paraId="2DDCC7E9" w14:textId="77777777" w:rsidTr="00D6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B65077B" w14:textId="408FFB6A" w:rsidR="0017592D" w:rsidRPr="00845A8C" w:rsidRDefault="0017592D" w:rsidP="0017592D">
            <w:pPr>
              <w:rPr>
                <w:rFonts w:cstheme="minorHAnsi"/>
                <w:i/>
                <w:iCs/>
                <w:sz w:val="24"/>
                <w:szCs w:val="24"/>
              </w:rPr>
            </w:pPr>
            <w:r w:rsidRPr="00845A8C">
              <w:rPr>
                <w:rFonts w:cstheme="minorHAnsi"/>
                <w:i/>
                <w:iCs/>
                <w:sz w:val="24"/>
                <w:szCs w:val="24"/>
              </w:rPr>
              <w:t>Outcomes</w:t>
            </w:r>
          </w:p>
        </w:tc>
      </w:tr>
      <w:tr w:rsidR="0017592D" w:rsidRPr="00845A8C" w14:paraId="76E1BF9F"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63CC87F6" w14:textId="45689D5A" w:rsidR="0017592D" w:rsidRPr="00845A8C" w:rsidRDefault="0017592D" w:rsidP="0017592D">
            <w:pPr>
              <w:rPr>
                <w:rFonts w:cstheme="minorHAnsi"/>
                <w:sz w:val="24"/>
                <w:szCs w:val="24"/>
              </w:rPr>
            </w:pPr>
            <w:r w:rsidRPr="00845A8C">
              <w:rPr>
                <w:rFonts w:cstheme="minorHAnsi"/>
                <w:sz w:val="24"/>
                <w:szCs w:val="24"/>
              </w:rPr>
              <w:lastRenderedPageBreak/>
              <w:t>Quality of Life</w:t>
            </w:r>
          </w:p>
        </w:tc>
        <w:tc>
          <w:tcPr>
            <w:tcW w:w="4508" w:type="dxa"/>
          </w:tcPr>
          <w:p w14:paraId="3888E5B9" w14:textId="3F28A2DC"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The participant's reply to the EQ-5D questionnaire and VAS on health state at 3 months after arrival at the study site.</w:t>
            </w:r>
          </w:p>
        </w:tc>
      </w:tr>
    </w:tbl>
    <w:p w14:paraId="351092DD" w14:textId="77777777" w:rsidR="0017592D" w:rsidRPr="00845A8C" w:rsidRDefault="0017592D" w:rsidP="0017592D">
      <w:pPr>
        <w:rPr>
          <w:rFonts w:cstheme="minorHAnsi"/>
          <w:sz w:val="24"/>
          <w:szCs w:val="24"/>
        </w:rPr>
      </w:pPr>
    </w:p>
    <w:p w14:paraId="15BA263D" w14:textId="77777777" w:rsidR="00845A8C" w:rsidRDefault="0017592D" w:rsidP="00845A8C">
      <w:pPr>
        <w:spacing w:after="0"/>
        <w:jc w:val="both"/>
        <w:rPr>
          <w:rFonts w:cstheme="minorHAnsi"/>
          <w:i/>
          <w:iCs/>
          <w:sz w:val="24"/>
          <w:szCs w:val="24"/>
        </w:rPr>
      </w:pPr>
      <w:r w:rsidRPr="00845A8C">
        <w:rPr>
          <w:rFonts w:cstheme="minorHAnsi"/>
          <w:i/>
          <w:iCs/>
          <w:sz w:val="24"/>
          <w:szCs w:val="24"/>
        </w:rPr>
        <w:t>Data Source</w:t>
      </w:r>
    </w:p>
    <w:p w14:paraId="238AA8FE" w14:textId="703E0106" w:rsidR="0017592D" w:rsidRPr="00845A8C" w:rsidRDefault="0017592D" w:rsidP="00845A8C">
      <w:pPr>
        <w:spacing w:after="0"/>
        <w:jc w:val="both"/>
        <w:rPr>
          <w:rFonts w:cstheme="minorHAnsi"/>
          <w:i/>
          <w:iCs/>
          <w:sz w:val="24"/>
          <w:szCs w:val="24"/>
        </w:rPr>
      </w:pPr>
      <w:r w:rsidRPr="00845A8C">
        <w:rPr>
          <w:rFonts w:cstheme="minorHAnsi"/>
          <w:sz w:val="24"/>
          <w:szCs w:val="24"/>
        </w:rPr>
        <w:t>Data was collected by one dedicated independent project officer in each of the hospitals who prospectively gather data on a standardized intake form for eight hours per day, five days a week, by directly observing the staff delivering trauma care. Vital signs such as systolic blood pressure, heart-rate, and oxygen saturation was recorded by the project officer independently.  The project officer was rotated daily through each eight-hour shift in the morning, evening and night. Data for the variables was collected from patient records, or from the patient or patient representatives when they are at the hospital. Additionally, the project officer followed the patient or the patient relatives at 3-months after discharge by telephone the for information on the outcomes and any missed variables.</w:t>
      </w:r>
    </w:p>
    <w:p w14:paraId="1981D964" w14:textId="77777777" w:rsidR="0017592D" w:rsidRPr="00845A8C" w:rsidRDefault="0017592D" w:rsidP="00845A8C">
      <w:pPr>
        <w:spacing w:after="0"/>
        <w:jc w:val="both"/>
        <w:rPr>
          <w:rFonts w:cstheme="minorHAnsi"/>
          <w:sz w:val="24"/>
          <w:szCs w:val="24"/>
        </w:rPr>
      </w:pPr>
    </w:p>
    <w:p w14:paraId="257D7EE3" w14:textId="77777777" w:rsidR="0017592D" w:rsidRPr="00845A8C" w:rsidRDefault="0017592D" w:rsidP="00845A8C">
      <w:pPr>
        <w:spacing w:after="0"/>
        <w:jc w:val="both"/>
        <w:rPr>
          <w:rFonts w:cstheme="minorHAnsi"/>
          <w:i/>
          <w:iCs/>
          <w:sz w:val="24"/>
          <w:szCs w:val="24"/>
        </w:rPr>
      </w:pPr>
      <w:r w:rsidRPr="00845A8C">
        <w:rPr>
          <w:rFonts w:cstheme="minorHAnsi"/>
          <w:i/>
          <w:iCs/>
          <w:sz w:val="24"/>
          <w:szCs w:val="24"/>
        </w:rPr>
        <w:t>Bias</w:t>
      </w:r>
    </w:p>
    <w:p w14:paraId="3A9F039B" w14:textId="77777777" w:rsidR="0017592D" w:rsidRPr="00845A8C" w:rsidRDefault="0017592D" w:rsidP="00845A8C">
      <w:pPr>
        <w:spacing w:after="0"/>
        <w:jc w:val="both"/>
        <w:rPr>
          <w:rFonts w:cstheme="minorHAnsi"/>
          <w:sz w:val="24"/>
          <w:szCs w:val="24"/>
        </w:rPr>
      </w:pPr>
      <w:r w:rsidRPr="00845A8C">
        <w:rPr>
          <w:rFonts w:cstheme="minorHAnsi"/>
          <w:sz w:val="24"/>
          <w:szCs w:val="24"/>
        </w:rPr>
        <w:t>There could be bias in collection of data and recording of vital signs used to calculate injury severity. Adequate training of the project officers, periodic quality control of the data with external project officers and weekly online review meetings was done to reduce this bias.</w:t>
      </w:r>
    </w:p>
    <w:p w14:paraId="015A26BB" w14:textId="77777777" w:rsidR="0017592D" w:rsidRPr="00845A8C" w:rsidRDefault="0017592D" w:rsidP="00845A8C">
      <w:pPr>
        <w:spacing w:after="0"/>
        <w:jc w:val="both"/>
        <w:rPr>
          <w:rFonts w:cstheme="minorHAnsi"/>
          <w:sz w:val="24"/>
          <w:szCs w:val="24"/>
        </w:rPr>
      </w:pPr>
    </w:p>
    <w:p w14:paraId="7C9B1429" w14:textId="6C86F640" w:rsidR="0017592D" w:rsidRPr="00845A8C" w:rsidRDefault="0017592D" w:rsidP="00845A8C">
      <w:pPr>
        <w:spacing w:after="0"/>
        <w:jc w:val="both"/>
        <w:rPr>
          <w:rFonts w:cstheme="minorHAnsi"/>
          <w:sz w:val="24"/>
          <w:szCs w:val="24"/>
        </w:rPr>
      </w:pPr>
      <w:r w:rsidRPr="00845A8C">
        <w:rPr>
          <w:rFonts w:cstheme="minorHAnsi"/>
          <w:i/>
          <w:iCs/>
          <w:sz w:val="24"/>
          <w:szCs w:val="24"/>
        </w:rPr>
        <w:t>Statistical Methods</w:t>
      </w:r>
    </w:p>
    <w:p w14:paraId="04B6DC1D" w14:textId="4B437FA2" w:rsidR="0017592D" w:rsidRPr="00845A8C" w:rsidRDefault="00811312" w:rsidP="00845A8C">
      <w:pPr>
        <w:spacing w:after="0"/>
        <w:jc w:val="both"/>
        <w:rPr>
          <w:rFonts w:cstheme="minorHAnsi"/>
          <w:sz w:val="24"/>
          <w:szCs w:val="24"/>
        </w:rPr>
      </w:pPr>
      <w:r w:rsidRPr="00811312">
        <w:rPr>
          <w:rFonts w:cstheme="minorHAnsi"/>
          <w:sz w:val="24"/>
          <w:szCs w:val="24"/>
        </w:rPr>
        <w:t xml:space="preserve">In this study we divided study population into three groups: young adults-18-32 years, </w:t>
      </w:r>
      <w:r w:rsidR="002C11E8" w:rsidRPr="00811312">
        <w:rPr>
          <w:rFonts w:cstheme="minorHAnsi"/>
          <w:sz w:val="24"/>
          <w:szCs w:val="24"/>
        </w:rPr>
        <w:t>middle</w:t>
      </w:r>
      <w:r w:rsidRPr="00811312">
        <w:rPr>
          <w:rFonts w:cstheme="minorHAnsi"/>
          <w:sz w:val="24"/>
          <w:szCs w:val="24"/>
        </w:rPr>
        <w:t xml:space="preserve">-aged adults-33-59 years, and old adults-60 years and above. We used multivariate linear regression to study the association of age and gender with the EQ-5D VAS score and multivariate ordinal logistic regression was used to measure the association with the different domains of EQ-5D which have multilevel responses. In order study the interaction between age and gender, we used the interaction term which was the product of age and gender (gender * age groups) </w:t>
      </w:r>
      <w:r w:rsidR="002C11E8">
        <w:rPr>
          <w:rFonts w:cstheme="minorHAnsi"/>
          <w:sz w:val="24"/>
          <w:szCs w:val="24"/>
        </w:rPr>
        <w:fldChar w:fldCharType="begin" w:fldLock="1"/>
      </w:r>
      <w:r w:rsidR="002C11E8">
        <w:rPr>
          <w:rFonts w:cstheme="minorHAnsi"/>
          <w:sz w:val="24"/>
          <w:szCs w:val="24"/>
        </w:rPr>
        <w:instrText>ADDIN CSL_CITATION {"citationItems":[{"id":"ITEM-1","itemData":{"DOI":"10.1016/j.ssmph.2016.04.011","ISSN":"23528273","PMID":"28111630","abstract":"Historically,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Health","id":"ITEM-1","issued":{"date-parts":[["2016"]]},"page":"425-435","publisher":"Elsevier","title":"(En)gendering racial disparities in health trajectories: A life course and intersectional analysis","type":"article-journal","volume":"2"},"uris":["http://www.mendeley.com/documents/?uuid=5e01eb48-d429-43d7-a60d-eee5cb0d60d9"]}],"mendeley":{"formattedCitation":"(26)","plainTextFormattedCitation":"(26)","previouslyFormattedCitation":"(26)"},"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(26)</w:t>
      </w:r>
      <w:r w:rsidR="002C11E8">
        <w:rPr>
          <w:rFonts w:cstheme="minorHAnsi"/>
          <w:sz w:val="24"/>
          <w:szCs w:val="24"/>
        </w:rPr>
        <w:fldChar w:fldCharType="end"/>
      </w:r>
      <w:r w:rsidR="002C11E8">
        <w:rPr>
          <w:rFonts w:cstheme="minorHAnsi"/>
          <w:sz w:val="24"/>
          <w:szCs w:val="24"/>
        </w:rPr>
        <w:t xml:space="preserve">. </w:t>
      </w:r>
      <w:r w:rsidR="002C11E8" w:rsidRPr="002C11E8">
        <w:rPr>
          <w:rFonts w:cstheme="minorHAnsi"/>
          <w:sz w:val="24"/>
          <w:szCs w:val="24"/>
        </w:rPr>
        <w:t>In order to account for the effects of multicollinearity we calculated the variance inflation factor (VIF) and we centered those variables having a value above 5 were centered by subtracting the mean. The statistical software R was used for all statistical analyses We estimated 95% confidence intervals and denote associations with a p-value of less than 0.05 as statistically significant</w:t>
      </w:r>
      <w:r w:rsidR="002C11E8">
        <w:rPr>
          <w:rFonts w:cstheme="minorHAnsi"/>
          <w:sz w:val="24"/>
          <w:szCs w:val="24"/>
        </w:rPr>
        <w:t xml:space="preserve"> </w:t>
      </w:r>
      <w:r w:rsidR="002C11E8">
        <w:rPr>
          <w:rFonts w:cstheme="minorHAnsi"/>
          <w:sz w:val="24"/>
          <w:szCs w:val="24"/>
        </w:rPr>
        <w:fldChar w:fldCharType="begin" w:fldLock="1"/>
      </w:r>
      <w:r w:rsidR="002C11E8">
        <w:rPr>
          <w:rFonts w:cstheme="minorHAnsi"/>
          <w:sz w:val="24"/>
          <w:szCs w:val="24"/>
        </w:rPr>
        <w:instrText>ADDIN CSL_CITATION {"citationItems":[{"id":"ITEM-1","itemData":{"author":[{"dropping-particle":"","family":"Carey","given":"Gregory","non-dropping-particle":"","parse-names":false,"suffix":""}],"id":"ITEM-1","issued":{"date-parts":[["2013"]]},"publisher":"Department of Psychology and Neuroscience, University of Colorado","publisher-place":"Boulder, CO, USA","title":"Quantitative Methods In Neuroscience","type":"book"},"uris":["http://www.mendeley.com/documents/?uuid=467c476f-e5e5-48d1-963a-467b8aea906d"]}],"mendeley":{"formattedCitation":"(34)","plainTextFormattedCitation":"(34)","previouslyFormattedCitation":"(34)"},"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(34)</w:t>
      </w:r>
      <w:r w:rsidR="002C11E8">
        <w:rPr>
          <w:rFonts w:cstheme="minorHAnsi"/>
          <w:sz w:val="24"/>
          <w:szCs w:val="24"/>
        </w:rPr>
        <w:fldChar w:fldCharType="end"/>
      </w:r>
      <w:r w:rsidR="002C11E8" w:rsidRPr="002C11E8">
        <w:rPr>
          <w:rFonts w:cstheme="minorHAnsi"/>
          <w:sz w:val="24"/>
          <w:szCs w:val="24"/>
        </w:rPr>
        <w:t>. The statistical software R was used for all statistical analyses</w:t>
      </w:r>
      <w:r w:rsidR="002C11E8">
        <w:rPr>
          <w:rFonts w:cstheme="minorHAnsi"/>
          <w:sz w:val="24"/>
          <w:szCs w:val="24"/>
        </w:rPr>
        <w:t xml:space="preserve"> </w:t>
      </w:r>
      <w:r w:rsidR="002C11E8">
        <w:rPr>
          <w:rFonts w:cstheme="minorHAnsi"/>
          <w:sz w:val="24"/>
          <w:szCs w:val="24"/>
        </w:rPr>
        <w:fldChar w:fldCharType="begin" w:fldLock="1"/>
      </w:r>
      <w:r w:rsidR="00C02295">
        <w:rPr>
          <w:rFonts w:cstheme="minorHAnsi"/>
          <w:sz w:val="24"/>
          <w:szCs w:val="24"/>
        </w:rPr>
        <w:instrText>ADDIN CSL_CITATION {"citationItems":[{"id":"ITEM-1","itemData":{"author":[{"dropping-particle":"","family":"R Core Team","given":"","non-dropping-particle":"","parse-names":false,"suffix":""}],"id":"ITEM-1","issued":{"date-parts":[["2018"]]},"number":"2015","publisher":"R Foundation for Statistical Computing","publisher-place":"Vienna, Austria","title":"R: A language and environment for statistical computing","type":"article"},"uris":["http://www.mendeley.com/documents/?uuid=9bcc5f58-1db9-4f03-ba3d-3697bde222d2"]}],"mendeley":{"formattedCitation":"(35)","plainTextFormattedCitation":"(35)","previouslyFormattedCitation":"(35)"},"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(35)</w:t>
      </w:r>
      <w:r w:rsidR="002C11E8">
        <w:rPr>
          <w:rFonts w:cstheme="minorHAnsi"/>
          <w:sz w:val="24"/>
          <w:szCs w:val="24"/>
        </w:rPr>
        <w:fldChar w:fldCharType="end"/>
      </w:r>
      <w:r w:rsidR="002C11E8" w:rsidRPr="002C11E8">
        <w:rPr>
          <w:rFonts w:cstheme="minorHAnsi"/>
          <w:sz w:val="24"/>
          <w:szCs w:val="24"/>
        </w:rPr>
        <w:t xml:space="preserve">. </w:t>
      </w:r>
    </w:p>
    <w:p w14:paraId="7626F6BC" w14:textId="77777777" w:rsidR="0017592D" w:rsidRPr="00845A8C" w:rsidRDefault="0017592D" w:rsidP="00845A8C">
      <w:pPr>
        <w:spacing w:after="0"/>
        <w:jc w:val="both"/>
        <w:rPr>
          <w:rFonts w:cstheme="minorHAnsi"/>
          <w:sz w:val="24"/>
          <w:szCs w:val="24"/>
        </w:rPr>
      </w:pPr>
    </w:p>
    <w:p w14:paraId="2617762A" w14:textId="33E333D7" w:rsidR="0017592D" w:rsidRPr="00845A8C" w:rsidRDefault="0017592D" w:rsidP="00845A8C">
      <w:pPr>
        <w:spacing w:after="0"/>
        <w:jc w:val="both"/>
        <w:rPr>
          <w:rFonts w:cstheme="minorHAnsi"/>
          <w:sz w:val="24"/>
          <w:szCs w:val="24"/>
        </w:rPr>
      </w:pPr>
      <w:r w:rsidRPr="006F3DD1">
        <w:rPr>
          <w:rFonts w:cstheme="minorHAnsi"/>
          <w:i/>
          <w:iCs/>
          <w:sz w:val="24"/>
          <w:szCs w:val="24"/>
        </w:rPr>
        <w:t>Study Size</w:t>
      </w:r>
    </w:p>
    <w:p w14:paraId="671DA2A6" w14:textId="2AFB9EC9" w:rsidR="0017592D" w:rsidRDefault="00624BB9" w:rsidP="00845A8C">
      <w:pPr>
        <w:spacing w:after="0"/>
        <w:jc w:val="both"/>
        <w:rPr>
          <w:rFonts w:cstheme="minorHAnsi"/>
          <w:sz w:val="24"/>
          <w:szCs w:val="24"/>
        </w:rPr>
      </w:pPr>
      <w:r w:rsidRPr="00624BB9">
        <w:rPr>
          <w:rFonts w:cstheme="minorHAnsi"/>
          <w:sz w:val="24"/>
          <w:szCs w:val="24"/>
        </w:rPr>
        <w:t>The five EQ5D domains have three outcomes each. For example, the domain on mobility has: "No problems in walking about", "Some problems in walking about", "Confined to bed". for regression analysis there should be adequate observations in each of the three categories relative to the 18 predictors.</w:t>
      </w:r>
      <w:r>
        <w:rPr>
          <w:rFonts w:cstheme="minorHAnsi"/>
          <w:sz w:val="24"/>
          <w:szCs w:val="24"/>
        </w:rPr>
        <w:t xml:space="preserve"> </w:t>
      </w:r>
      <w:r w:rsidRPr="00624BB9">
        <w:rPr>
          <w:rFonts w:cstheme="minorHAnsi"/>
          <w:sz w:val="24"/>
          <w:szCs w:val="24"/>
        </w:rPr>
        <w:t xml:space="preserve">Previous studies indicate that 10 to 50 events per variable (EVP) is adequate to obtain stable estimates for logistic regression in multivariate analysis </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structure","type":"article-journal","volume":"64"},"uris":["http://www.mendeley.com/documents/?uuid=3982c255-9c5c-464d-b65c-b4f53f06f654"]},{"id":"ITEM-2","itemData":{"DOI":"10.1016/j.jclinepi.2014.12.014","ISSN":"18785921","PMID":"25704724","abstract":"Objectives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Epidemiology","id":"ITEM-2","issue":"6","issued":{"date-parts":[["2015"]]},"page":"627-636","publisher":"Elsevier Inc","title":"The number of subjects per variable required in linear regression analyses","type":"article-journal","volume":"68"},"uris":["http://www.mendeley.com/documents/?uuid=19ce2d3d-63f3-4e72-b81e-6c8d3a2b405e"]}],"mendeley":{"formattedCitation":"(36,37)","plainTextFormattedCitation":"(36,37)","previouslyFormattedCitation":"(36,37)"},"properties":{"noteIndex":0},"schema":"https://github.com/citation-style-language/schema/raw/master/csl-citation.json"}</w:instrText>
      </w:r>
      <w:r>
        <w:rPr>
          <w:rFonts w:cstheme="minorHAnsi"/>
          <w:sz w:val="24"/>
          <w:szCs w:val="24"/>
        </w:rPr>
        <w:fldChar w:fldCharType="separate"/>
      </w:r>
      <w:r w:rsidRPr="00C02295">
        <w:rPr>
          <w:rFonts w:cstheme="minorHAnsi"/>
          <w:noProof/>
          <w:sz w:val="24"/>
          <w:szCs w:val="24"/>
        </w:rPr>
        <w:t>(36,37)</w:t>
      </w:r>
      <w:r>
        <w:rPr>
          <w:rFonts w:cstheme="minorHAnsi"/>
          <w:sz w:val="24"/>
          <w:szCs w:val="24"/>
        </w:rPr>
        <w:fldChar w:fldCharType="end"/>
      </w:r>
      <w:r>
        <w:rPr>
          <w:rFonts w:cstheme="minorHAnsi"/>
          <w:sz w:val="24"/>
          <w:szCs w:val="24"/>
        </w:rPr>
        <w:t>.</w:t>
      </w:r>
      <w:r w:rsidRPr="00624BB9">
        <w:rPr>
          <w:rFonts w:cstheme="minorHAnsi"/>
          <w:sz w:val="24"/>
          <w:szCs w:val="24"/>
        </w:rPr>
        <w:t xml:space="preserve"> Preliminary review of the data showed that some outcomes categories did not have the required number of subjects and the lowest prevalence of any outcome category was 34%. Therefore, the outcomes for each domain were combined into two "Having no problems" and </w:t>
      </w:r>
      <w:r w:rsidRPr="00624BB9">
        <w:rPr>
          <w:rFonts w:cstheme="minorHAnsi"/>
          <w:sz w:val="24"/>
          <w:szCs w:val="24"/>
        </w:rPr>
        <w:lastRenderedPageBreak/>
        <w:t xml:space="preserve">"Having any problems". For an EVP 20, with the lowest prevalence across the outcome categories being 34%, we need at least 60 subjects for each predictor. Given that our model includes around 18 free parameters (Table 1), we need a minimum sample size of 1080. For linear regression there should be at least 2 subjects per variable </w:t>
      </w:r>
      <w:r>
        <w:rPr>
          <w:rFonts w:cstheme="minorHAnsi"/>
          <w:sz w:val="24"/>
          <w:szCs w:val="24"/>
        </w:rPr>
        <w:fldChar w:fldCharType="begin" w:fldLock="1"/>
      </w:r>
      <w:r>
        <w:rPr>
          <w:rFonts w:cstheme="minorHAnsi"/>
          <w:sz w:val="24"/>
          <w:szCs w:val="24"/>
        </w:rPr>
        <w:instrText>ADDIN CSL_CITATION {"citationItems":[{"id":"ITEM-1","itemData":{"DOI":"10.1016/j.jclinepi.2014.12.014","ISSN":"18785921","PMID":"25704724","abstract":"Objectives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Epidemiology","id":"ITEM-1","issue":"6","issued":{"date-parts":[["2015"]]},"page":"627-636","publisher":"Elsevier Inc","title":"The number of subjects per variable required in linear regression analyses","type":"article-journal","volume":"68"},"uris":["http://www.mendeley.com/documents/?uuid=19ce2d3d-63f3-4e72-b81e-6c8d3a2b405e"]}],"mendeley":{"formattedCitation":"(37)","plainTextFormattedCitation":"(37)","previouslyFormattedCitation":"(37)"},"properties":{"noteIndex":0},"schema":"https://github.com/citation-style-language/schema/raw/master/csl-citation.json"}</w:instrText>
      </w:r>
      <w:r>
        <w:rPr>
          <w:rFonts w:cstheme="minorHAnsi"/>
          <w:sz w:val="24"/>
          <w:szCs w:val="24"/>
        </w:rPr>
        <w:fldChar w:fldCharType="separate"/>
      </w:r>
      <w:r w:rsidRPr="00C02295">
        <w:rPr>
          <w:rFonts w:cstheme="minorHAnsi"/>
          <w:noProof/>
          <w:sz w:val="24"/>
          <w:szCs w:val="24"/>
        </w:rPr>
        <w:t>(37)</w:t>
      </w:r>
      <w:r>
        <w:rPr>
          <w:rFonts w:cstheme="minorHAnsi"/>
          <w:sz w:val="24"/>
          <w:szCs w:val="24"/>
        </w:rPr>
        <w:fldChar w:fldCharType="end"/>
      </w:r>
      <w:r w:rsidRPr="00C02295">
        <w:rPr>
          <w:rFonts w:cstheme="minorHAnsi"/>
          <w:sz w:val="24"/>
          <w:szCs w:val="24"/>
        </w:rPr>
        <w:t xml:space="preserve">. </w:t>
      </w:r>
      <w:r w:rsidRPr="00624BB9">
        <w:rPr>
          <w:rFonts w:cstheme="minorHAnsi"/>
          <w:sz w:val="24"/>
          <w:szCs w:val="24"/>
        </w:rPr>
        <w:t>Therefore, the EQ 5D VAS score analysis would require a minimum sample of 36.</w:t>
      </w:r>
    </w:p>
    <w:p w14:paraId="7D9435AA" w14:textId="77777777" w:rsidR="00C02295" w:rsidRPr="00845A8C" w:rsidRDefault="00C02295" w:rsidP="00845A8C">
      <w:pPr>
        <w:spacing w:after="0"/>
        <w:jc w:val="both"/>
        <w:rPr>
          <w:rFonts w:cstheme="minorHAnsi"/>
          <w:sz w:val="24"/>
          <w:szCs w:val="24"/>
        </w:rPr>
      </w:pPr>
    </w:p>
    <w:p w14:paraId="76F5A526" w14:textId="77777777" w:rsidR="0017592D" w:rsidRPr="006F3DD1" w:rsidRDefault="0017592D" w:rsidP="00845A8C">
      <w:pPr>
        <w:spacing w:after="0"/>
        <w:jc w:val="both"/>
        <w:rPr>
          <w:rFonts w:cstheme="minorHAnsi"/>
          <w:i/>
          <w:iCs/>
          <w:sz w:val="24"/>
          <w:szCs w:val="24"/>
        </w:rPr>
      </w:pPr>
      <w:r w:rsidRPr="006F3DD1">
        <w:rPr>
          <w:rFonts w:cstheme="minorHAnsi"/>
          <w:i/>
          <w:iCs/>
          <w:sz w:val="24"/>
          <w:szCs w:val="24"/>
        </w:rPr>
        <w:t>Ethics</w:t>
      </w:r>
    </w:p>
    <w:p w14:paraId="47E30639" w14:textId="55EF85D0" w:rsidR="0017592D" w:rsidRPr="00845A8C" w:rsidRDefault="0017592D" w:rsidP="00845A8C">
      <w:pPr>
        <w:spacing w:after="0"/>
        <w:jc w:val="both"/>
        <w:rPr>
          <w:rFonts w:cstheme="minorHAnsi"/>
          <w:sz w:val="24"/>
          <w:szCs w:val="24"/>
        </w:rPr>
      </w:pPr>
      <w:r w:rsidRPr="00845A8C">
        <w:rPr>
          <w:rFonts w:cstheme="minorHAnsi"/>
          <w:sz w:val="24"/>
          <w:szCs w:val="24"/>
        </w:rPr>
        <w:t>Ethical clearance for the data collection was obtained from the four participating hospitals as amendments to the existing ethical clearance for the on-going TAFT project (Grant Medical College &amp; Sir J.J., Group of Hospitals, Mumbai---No. IEC/Pharm/CT/111/A/2017, Dated 22nd August 2017; Institute of Post-Graduate Medical Education, Kolkata---Memo No. IPGME&amp;R/IEC/2017/396, Dated 21st August 2017; Maulana Azad Medical College, New Delhi-F.1/IEC/MAMC/(53/2/2016/No.97), Dated 3rd August 2016; St. John's Medical College, Bengaluru---No. IEC/1/671/2017, Dated 24th August, 2017). Waiver of informed consent was granted for collection of clinical data which was routinely collected for the patients, as they were all admitted after trauma, often arriving in an altered level of consciousness and in severe physical and psychological distress. The amendment granted permission to collect the additional data necessary for this study (Grant Medical College &amp; Sir J.J., Group of Hospitals, Mumbai---No. IEC/Pharm/CT/2059/2019, Dated 16th September 2019; St. John's Medical College, Bengaluru---No. IEC/1/530/2019, Dated 25th June, 2019).</w:t>
      </w:r>
    </w:p>
    <w:p w14:paraId="6B72868E" w14:textId="77777777" w:rsidR="0017592D" w:rsidRPr="00845A8C" w:rsidRDefault="0017592D" w:rsidP="00845A8C">
      <w:pPr>
        <w:spacing w:after="0"/>
        <w:jc w:val="both"/>
        <w:rPr>
          <w:rFonts w:cstheme="minorHAnsi"/>
          <w:sz w:val="24"/>
          <w:szCs w:val="24"/>
        </w:rPr>
      </w:pPr>
    </w:p>
    <w:p w14:paraId="23A0EB3A" w14:textId="77777777" w:rsidR="0017592D" w:rsidRPr="006F3DD1" w:rsidRDefault="0017592D" w:rsidP="00845A8C">
      <w:pPr>
        <w:spacing w:after="0"/>
        <w:jc w:val="both"/>
        <w:rPr>
          <w:rFonts w:cstheme="minorHAnsi"/>
          <w:i/>
          <w:iCs/>
          <w:sz w:val="24"/>
          <w:szCs w:val="24"/>
        </w:rPr>
      </w:pPr>
      <w:r w:rsidRPr="006F3DD1">
        <w:rPr>
          <w:rFonts w:cstheme="minorHAnsi"/>
          <w:i/>
          <w:iCs/>
          <w:sz w:val="24"/>
          <w:szCs w:val="24"/>
        </w:rPr>
        <w:t>Data management</w:t>
      </w:r>
    </w:p>
    <w:p w14:paraId="2AAFE397" w14:textId="1E45A67A" w:rsidR="00D158F7" w:rsidRDefault="0017592D" w:rsidP="00845A8C">
      <w:pPr>
        <w:spacing w:after="0"/>
        <w:jc w:val="both"/>
        <w:rPr>
          <w:rFonts w:cstheme="minorHAnsi"/>
          <w:sz w:val="24"/>
          <w:szCs w:val="24"/>
        </w:rPr>
      </w:pPr>
      <w:r w:rsidRPr="00845A8C">
        <w:rPr>
          <w:rFonts w:cstheme="minorHAnsi"/>
          <w:sz w:val="24"/>
          <w:szCs w:val="24"/>
        </w:rPr>
        <w:t xml:space="preserve">Each </w:t>
      </w:r>
      <w:r w:rsidR="00B55B5B" w:rsidRPr="00845A8C">
        <w:rPr>
          <w:rFonts w:cstheme="minorHAnsi"/>
          <w:sz w:val="24"/>
          <w:szCs w:val="24"/>
        </w:rPr>
        <w:t>center</w:t>
      </w:r>
      <w:r w:rsidRPr="00845A8C">
        <w:rPr>
          <w:rFonts w:cstheme="minorHAnsi"/>
          <w:sz w:val="24"/>
          <w:szCs w:val="24"/>
        </w:rPr>
        <w:t xml:space="preserve"> was assigned a </w:t>
      </w:r>
      <w:r w:rsidR="00B55B5B" w:rsidRPr="00845A8C">
        <w:rPr>
          <w:rFonts w:cstheme="minorHAnsi"/>
          <w:sz w:val="24"/>
          <w:szCs w:val="24"/>
        </w:rPr>
        <w:t>center</w:t>
      </w:r>
      <w:r w:rsidRPr="00845A8C">
        <w:rPr>
          <w:rFonts w:cstheme="minorHAnsi"/>
          <w:sz w:val="24"/>
          <w:szCs w:val="24"/>
        </w:rPr>
        <w:t xml:space="preserve"> identification number and each patient a locally unique study identification number. Project officers first entered data on paper without any personal identification data. The project officers then transferred this data to an electronic format using a dedicated data entry application. The electronic data did not include any direct identifiers such as name, hospital record number, and telephone numbers. The only way to link an electronic record to a paper intake form was by combining the record's hospital and study identification numbers. Paper forms were kept locally at each </w:t>
      </w:r>
      <w:r w:rsidR="00B55B5B" w:rsidRPr="00845A8C">
        <w:rPr>
          <w:rFonts w:cstheme="minorHAnsi"/>
          <w:sz w:val="24"/>
          <w:szCs w:val="24"/>
        </w:rPr>
        <w:t>center</w:t>
      </w:r>
      <w:r w:rsidRPr="00845A8C">
        <w:rPr>
          <w:rFonts w:cstheme="minorHAnsi"/>
          <w:sz w:val="24"/>
          <w:szCs w:val="24"/>
        </w:rPr>
        <w:t xml:space="preserve"> for the duration required by locally applicable laws and regulations, or at least five years, whichever is longest. The adequacy of their storage was the responsibility of the principal investigator at each </w:t>
      </w:r>
      <w:r w:rsidR="00B55B5B" w:rsidRPr="00845A8C">
        <w:rPr>
          <w:rFonts w:cstheme="minorHAnsi"/>
          <w:sz w:val="24"/>
          <w:szCs w:val="24"/>
        </w:rPr>
        <w:t>center</w:t>
      </w:r>
      <w:r w:rsidRPr="00845A8C">
        <w:rPr>
          <w:rFonts w:cstheme="minorHAnsi"/>
          <w:sz w:val="24"/>
          <w:szCs w:val="24"/>
        </w:rPr>
        <w:t>. Care was taken to ensure that at no time where they stored with less than reasonable care</w:t>
      </w:r>
      <w:r w:rsidR="00D158F7">
        <w:rPr>
          <w:rFonts w:cstheme="minorHAnsi"/>
          <w:sz w:val="24"/>
          <w:szCs w:val="24"/>
        </w:rPr>
        <w:t>.</w:t>
      </w:r>
    </w:p>
    <w:p w14:paraId="61332AEF" w14:textId="0302F489" w:rsidR="00D158F7" w:rsidRDefault="00D158F7" w:rsidP="00845A8C">
      <w:pPr>
        <w:spacing w:after="0"/>
        <w:jc w:val="both"/>
        <w:rPr>
          <w:rFonts w:cstheme="minorHAnsi"/>
          <w:sz w:val="24"/>
          <w:szCs w:val="24"/>
        </w:rPr>
      </w:pPr>
    </w:p>
    <w:p w14:paraId="236BD9DA" w14:textId="48CEE172" w:rsidR="00D158F7" w:rsidRDefault="00CB33BE" w:rsidP="00845A8C">
      <w:pPr>
        <w:spacing w:after="0"/>
        <w:jc w:val="both"/>
        <w:rPr>
          <w:rFonts w:cstheme="minorHAnsi"/>
          <w:b/>
          <w:bCs/>
          <w:sz w:val="24"/>
          <w:szCs w:val="24"/>
        </w:rPr>
      </w:pPr>
      <w:r w:rsidRPr="00CB33BE">
        <w:rPr>
          <w:rFonts w:cstheme="minorHAnsi"/>
          <w:b/>
          <w:bCs/>
          <w:sz w:val="24"/>
          <w:szCs w:val="24"/>
        </w:rPr>
        <w:t>Results</w:t>
      </w:r>
    </w:p>
    <w:p w14:paraId="3BFB7C66" w14:textId="441C750B" w:rsidR="00745013" w:rsidRPr="00A7281C" w:rsidRDefault="00A7281C" w:rsidP="00845A8C">
      <w:pPr>
        <w:spacing w:after="0"/>
        <w:jc w:val="both"/>
        <w:rPr>
          <w:rFonts w:cstheme="minorHAnsi"/>
          <w:sz w:val="24"/>
          <w:szCs w:val="24"/>
        </w:rPr>
      </w:pPr>
      <w:r w:rsidRPr="00A7281C">
        <w:rPr>
          <w:rFonts w:cstheme="minorHAnsi"/>
          <w:sz w:val="24"/>
          <w:szCs w:val="24"/>
        </w:rPr>
        <w:t xml:space="preserve">Out of a total of </w:t>
      </w:r>
      <w:r>
        <w:rPr>
          <w:rFonts w:cstheme="minorHAnsi"/>
          <w:sz w:val="24"/>
          <w:szCs w:val="24"/>
        </w:rPr>
        <w:t xml:space="preserve">2427 </w:t>
      </w:r>
      <w:r w:rsidRPr="00A7281C">
        <w:rPr>
          <w:rFonts w:cstheme="minorHAnsi"/>
          <w:sz w:val="24"/>
          <w:szCs w:val="24"/>
        </w:rPr>
        <w:t xml:space="preserve">trauma patients enrolled, </w:t>
      </w:r>
      <w:r>
        <w:rPr>
          <w:rFonts w:cstheme="minorHAnsi"/>
          <w:sz w:val="24"/>
          <w:szCs w:val="24"/>
        </w:rPr>
        <w:t>17</w:t>
      </w:r>
      <w:r w:rsidR="00724D7C">
        <w:rPr>
          <w:rFonts w:cstheme="minorHAnsi"/>
          <w:sz w:val="24"/>
          <w:szCs w:val="24"/>
        </w:rPr>
        <w:t>69</w:t>
      </w:r>
      <w:r>
        <w:rPr>
          <w:rFonts w:cstheme="minorHAnsi"/>
          <w:sz w:val="24"/>
          <w:szCs w:val="24"/>
        </w:rPr>
        <w:t xml:space="preserve"> </w:t>
      </w:r>
      <w:r w:rsidRPr="00A7281C">
        <w:rPr>
          <w:rFonts w:cstheme="minorHAnsi"/>
          <w:sz w:val="24"/>
          <w:szCs w:val="24"/>
        </w:rPr>
        <w:t xml:space="preserve">were excluded for missing data. The final cohort of </w:t>
      </w:r>
      <w:r>
        <w:rPr>
          <w:rFonts w:cstheme="minorHAnsi"/>
          <w:sz w:val="24"/>
          <w:szCs w:val="24"/>
        </w:rPr>
        <w:t>658</w:t>
      </w:r>
      <w:r w:rsidRPr="00A7281C">
        <w:rPr>
          <w:rFonts w:cstheme="minorHAnsi"/>
          <w:sz w:val="24"/>
          <w:szCs w:val="24"/>
        </w:rPr>
        <w:t xml:space="preserve"> included in this study had a median age of </w:t>
      </w:r>
      <w:r>
        <w:rPr>
          <w:rFonts w:cstheme="minorHAnsi"/>
          <w:sz w:val="24"/>
          <w:szCs w:val="24"/>
        </w:rPr>
        <w:t xml:space="preserve">36 </w:t>
      </w:r>
      <w:r w:rsidRPr="00A7281C">
        <w:rPr>
          <w:rFonts w:cstheme="minorHAnsi"/>
          <w:sz w:val="24"/>
          <w:szCs w:val="24"/>
        </w:rPr>
        <w:t xml:space="preserve">years (IQR: </w:t>
      </w:r>
      <w:r>
        <w:rPr>
          <w:rFonts w:cstheme="minorHAnsi"/>
          <w:sz w:val="24"/>
          <w:szCs w:val="24"/>
        </w:rPr>
        <w:t>26.0-50.0</w:t>
      </w:r>
      <w:r w:rsidRPr="00A7281C">
        <w:rPr>
          <w:rFonts w:cstheme="minorHAnsi"/>
          <w:sz w:val="24"/>
          <w:szCs w:val="24"/>
        </w:rPr>
        <w:t xml:space="preserve">) with </w:t>
      </w:r>
      <w:r>
        <w:rPr>
          <w:rFonts w:cstheme="minorHAnsi"/>
          <w:sz w:val="24"/>
          <w:szCs w:val="24"/>
        </w:rPr>
        <w:t>19.9</w:t>
      </w:r>
      <w:r w:rsidRPr="00A7281C">
        <w:rPr>
          <w:rFonts w:cstheme="minorHAnsi"/>
          <w:sz w:val="24"/>
          <w:szCs w:val="24"/>
        </w:rPr>
        <w:t xml:space="preserve"> per cent of patients were </w:t>
      </w:r>
      <w:r>
        <w:rPr>
          <w:rFonts w:cstheme="minorHAnsi"/>
          <w:sz w:val="24"/>
          <w:szCs w:val="24"/>
        </w:rPr>
        <w:t>female</w:t>
      </w:r>
      <w:r w:rsidRPr="00A7281C">
        <w:rPr>
          <w:rFonts w:cstheme="minorHAnsi"/>
          <w:sz w:val="24"/>
          <w:szCs w:val="24"/>
        </w:rPr>
        <w:t>. The most common mechanisms of injury were road</w:t>
      </w:r>
      <w:r>
        <w:rPr>
          <w:rFonts w:cstheme="minorHAnsi"/>
          <w:sz w:val="24"/>
          <w:szCs w:val="24"/>
        </w:rPr>
        <w:t xml:space="preserve"> traffic injuries </w:t>
      </w:r>
      <w:r w:rsidRPr="00A7281C">
        <w:rPr>
          <w:rFonts w:cstheme="minorHAnsi"/>
          <w:sz w:val="24"/>
          <w:szCs w:val="24"/>
        </w:rPr>
        <w:t>(</w:t>
      </w:r>
      <w:r>
        <w:rPr>
          <w:rFonts w:cstheme="minorHAnsi"/>
          <w:sz w:val="24"/>
          <w:szCs w:val="24"/>
        </w:rPr>
        <w:t xml:space="preserve">56.4 </w:t>
      </w:r>
      <w:r w:rsidRPr="00A7281C">
        <w:rPr>
          <w:rFonts w:cstheme="minorHAnsi"/>
          <w:sz w:val="24"/>
          <w:szCs w:val="24"/>
        </w:rPr>
        <w:t>per cent). Majority of the injuries were blunt (</w:t>
      </w:r>
      <w:r>
        <w:rPr>
          <w:rFonts w:cstheme="minorHAnsi"/>
          <w:sz w:val="24"/>
          <w:szCs w:val="24"/>
        </w:rPr>
        <w:t xml:space="preserve">98.1 </w:t>
      </w:r>
      <w:r w:rsidRPr="00A7281C">
        <w:rPr>
          <w:rFonts w:cstheme="minorHAnsi"/>
          <w:sz w:val="24"/>
          <w:szCs w:val="24"/>
        </w:rPr>
        <w:t xml:space="preserve">per cent) and </w:t>
      </w:r>
      <w:r>
        <w:rPr>
          <w:rFonts w:cstheme="minorHAnsi"/>
          <w:sz w:val="24"/>
          <w:szCs w:val="24"/>
        </w:rPr>
        <w:t xml:space="preserve">78.2 </w:t>
      </w:r>
      <w:r w:rsidRPr="00A7281C">
        <w:rPr>
          <w:rFonts w:cstheme="minorHAnsi"/>
          <w:sz w:val="24"/>
          <w:szCs w:val="24"/>
        </w:rPr>
        <w:t xml:space="preserve">per cent were transferred to the study hospitals. The all cause 30-day mortality was </w:t>
      </w:r>
      <w:r>
        <w:rPr>
          <w:rFonts w:cstheme="minorHAnsi"/>
          <w:sz w:val="24"/>
          <w:szCs w:val="24"/>
        </w:rPr>
        <w:t>25.3</w:t>
      </w:r>
      <w:r w:rsidRPr="00A7281C">
        <w:rPr>
          <w:rFonts w:cstheme="minorHAnsi"/>
          <w:sz w:val="24"/>
          <w:szCs w:val="24"/>
        </w:rPr>
        <w:t xml:space="preserve"> per cent. The median injury severity score was </w:t>
      </w:r>
      <w:r>
        <w:rPr>
          <w:rFonts w:cstheme="minorHAnsi"/>
          <w:sz w:val="24"/>
          <w:szCs w:val="24"/>
        </w:rPr>
        <w:t>xxx</w:t>
      </w:r>
      <w:r w:rsidRPr="00A7281C">
        <w:rPr>
          <w:rFonts w:cstheme="minorHAnsi"/>
          <w:sz w:val="24"/>
          <w:szCs w:val="24"/>
        </w:rPr>
        <w:t>. Details of the study population is given in Table 2.</w:t>
      </w:r>
    </w:p>
    <w:p w14:paraId="657FDAE0" w14:textId="74FCA66D" w:rsidR="00745013" w:rsidRDefault="00745013" w:rsidP="00845A8C">
      <w:pPr>
        <w:spacing w:after="0"/>
        <w:jc w:val="both"/>
        <w:rPr>
          <w:rFonts w:cstheme="minorHAnsi"/>
          <w:b/>
          <w:bCs/>
          <w:sz w:val="24"/>
          <w:szCs w:val="24"/>
        </w:rPr>
      </w:pPr>
    </w:p>
    <w:p w14:paraId="1B89A8BF" w14:textId="1D16B775" w:rsidR="00745013" w:rsidRPr="00745013" w:rsidRDefault="00745013" w:rsidP="00845A8C">
      <w:pPr>
        <w:spacing w:after="0"/>
        <w:jc w:val="both"/>
        <w:rPr>
          <w:rFonts w:cstheme="minorHAnsi"/>
          <w:i/>
          <w:iCs/>
          <w:sz w:val="24"/>
          <w:szCs w:val="24"/>
        </w:rPr>
      </w:pPr>
      <w:r w:rsidRPr="00745013">
        <w:rPr>
          <w:rFonts w:cstheme="minorHAnsi"/>
          <w:i/>
          <w:iCs/>
          <w:sz w:val="24"/>
          <w:szCs w:val="24"/>
        </w:rPr>
        <w:t xml:space="preserve">Table </w:t>
      </w:r>
      <w:r>
        <w:rPr>
          <w:rFonts w:cstheme="minorHAnsi"/>
          <w:i/>
          <w:iCs/>
          <w:sz w:val="24"/>
          <w:szCs w:val="24"/>
        </w:rPr>
        <w:t>2</w:t>
      </w:r>
      <w:r w:rsidRPr="00745013">
        <w:rPr>
          <w:rFonts w:cstheme="minorHAnsi"/>
          <w:i/>
          <w:iCs/>
          <w:sz w:val="24"/>
          <w:szCs w:val="24"/>
        </w:rPr>
        <w:t xml:space="preserve">: Description of study </w:t>
      </w:r>
      <w:r>
        <w:rPr>
          <w:rFonts w:cstheme="minorHAnsi"/>
          <w:i/>
          <w:iCs/>
          <w:sz w:val="24"/>
          <w:szCs w:val="24"/>
        </w:rPr>
        <w:t xml:space="preserve">sample characteristics </w:t>
      </w:r>
    </w:p>
    <w:tbl>
      <w:tblPr>
        <w:tblStyle w:val="PlainTable2"/>
        <w:tblW w:w="9540" w:type="dxa"/>
        <w:tblLook w:val="04A0" w:firstRow="1" w:lastRow="0" w:firstColumn="1" w:lastColumn="0" w:noHBand="0" w:noVBand="1"/>
      </w:tblPr>
      <w:tblGrid>
        <w:gridCol w:w="3780"/>
        <w:gridCol w:w="3105"/>
        <w:gridCol w:w="2655"/>
      </w:tblGrid>
      <w:tr w:rsidR="00CB33BE" w:rsidRPr="00CB33BE" w14:paraId="1708C2E7" w14:textId="77777777" w:rsidTr="000710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tcPr>
          <w:p w14:paraId="11750EAF" w14:textId="6A672C9B" w:rsidR="00CB33BE" w:rsidRPr="00927688" w:rsidRDefault="00CB33BE" w:rsidP="00CB33BE">
            <w:pPr>
              <w:jc w:val="both"/>
              <w:rPr>
                <w:rFonts w:cstheme="minorHAnsi"/>
                <w:i/>
                <w:iCs/>
                <w:sz w:val="24"/>
                <w:szCs w:val="24"/>
              </w:rPr>
            </w:pPr>
            <w:r w:rsidRPr="00927688">
              <w:rPr>
                <w:rFonts w:cstheme="minorHAnsi"/>
                <w:i/>
                <w:iCs/>
                <w:sz w:val="24"/>
                <w:szCs w:val="24"/>
              </w:rPr>
              <w:t>Variable</w:t>
            </w:r>
          </w:p>
        </w:tc>
        <w:tc>
          <w:tcPr>
            <w:tcW w:w="3105" w:type="dxa"/>
            <w:noWrap/>
          </w:tcPr>
          <w:p w14:paraId="52C10E23" w14:textId="376BA975" w:rsidR="00CB33BE" w:rsidRPr="00927688" w:rsidRDefault="00CB33BE" w:rsidP="00CB33BE">
            <w:pPr>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p>
        </w:tc>
        <w:tc>
          <w:tcPr>
            <w:tcW w:w="2655" w:type="dxa"/>
            <w:noWrap/>
          </w:tcPr>
          <w:p w14:paraId="53484841" w14:textId="7E04E096" w:rsidR="00CB33BE" w:rsidRPr="00927688" w:rsidRDefault="00DF7601" w:rsidP="00CB33BE">
            <w:pPr>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r>
              <w:rPr>
                <w:rFonts w:cstheme="minorHAnsi"/>
                <w:i/>
                <w:iCs/>
                <w:sz w:val="24"/>
                <w:szCs w:val="24"/>
              </w:rPr>
              <w:t>Numbers</w:t>
            </w:r>
          </w:p>
        </w:tc>
      </w:tr>
      <w:tr w:rsidR="00CB33BE" w:rsidRPr="00CB33BE" w14:paraId="64538A68"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49129D9" w14:textId="77777777" w:rsidR="00CB33BE" w:rsidRPr="00CB33BE" w:rsidRDefault="00CB33BE" w:rsidP="00CB33BE">
            <w:pPr>
              <w:jc w:val="both"/>
              <w:rPr>
                <w:rFonts w:cstheme="minorHAnsi"/>
                <w:sz w:val="24"/>
                <w:szCs w:val="24"/>
              </w:rPr>
            </w:pPr>
            <w:r w:rsidRPr="00CB33BE">
              <w:rPr>
                <w:rFonts w:cstheme="minorHAnsi"/>
                <w:sz w:val="24"/>
                <w:szCs w:val="24"/>
              </w:rPr>
              <w:lastRenderedPageBreak/>
              <w:t>Age in years (median [IQR])</w:t>
            </w:r>
          </w:p>
        </w:tc>
        <w:tc>
          <w:tcPr>
            <w:tcW w:w="3105" w:type="dxa"/>
            <w:noWrap/>
            <w:hideMark/>
          </w:tcPr>
          <w:p w14:paraId="4FFF2E17"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0B981468"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36.0 [26.0, 50.0]</w:t>
            </w:r>
          </w:p>
        </w:tc>
      </w:tr>
      <w:tr w:rsidR="00CB33BE" w:rsidRPr="00CB33BE" w14:paraId="23C3176E"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3F1B38F" w14:textId="7BA13076" w:rsidR="00CB33BE" w:rsidRPr="00CB33BE" w:rsidRDefault="00927688" w:rsidP="00CB33BE">
            <w:pPr>
              <w:jc w:val="both"/>
              <w:rPr>
                <w:rFonts w:cstheme="minorHAnsi"/>
                <w:sz w:val="24"/>
                <w:szCs w:val="24"/>
              </w:rPr>
            </w:pPr>
            <w:r>
              <w:rPr>
                <w:rFonts w:cstheme="minorHAnsi"/>
                <w:sz w:val="24"/>
                <w:szCs w:val="24"/>
              </w:rPr>
              <w:t>Gender</w:t>
            </w:r>
            <w:r w:rsidR="00CB33BE" w:rsidRPr="00CB33BE">
              <w:rPr>
                <w:rFonts w:cstheme="minorHAnsi"/>
                <w:sz w:val="24"/>
                <w:szCs w:val="24"/>
              </w:rPr>
              <w:t xml:space="preserve"> (%)</w:t>
            </w:r>
          </w:p>
        </w:tc>
        <w:tc>
          <w:tcPr>
            <w:tcW w:w="3105" w:type="dxa"/>
            <w:noWrap/>
            <w:hideMark/>
          </w:tcPr>
          <w:p w14:paraId="1A8277DA"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Female</w:t>
            </w:r>
          </w:p>
        </w:tc>
        <w:tc>
          <w:tcPr>
            <w:tcW w:w="2655" w:type="dxa"/>
            <w:noWrap/>
            <w:hideMark/>
          </w:tcPr>
          <w:p w14:paraId="1A3CA643" w14:textId="3179EDFD"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19.9</w:t>
            </w:r>
          </w:p>
        </w:tc>
      </w:tr>
      <w:tr w:rsidR="00CB33BE" w:rsidRPr="00CB33BE" w14:paraId="2F2E4DF0"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493E425" w14:textId="77777777" w:rsidR="00CB33BE" w:rsidRPr="00CB33BE" w:rsidRDefault="00CB33BE" w:rsidP="00CB33BE">
            <w:pPr>
              <w:jc w:val="both"/>
              <w:rPr>
                <w:rFonts w:cstheme="minorHAnsi"/>
                <w:sz w:val="24"/>
                <w:szCs w:val="24"/>
              </w:rPr>
            </w:pPr>
            <w:r w:rsidRPr="00CB33BE">
              <w:rPr>
                <w:rFonts w:cstheme="minorHAnsi"/>
                <w:sz w:val="24"/>
                <w:szCs w:val="24"/>
              </w:rPr>
              <w:t>Mechanism of injury (%)</w:t>
            </w:r>
          </w:p>
        </w:tc>
        <w:tc>
          <w:tcPr>
            <w:tcW w:w="3105" w:type="dxa"/>
            <w:noWrap/>
            <w:hideMark/>
          </w:tcPr>
          <w:p w14:paraId="58A41756" w14:textId="0AAC08DD"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Road traffic injuries</w:t>
            </w:r>
          </w:p>
        </w:tc>
        <w:tc>
          <w:tcPr>
            <w:tcW w:w="2655" w:type="dxa"/>
            <w:noWrap/>
            <w:hideMark/>
          </w:tcPr>
          <w:p w14:paraId="2A202B6A" w14:textId="7EE382AD"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56.4</w:t>
            </w:r>
          </w:p>
        </w:tc>
      </w:tr>
      <w:tr w:rsidR="00CB33BE" w:rsidRPr="00CB33BE" w14:paraId="19171A4F"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E70AE28" w14:textId="77777777" w:rsidR="00CB33BE" w:rsidRPr="00CB33BE" w:rsidRDefault="00CB33BE" w:rsidP="00CB33BE">
            <w:pPr>
              <w:jc w:val="both"/>
              <w:rPr>
                <w:rFonts w:cstheme="minorHAnsi"/>
                <w:sz w:val="24"/>
                <w:szCs w:val="24"/>
              </w:rPr>
            </w:pPr>
          </w:p>
        </w:tc>
        <w:tc>
          <w:tcPr>
            <w:tcW w:w="3105" w:type="dxa"/>
            <w:noWrap/>
            <w:hideMark/>
          </w:tcPr>
          <w:p w14:paraId="63D5F052" w14:textId="5C6463B6"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Falls</w:t>
            </w:r>
          </w:p>
        </w:tc>
        <w:tc>
          <w:tcPr>
            <w:tcW w:w="2655" w:type="dxa"/>
            <w:noWrap/>
            <w:hideMark/>
          </w:tcPr>
          <w:p w14:paraId="2171780C" w14:textId="7D7FC0EA"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23.2</w:t>
            </w:r>
          </w:p>
        </w:tc>
      </w:tr>
      <w:tr w:rsidR="00CB33BE" w:rsidRPr="00CB33BE" w14:paraId="3741A196"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26591A26" w14:textId="77777777" w:rsidR="00CB33BE" w:rsidRPr="00CB33BE" w:rsidRDefault="00CB33BE" w:rsidP="00CB33BE">
            <w:pPr>
              <w:jc w:val="both"/>
              <w:rPr>
                <w:rFonts w:cstheme="minorHAnsi"/>
                <w:sz w:val="24"/>
                <w:szCs w:val="24"/>
              </w:rPr>
            </w:pPr>
          </w:p>
        </w:tc>
        <w:tc>
          <w:tcPr>
            <w:tcW w:w="3105" w:type="dxa"/>
            <w:noWrap/>
            <w:hideMark/>
          </w:tcPr>
          <w:p w14:paraId="434CE84A" w14:textId="0B3F9AF8"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Assault</w:t>
            </w:r>
          </w:p>
        </w:tc>
        <w:tc>
          <w:tcPr>
            <w:tcW w:w="2655" w:type="dxa"/>
            <w:noWrap/>
            <w:hideMark/>
          </w:tcPr>
          <w:p w14:paraId="78783978" w14:textId="46D080E2"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6.1</w:t>
            </w:r>
          </w:p>
        </w:tc>
      </w:tr>
      <w:tr w:rsidR="00CB33BE" w:rsidRPr="00CB33BE" w14:paraId="05956194"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2D2037A4" w14:textId="77777777" w:rsidR="00CB33BE" w:rsidRPr="00CB33BE" w:rsidRDefault="00CB33BE" w:rsidP="00CB33BE">
            <w:pPr>
              <w:jc w:val="both"/>
              <w:rPr>
                <w:rFonts w:cstheme="minorHAnsi"/>
                <w:sz w:val="24"/>
                <w:szCs w:val="24"/>
              </w:rPr>
            </w:pPr>
          </w:p>
        </w:tc>
        <w:tc>
          <w:tcPr>
            <w:tcW w:w="3105" w:type="dxa"/>
            <w:noWrap/>
            <w:hideMark/>
          </w:tcPr>
          <w:p w14:paraId="48034D38"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Railway injuries</w:t>
            </w:r>
          </w:p>
        </w:tc>
        <w:tc>
          <w:tcPr>
            <w:tcW w:w="2655" w:type="dxa"/>
            <w:noWrap/>
            <w:hideMark/>
          </w:tcPr>
          <w:p w14:paraId="41B6317D" w14:textId="416E199F"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1.8</w:t>
            </w:r>
          </w:p>
        </w:tc>
      </w:tr>
      <w:tr w:rsidR="00CB33BE" w:rsidRPr="00CB33BE" w14:paraId="7629B2A0"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4ECD2416" w14:textId="77777777" w:rsidR="00CB33BE" w:rsidRPr="00CB33BE" w:rsidRDefault="00CB33BE" w:rsidP="00CB33BE">
            <w:pPr>
              <w:jc w:val="both"/>
              <w:rPr>
                <w:rFonts w:cstheme="minorHAnsi"/>
                <w:sz w:val="24"/>
                <w:szCs w:val="24"/>
              </w:rPr>
            </w:pPr>
          </w:p>
        </w:tc>
        <w:tc>
          <w:tcPr>
            <w:tcW w:w="3105" w:type="dxa"/>
            <w:noWrap/>
            <w:hideMark/>
          </w:tcPr>
          <w:p w14:paraId="2EEE381C" w14:textId="7146DF70"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Other</w:t>
            </w:r>
          </w:p>
        </w:tc>
        <w:tc>
          <w:tcPr>
            <w:tcW w:w="2655" w:type="dxa"/>
            <w:noWrap/>
            <w:hideMark/>
          </w:tcPr>
          <w:p w14:paraId="03EB5507" w14:textId="3EDD9348"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12</w:t>
            </w:r>
            <w:r w:rsidRPr="00CB33BE">
              <w:rPr>
                <w:rFonts w:cstheme="minorHAnsi"/>
                <w:sz w:val="24"/>
                <w:szCs w:val="24"/>
              </w:rPr>
              <w:t>.</w:t>
            </w:r>
            <w:r>
              <w:rPr>
                <w:rFonts w:cstheme="minorHAnsi"/>
                <w:sz w:val="24"/>
                <w:szCs w:val="24"/>
              </w:rPr>
              <w:t>5</w:t>
            </w:r>
          </w:p>
        </w:tc>
      </w:tr>
      <w:tr w:rsidR="00CB33BE" w:rsidRPr="00CB33BE" w14:paraId="7725E462"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38B69019" w14:textId="77777777" w:rsidR="00CB33BE" w:rsidRPr="00CB33BE" w:rsidRDefault="00CB33BE" w:rsidP="00CB33BE">
            <w:pPr>
              <w:jc w:val="both"/>
              <w:rPr>
                <w:rFonts w:cstheme="minorHAnsi"/>
                <w:sz w:val="24"/>
                <w:szCs w:val="24"/>
              </w:rPr>
            </w:pPr>
            <w:r w:rsidRPr="00CB33BE">
              <w:rPr>
                <w:rFonts w:cstheme="minorHAnsi"/>
                <w:sz w:val="24"/>
                <w:szCs w:val="24"/>
              </w:rPr>
              <w:t>Type of injury (%)</w:t>
            </w:r>
          </w:p>
        </w:tc>
        <w:tc>
          <w:tcPr>
            <w:tcW w:w="3105" w:type="dxa"/>
            <w:noWrap/>
            <w:hideMark/>
          </w:tcPr>
          <w:p w14:paraId="4EC2DF2E"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Blunt</w:t>
            </w:r>
          </w:p>
        </w:tc>
        <w:tc>
          <w:tcPr>
            <w:tcW w:w="2655" w:type="dxa"/>
            <w:noWrap/>
            <w:hideMark/>
          </w:tcPr>
          <w:p w14:paraId="24F8C838" w14:textId="6266BFB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98.1</w:t>
            </w:r>
          </w:p>
        </w:tc>
      </w:tr>
      <w:tr w:rsidR="00CB33BE" w:rsidRPr="00CB33BE" w14:paraId="28BAC6FF"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03B76DDB" w14:textId="77777777" w:rsidR="00CB33BE" w:rsidRPr="00CB33BE" w:rsidRDefault="00CB33BE" w:rsidP="00CB33BE">
            <w:pPr>
              <w:jc w:val="both"/>
              <w:rPr>
                <w:rFonts w:cstheme="minorHAnsi"/>
                <w:sz w:val="24"/>
                <w:szCs w:val="24"/>
              </w:rPr>
            </w:pPr>
          </w:p>
        </w:tc>
        <w:tc>
          <w:tcPr>
            <w:tcW w:w="3105" w:type="dxa"/>
            <w:noWrap/>
            <w:hideMark/>
          </w:tcPr>
          <w:p w14:paraId="2EFE0D8D"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Penetrating</w:t>
            </w:r>
          </w:p>
        </w:tc>
        <w:tc>
          <w:tcPr>
            <w:tcW w:w="2655" w:type="dxa"/>
            <w:noWrap/>
            <w:hideMark/>
          </w:tcPr>
          <w:p w14:paraId="635AAD64" w14:textId="76E765BA"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1.9</w:t>
            </w:r>
          </w:p>
        </w:tc>
      </w:tr>
      <w:tr w:rsidR="00CB33BE" w:rsidRPr="00CB33BE" w14:paraId="3BE32525"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070ED2B" w14:textId="77777777" w:rsidR="00CB33BE" w:rsidRPr="00CB33BE" w:rsidRDefault="00CB33BE" w:rsidP="00CB33BE">
            <w:pPr>
              <w:jc w:val="both"/>
              <w:rPr>
                <w:rFonts w:cstheme="minorHAnsi"/>
                <w:sz w:val="24"/>
                <w:szCs w:val="24"/>
              </w:rPr>
            </w:pPr>
            <w:r w:rsidRPr="00CB33BE">
              <w:rPr>
                <w:rFonts w:cstheme="minorHAnsi"/>
                <w:sz w:val="24"/>
                <w:szCs w:val="24"/>
              </w:rPr>
              <w:t>Mode of transport (%)</w:t>
            </w:r>
          </w:p>
        </w:tc>
        <w:tc>
          <w:tcPr>
            <w:tcW w:w="3105" w:type="dxa"/>
            <w:noWrap/>
            <w:hideMark/>
          </w:tcPr>
          <w:p w14:paraId="27475DDE"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Ambulance</w:t>
            </w:r>
          </w:p>
        </w:tc>
        <w:tc>
          <w:tcPr>
            <w:tcW w:w="2655" w:type="dxa"/>
            <w:noWrap/>
            <w:hideMark/>
          </w:tcPr>
          <w:p w14:paraId="77E8DFEB" w14:textId="02DDA264"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69.1</w:t>
            </w:r>
          </w:p>
        </w:tc>
      </w:tr>
      <w:tr w:rsidR="00CB33BE" w:rsidRPr="00CB33BE" w14:paraId="70E3FA74"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414D024" w14:textId="77777777" w:rsidR="00CB33BE" w:rsidRPr="00CB33BE" w:rsidRDefault="00CB33BE" w:rsidP="00CB33BE">
            <w:pPr>
              <w:jc w:val="both"/>
              <w:rPr>
                <w:rFonts w:cstheme="minorHAnsi"/>
                <w:sz w:val="24"/>
                <w:szCs w:val="24"/>
              </w:rPr>
            </w:pPr>
          </w:p>
        </w:tc>
        <w:tc>
          <w:tcPr>
            <w:tcW w:w="3105" w:type="dxa"/>
            <w:noWrap/>
            <w:hideMark/>
          </w:tcPr>
          <w:p w14:paraId="7D81A46E"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Police van</w:t>
            </w:r>
          </w:p>
        </w:tc>
        <w:tc>
          <w:tcPr>
            <w:tcW w:w="2655" w:type="dxa"/>
            <w:noWrap/>
            <w:hideMark/>
          </w:tcPr>
          <w:p w14:paraId="718E085E" w14:textId="690866EB"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4.9</w:t>
            </w:r>
          </w:p>
        </w:tc>
      </w:tr>
      <w:tr w:rsidR="00CB33BE" w:rsidRPr="00CB33BE" w14:paraId="06F70708"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750C1B2A" w14:textId="77777777" w:rsidR="00CB33BE" w:rsidRPr="00CB33BE" w:rsidRDefault="00CB33BE" w:rsidP="00CB33BE">
            <w:pPr>
              <w:jc w:val="both"/>
              <w:rPr>
                <w:rFonts w:cstheme="minorHAnsi"/>
                <w:sz w:val="24"/>
                <w:szCs w:val="24"/>
              </w:rPr>
            </w:pPr>
          </w:p>
        </w:tc>
        <w:tc>
          <w:tcPr>
            <w:tcW w:w="3105" w:type="dxa"/>
            <w:noWrap/>
            <w:hideMark/>
          </w:tcPr>
          <w:p w14:paraId="6C7B112B"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Private Vehicles</w:t>
            </w:r>
          </w:p>
        </w:tc>
        <w:tc>
          <w:tcPr>
            <w:tcW w:w="2655" w:type="dxa"/>
            <w:noWrap/>
            <w:hideMark/>
          </w:tcPr>
          <w:p w14:paraId="484E82A6" w14:textId="14A60E79"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25.6</w:t>
            </w:r>
          </w:p>
        </w:tc>
      </w:tr>
      <w:tr w:rsidR="00CB33BE" w:rsidRPr="00CB33BE" w14:paraId="41A084E4"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4DD56086" w14:textId="77777777" w:rsidR="00CB33BE" w:rsidRPr="00CB33BE" w:rsidRDefault="00CB33BE" w:rsidP="00CB33BE">
            <w:pPr>
              <w:jc w:val="both"/>
              <w:rPr>
                <w:rFonts w:cstheme="minorHAnsi"/>
                <w:sz w:val="24"/>
                <w:szCs w:val="24"/>
              </w:rPr>
            </w:pPr>
          </w:p>
        </w:tc>
        <w:tc>
          <w:tcPr>
            <w:tcW w:w="3105" w:type="dxa"/>
            <w:noWrap/>
            <w:hideMark/>
          </w:tcPr>
          <w:p w14:paraId="0DE4CB60"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On Foot</w:t>
            </w:r>
          </w:p>
        </w:tc>
        <w:tc>
          <w:tcPr>
            <w:tcW w:w="2655" w:type="dxa"/>
            <w:noWrap/>
            <w:hideMark/>
          </w:tcPr>
          <w:p w14:paraId="1D5ADB6C" w14:textId="2E439755"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0.4</w:t>
            </w:r>
          </w:p>
        </w:tc>
      </w:tr>
      <w:tr w:rsidR="00A7281C" w:rsidRPr="00CB33BE" w14:paraId="04A8BCC0"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61703AE" w14:textId="77777777" w:rsidR="00A7281C" w:rsidRPr="00CB33BE" w:rsidRDefault="00A7281C" w:rsidP="00A7281C">
            <w:pPr>
              <w:jc w:val="both"/>
              <w:rPr>
                <w:rFonts w:cstheme="minorHAnsi"/>
                <w:sz w:val="24"/>
                <w:szCs w:val="24"/>
              </w:rPr>
            </w:pPr>
            <w:r w:rsidRPr="00CB33BE">
              <w:rPr>
                <w:rFonts w:cstheme="minorHAnsi"/>
                <w:sz w:val="24"/>
                <w:szCs w:val="24"/>
              </w:rPr>
              <w:t>Transferred (%)</w:t>
            </w:r>
          </w:p>
        </w:tc>
        <w:tc>
          <w:tcPr>
            <w:tcW w:w="3105" w:type="dxa"/>
            <w:noWrap/>
            <w:hideMark/>
          </w:tcPr>
          <w:p w14:paraId="7BF516C7" w14:textId="4F8A969B"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Transferred</w:t>
            </w:r>
          </w:p>
        </w:tc>
        <w:tc>
          <w:tcPr>
            <w:tcW w:w="2655" w:type="dxa"/>
            <w:noWrap/>
            <w:hideMark/>
          </w:tcPr>
          <w:p w14:paraId="0477D811" w14:textId="7F57BD1F"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78.2</w:t>
            </w:r>
          </w:p>
        </w:tc>
      </w:tr>
      <w:tr w:rsidR="00A7281C" w:rsidRPr="00CB33BE" w14:paraId="454952FD"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A186440" w14:textId="77777777" w:rsidR="00A7281C" w:rsidRPr="00CB33BE" w:rsidRDefault="00A7281C" w:rsidP="00A7281C">
            <w:pPr>
              <w:jc w:val="both"/>
              <w:rPr>
                <w:rFonts w:cstheme="minorHAnsi"/>
                <w:sz w:val="24"/>
                <w:szCs w:val="24"/>
              </w:rPr>
            </w:pPr>
            <w:r w:rsidRPr="00CB33BE">
              <w:rPr>
                <w:rFonts w:cstheme="minorHAnsi"/>
                <w:sz w:val="24"/>
                <w:szCs w:val="24"/>
              </w:rPr>
              <w:t>SBP (median [IQR])</w:t>
            </w:r>
          </w:p>
        </w:tc>
        <w:tc>
          <w:tcPr>
            <w:tcW w:w="3105" w:type="dxa"/>
            <w:noWrap/>
            <w:hideMark/>
          </w:tcPr>
          <w:p w14:paraId="64CAB20F"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4F1DCCDE"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118.0 [110.0, 130.0]</w:t>
            </w:r>
          </w:p>
        </w:tc>
      </w:tr>
      <w:tr w:rsidR="00A7281C" w:rsidRPr="00CB33BE" w14:paraId="65387369"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90194CB" w14:textId="77777777" w:rsidR="00A7281C" w:rsidRPr="00CB33BE" w:rsidRDefault="00A7281C" w:rsidP="00A7281C">
            <w:pPr>
              <w:jc w:val="both"/>
              <w:rPr>
                <w:rFonts w:cstheme="minorHAnsi"/>
                <w:sz w:val="24"/>
                <w:szCs w:val="24"/>
              </w:rPr>
            </w:pPr>
            <w:r w:rsidRPr="00CB33BE">
              <w:rPr>
                <w:rFonts w:cstheme="minorHAnsi"/>
                <w:sz w:val="24"/>
                <w:szCs w:val="24"/>
              </w:rPr>
              <w:t>RR (median [IQR])</w:t>
            </w:r>
          </w:p>
        </w:tc>
        <w:tc>
          <w:tcPr>
            <w:tcW w:w="3105" w:type="dxa"/>
            <w:noWrap/>
            <w:hideMark/>
          </w:tcPr>
          <w:p w14:paraId="3CB60444"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2DCE7A59"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21.0 [18.0, 22.0]</w:t>
            </w:r>
          </w:p>
        </w:tc>
      </w:tr>
      <w:tr w:rsidR="00A7281C" w:rsidRPr="00CB33BE" w14:paraId="61908CED"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1B05D22" w14:textId="77777777" w:rsidR="00A7281C" w:rsidRPr="00CB33BE" w:rsidRDefault="00A7281C" w:rsidP="00A7281C">
            <w:pPr>
              <w:jc w:val="both"/>
              <w:rPr>
                <w:rFonts w:cstheme="minorHAnsi"/>
                <w:sz w:val="24"/>
                <w:szCs w:val="24"/>
              </w:rPr>
            </w:pPr>
            <w:r w:rsidRPr="00CB33BE">
              <w:rPr>
                <w:rFonts w:cstheme="minorHAnsi"/>
                <w:sz w:val="24"/>
                <w:szCs w:val="24"/>
              </w:rPr>
              <w:t>HR (median [IQR])</w:t>
            </w:r>
          </w:p>
        </w:tc>
        <w:tc>
          <w:tcPr>
            <w:tcW w:w="3105" w:type="dxa"/>
            <w:noWrap/>
            <w:hideMark/>
          </w:tcPr>
          <w:p w14:paraId="25F1C0F6"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46846E84"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84.0 [78.0, 93.0]</w:t>
            </w:r>
          </w:p>
        </w:tc>
      </w:tr>
      <w:tr w:rsidR="00A7281C" w:rsidRPr="00CB33BE" w14:paraId="1A38F78A"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17B4B2D" w14:textId="77777777" w:rsidR="00A7281C" w:rsidRPr="00CB33BE" w:rsidRDefault="00A7281C" w:rsidP="00A7281C">
            <w:pPr>
              <w:jc w:val="both"/>
              <w:rPr>
                <w:rFonts w:cstheme="minorHAnsi"/>
                <w:sz w:val="24"/>
                <w:szCs w:val="24"/>
              </w:rPr>
            </w:pPr>
            <w:r w:rsidRPr="00CB33BE">
              <w:rPr>
                <w:rFonts w:cstheme="minorHAnsi"/>
                <w:sz w:val="24"/>
                <w:szCs w:val="24"/>
              </w:rPr>
              <w:t>SpO2 (median [IQR])</w:t>
            </w:r>
          </w:p>
        </w:tc>
        <w:tc>
          <w:tcPr>
            <w:tcW w:w="3105" w:type="dxa"/>
            <w:noWrap/>
            <w:hideMark/>
          </w:tcPr>
          <w:p w14:paraId="71FFA01D"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76AE5D29"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98.0 [97.0, 98.0]</w:t>
            </w:r>
          </w:p>
        </w:tc>
      </w:tr>
      <w:tr w:rsidR="00A7281C" w:rsidRPr="00CB33BE" w14:paraId="5EB110CD"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167D3689" w14:textId="77777777" w:rsidR="00A7281C" w:rsidRPr="00CB33BE" w:rsidRDefault="00A7281C" w:rsidP="00A7281C">
            <w:pPr>
              <w:jc w:val="both"/>
              <w:rPr>
                <w:rFonts w:cstheme="minorHAnsi"/>
                <w:sz w:val="24"/>
                <w:szCs w:val="24"/>
              </w:rPr>
            </w:pPr>
            <w:r w:rsidRPr="00CB33BE">
              <w:rPr>
                <w:rFonts w:cstheme="minorHAnsi"/>
                <w:sz w:val="24"/>
                <w:szCs w:val="24"/>
              </w:rPr>
              <w:t>GCS (median [IQR])</w:t>
            </w:r>
          </w:p>
        </w:tc>
        <w:tc>
          <w:tcPr>
            <w:tcW w:w="3105" w:type="dxa"/>
            <w:noWrap/>
            <w:hideMark/>
          </w:tcPr>
          <w:p w14:paraId="5CA1F198"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4BBE4D87"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15.0 [12.0, 15.0]</w:t>
            </w:r>
          </w:p>
        </w:tc>
      </w:tr>
      <w:tr w:rsidR="00A7281C" w:rsidRPr="00CB33BE" w14:paraId="03426B11"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tcPr>
          <w:p w14:paraId="2B29BF12" w14:textId="6174BC04" w:rsidR="00A7281C" w:rsidRPr="00CB33BE" w:rsidRDefault="00A7281C" w:rsidP="00A7281C">
            <w:pPr>
              <w:jc w:val="both"/>
              <w:rPr>
                <w:rFonts w:cstheme="minorHAnsi"/>
                <w:sz w:val="24"/>
                <w:szCs w:val="24"/>
              </w:rPr>
            </w:pPr>
            <w:r>
              <w:rPr>
                <w:rFonts w:cstheme="minorHAnsi"/>
                <w:sz w:val="24"/>
                <w:szCs w:val="24"/>
              </w:rPr>
              <w:t>ISS (median [IQR])</w:t>
            </w:r>
          </w:p>
        </w:tc>
        <w:tc>
          <w:tcPr>
            <w:tcW w:w="3105" w:type="dxa"/>
            <w:noWrap/>
          </w:tcPr>
          <w:p w14:paraId="7B93F226"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tcPr>
          <w:p w14:paraId="75BD891F" w14:textId="77734270"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Not calculated </w:t>
            </w:r>
          </w:p>
        </w:tc>
      </w:tr>
      <w:tr w:rsidR="00A7281C" w:rsidRPr="00CB33BE" w14:paraId="1EEBF645"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0DEA56B" w14:textId="5C23067D" w:rsidR="00A7281C" w:rsidRPr="00CB33BE" w:rsidRDefault="00A7281C" w:rsidP="00A7281C">
            <w:pPr>
              <w:jc w:val="both"/>
              <w:rPr>
                <w:rFonts w:cstheme="minorHAnsi"/>
                <w:sz w:val="24"/>
                <w:szCs w:val="24"/>
              </w:rPr>
            </w:pPr>
            <w:r w:rsidRPr="00CB33BE">
              <w:rPr>
                <w:rFonts w:cstheme="minorHAnsi"/>
                <w:sz w:val="24"/>
                <w:szCs w:val="24"/>
              </w:rPr>
              <w:t>30-day mortality (%)</w:t>
            </w:r>
          </w:p>
        </w:tc>
        <w:tc>
          <w:tcPr>
            <w:tcW w:w="3105" w:type="dxa"/>
            <w:noWrap/>
            <w:hideMark/>
          </w:tcPr>
          <w:p w14:paraId="687CC7B8" w14:textId="69562D54"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Dead</w:t>
            </w:r>
          </w:p>
        </w:tc>
        <w:tc>
          <w:tcPr>
            <w:tcW w:w="2655" w:type="dxa"/>
            <w:noWrap/>
            <w:hideMark/>
          </w:tcPr>
          <w:p w14:paraId="1606D37C" w14:textId="51CECDE9"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25.3</w:t>
            </w:r>
          </w:p>
        </w:tc>
      </w:tr>
    </w:tbl>
    <w:p w14:paraId="1B0247C5" w14:textId="77777777" w:rsidR="00CB33BE" w:rsidRPr="00CB33BE" w:rsidRDefault="00CB33BE" w:rsidP="00845A8C">
      <w:pPr>
        <w:spacing w:after="0"/>
        <w:jc w:val="both"/>
        <w:rPr>
          <w:rFonts w:cstheme="minorHAnsi"/>
          <w:b/>
          <w:bCs/>
          <w:sz w:val="24"/>
          <w:szCs w:val="24"/>
        </w:rPr>
      </w:pPr>
    </w:p>
    <w:p w14:paraId="1413707B" w14:textId="5BE708AC" w:rsidR="00CB33BE" w:rsidRDefault="00CB33BE" w:rsidP="00845A8C">
      <w:pPr>
        <w:spacing w:after="0"/>
        <w:jc w:val="both"/>
        <w:rPr>
          <w:rFonts w:cstheme="minorHAnsi"/>
          <w:sz w:val="24"/>
          <w:szCs w:val="24"/>
        </w:rPr>
      </w:pPr>
    </w:p>
    <w:p w14:paraId="54E61812" w14:textId="77777777" w:rsidR="00724D7C" w:rsidRPr="00724D7C" w:rsidRDefault="00724D7C" w:rsidP="00724D7C">
      <w:pPr>
        <w:spacing w:after="0"/>
        <w:jc w:val="both"/>
        <w:rPr>
          <w:rFonts w:cstheme="minorHAnsi"/>
          <w:i/>
          <w:iCs/>
          <w:sz w:val="24"/>
          <w:szCs w:val="24"/>
        </w:rPr>
      </w:pPr>
      <w:r w:rsidRPr="00724D7C">
        <w:rPr>
          <w:rFonts w:cstheme="minorHAnsi"/>
          <w:i/>
          <w:iCs/>
          <w:sz w:val="24"/>
          <w:szCs w:val="24"/>
        </w:rPr>
        <w:t>EQ-5D Scores</w:t>
      </w:r>
    </w:p>
    <w:p w14:paraId="5560FB36" w14:textId="755300F8" w:rsidR="00724D7C" w:rsidRDefault="00724D7C" w:rsidP="00845A8C">
      <w:pPr>
        <w:spacing w:after="0"/>
        <w:jc w:val="both"/>
        <w:rPr>
          <w:rFonts w:cstheme="minorHAnsi"/>
          <w:sz w:val="24"/>
          <w:szCs w:val="24"/>
        </w:rPr>
      </w:pPr>
      <w:r>
        <w:rPr>
          <w:rFonts w:cstheme="minorHAnsi"/>
          <w:sz w:val="24"/>
          <w:szCs w:val="24"/>
        </w:rPr>
        <w:t>658</w:t>
      </w:r>
      <w:r w:rsidRPr="00724D7C">
        <w:rPr>
          <w:rFonts w:cstheme="minorHAnsi"/>
          <w:sz w:val="24"/>
          <w:szCs w:val="24"/>
        </w:rPr>
        <w:t xml:space="preserve"> completed the EQ-5D questionnaire at 3 months after the trauma. The mean EQ5D health status score was </w:t>
      </w:r>
      <w:r>
        <w:rPr>
          <w:rFonts w:cstheme="minorHAnsi"/>
          <w:sz w:val="24"/>
          <w:szCs w:val="24"/>
        </w:rPr>
        <w:t xml:space="preserve">76.6 </w:t>
      </w:r>
      <w:r w:rsidRPr="00724D7C">
        <w:rPr>
          <w:rFonts w:cstheme="minorHAnsi"/>
          <w:sz w:val="24"/>
          <w:szCs w:val="24"/>
        </w:rPr>
        <w:t xml:space="preserve">(SD = </w:t>
      </w:r>
      <w:r>
        <w:rPr>
          <w:rFonts w:cstheme="minorHAnsi"/>
          <w:sz w:val="24"/>
          <w:szCs w:val="24"/>
        </w:rPr>
        <w:t>20.5</w:t>
      </w:r>
      <w:r w:rsidRPr="00724D7C">
        <w:rPr>
          <w:rFonts w:cstheme="minorHAnsi"/>
          <w:sz w:val="24"/>
          <w:szCs w:val="24"/>
        </w:rPr>
        <w:t>). Just over half the patients (54.8%) reported no problems with mobility while two-thirds reported no problems with self-care. While less than half the patients (43.0%) could carry on usual activities without any problems and only one-third of the patients (34.7%</w:t>
      </w:r>
      <w:r>
        <w:rPr>
          <w:rFonts w:cstheme="minorHAnsi"/>
          <w:sz w:val="24"/>
          <w:szCs w:val="24"/>
        </w:rPr>
        <w:t xml:space="preserve">) </w:t>
      </w:r>
      <w:r w:rsidRPr="00724D7C">
        <w:rPr>
          <w:rFonts w:cstheme="minorHAnsi"/>
          <w:sz w:val="24"/>
          <w:szCs w:val="24"/>
        </w:rPr>
        <w:t xml:space="preserve">reported no pain or discomfort after three-months of post-discharge. Around 40% of the patients reported experiencing some form of anxiety or depression. Again, the proportion of young males reporting any problems across all the five domains was the lowest while the proportion middle-aged females reported experiencing the problems across all the five domains was the highest. The overall EQ-5D scores are provided in Table </w:t>
      </w:r>
      <w:r>
        <w:rPr>
          <w:rFonts w:cstheme="minorHAnsi"/>
          <w:sz w:val="24"/>
          <w:szCs w:val="24"/>
        </w:rPr>
        <w:t>3</w:t>
      </w:r>
      <w:r w:rsidR="00EC4D15">
        <w:rPr>
          <w:rFonts w:cstheme="minorHAnsi"/>
          <w:sz w:val="24"/>
          <w:szCs w:val="24"/>
        </w:rPr>
        <w:t>.</w:t>
      </w:r>
    </w:p>
    <w:p w14:paraId="75641521" w14:textId="1B8B8B7A" w:rsidR="00724D7C" w:rsidRDefault="00724D7C" w:rsidP="00845A8C">
      <w:pPr>
        <w:spacing w:after="0"/>
        <w:jc w:val="both"/>
        <w:rPr>
          <w:rFonts w:cstheme="minorHAnsi"/>
          <w:sz w:val="24"/>
          <w:szCs w:val="24"/>
        </w:rPr>
      </w:pPr>
    </w:p>
    <w:p w14:paraId="53727DCB" w14:textId="6D12FC07" w:rsidR="00724D7C" w:rsidRPr="00E143FE" w:rsidRDefault="00724D7C" w:rsidP="00845A8C">
      <w:pPr>
        <w:spacing w:after="0"/>
        <w:jc w:val="both"/>
        <w:rPr>
          <w:rFonts w:cstheme="minorHAnsi"/>
          <w:i/>
          <w:iCs/>
          <w:sz w:val="24"/>
          <w:szCs w:val="24"/>
        </w:rPr>
      </w:pPr>
      <w:r w:rsidRPr="00E143FE">
        <w:rPr>
          <w:rFonts w:cstheme="minorHAnsi"/>
          <w:i/>
          <w:iCs/>
          <w:sz w:val="24"/>
          <w:szCs w:val="24"/>
        </w:rPr>
        <w:t>Table 3. Proportion of EQ-5D score</w:t>
      </w:r>
      <w:r w:rsidR="00EC4D15">
        <w:rPr>
          <w:rFonts w:cstheme="minorHAnsi"/>
          <w:i/>
          <w:iCs/>
          <w:sz w:val="24"/>
          <w:szCs w:val="24"/>
        </w:rPr>
        <w:t>s</w:t>
      </w:r>
      <w:r w:rsidRPr="00E143FE">
        <w:rPr>
          <w:rFonts w:cstheme="minorHAnsi"/>
          <w:i/>
          <w:iCs/>
          <w:sz w:val="24"/>
          <w:szCs w:val="24"/>
        </w:rPr>
        <w:t xml:space="preserve"> </w:t>
      </w:r>
      <w:r w:rsidR="00EC4D15">
        <w:rPr>
          <w:rFonts w:cstheme="minorHAnsi"/>
          <w:i/>
          <w:iCs/>
          <w:sz w:val="24"/>
          <w:szCs w:val="24"/>
        </w:rPr>
        <w:t xml:space="preserve">in the sample population </w:t>
      </w:r>
    </w:p>
    <w:tbl>
      <w:tblPr>
        <w:tblStyle w:val="PlainTable2"/>
        <w:tblW w:w="9170" w:type="dxa"/>
        <w:tblLook w:val="04A0" w:firstRow="1" w:lastRow="0" w:firstColumn="1" w:lastColumn="0" w:noHBand="0" w:noVBand="1"/>
      </w:tblPr>
      <w:tblGrid>
        <w:gridCol w:w="3690"/>
        <w:gridCol w:w="3600"/>
        <w:gridCol w:w="1880"/>
      </w:tblGrid>
      <w:tr w:rsidR="00724D7C" w:rsidRPr="00724D7C" w14:paraId="518E897C" w14:textId="77777777" w:rsidTr="00724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61249203" w14:textId="57139CD9" w:rsidR="00724D7C" w:rsidRPr="00724D7C" w:rsidRDefault="00724D7C" w:rsidP="00724D7C">
            <w:pPr>
              <w:jc w:val="both"/>
              <w:rPr>
                <w:rFonts w:cstheme="minorHAnsi"/>
                <w:sz w:val="24"/>
                <w:szCs w:val="24"/>
              </w:rPr>
            </w:pPr>
            <w:r>
              <w:rPr>
                <w:rFonts w:cstheme="minorHAnsi"/>
                <w:sz w:val="24"/>
                <w:szCs w:val="24"/>
              </w:rPr>
              <w:t>EQ-5D Domain</w:t>
            </w:r>
          </w:p>
        </w:tc>
        <w:tc>
          <w:tcPr>
            <w:tcW w:w="3600" w:type="dxa"/>
            <w:noWrap/>
          </w:tcPr>
          <w:p w14:paraId="53026D08" w14:textId="705CED5E" w:rsidR="00724D7C" w:rsidRPr="00724D7C" w:rsidRDefault="00724D7C" w:rsidP="00724D7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Levels</w:t>
            </w:r>
          </w:p>
        </w:tc>
        <w:tc>
          <w:tcPr>
            <w:tcW w:w="1880" w:type="dxa"/>
            <w:noWrap/>
          </w:tcPr>
          <w:p w14:paraId="1F1DB3FC" w14:textId="7DFD3743" w:rsidR="00724D7C" w:rsidRPr="00724D7C" w:rsidRDefault="00ED5B99" w:rsidP="00724D7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Numbers</w:t>
            </w:r>
          </w:p>
        </w:tc>
      </w:tr>
      <w:tr w:rsidR="00724D7C" w:rsidRPr="00724D7C" w14:paraId="6D0C6468"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64E1BFA2" w14:textId="2D38CACD" w:rsidR="00724D7C" w:rsidRPr="00724D7C" w:rsidRDefault="00724D7C" w:rsidP="00724D7C">
            <w:pPr>
              <w:jc w:val="both"/>
              <w:rPr>
                <w:rFonts w:cstheme="minorHAnsi"/>
                <w:sz w:val="24"/>
                <w:szCs w:val="24"/>
              </w:rPr>
            </w:pPr>
            <w:r w:rsidRPr="00724D7C">
              <w:rPr>
                <w:rFonts w:cstheme="minorHAnsi"/>
                <w:sz w:val="24"/>
                <w:szCs w:val="24"/>
              </w:rPr>
              <w:t>EQ5D Health Status (median [IQR])</w:t>
            </w:r>
          </w:p>
        </w:tc>
        <w:tc>
          <w:tcPr>
            <w:tcW w:w="3600" w:type="dxa"/>
            <w:noWrap/>
          </w:tcPr>
          <w:p w14:paraId="4381A01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880" w:type="dxa"/>
            <w:noWrap/>
          </w:tcPr>
          <w:p w14:paraId="5EE75DF5" w14:textId="76C8D942"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80.0 [65.0, 90.0]</w:t>
            </w:r>
          </w:p>
        </w:tc>
      </w:tr>
      <w:tr w:rsidR="00724D7C" w:rsidRPr="00724D7C" w14:paraId="543E530D"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43D4A10" w14:textId="77777777" w:rsidR="00724D7C" w:rsidRPr="00724D7C" w:rsidRDefault="00724D7C" w:rsidP="00724D7C">
            <w:pPr>
              <w:jc w:val="both"/>
              <w:rPr>
                <w:rFonts w:cstheme="minorHAnsi"/>
                <w:sz w:val="24"/>
                <w:szCs w:val="24"/>
              </w:rPr>
            </w:pPr>
            <w:r w:rsidRPr="00724D7C">
              <w:rPr>
                <w:rFonts w:cstheme="minorHAnsi"/>
                <w:sz w:val="24"/>
                <w:szCs w:val="24"/>
              </w:rPr>
              <w:t>EQ5D Mobility (%)</w:t>
            </w:r>
          </w:p>
        </w:tc>
        <w:tc>
          <w:tcPr>
            <w:tcW w:w="3600" w:type="dxa"/>
            <w:noWrap/>
            <w:hideMark/>
          </w:tcPr>
          <w:p w14:paraId="1E4F36DC"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No Problems</w:t>
            </w:r>
          </w:p>
        </w:tc>
        <w:tc>
          <w:tcPr>
            <w:tcW w:w="1880" w:type="dxa"/>
            <w:noWrap/>
            <w:hideMark/>
          </w:tcPr>
          <w:p w14:paraId="5FF850B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360 (54.8)</w:t>
            </w:r>
          </w:p>
        </w:tc>
      </w:tr>
      <w:tr w:rsidR="00724D7C" w:rsidRPr="00724D7C" w14:paraId="0C9E2D03"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605053E" w14:textId="77777777" w:rsidR="00724D7C" w:rsidRPr="00724D7C" w:rsidRDefault="00724D7C" w:rsidP="00724D7C">
            <w:pPr>
              <w:jc w:val="both"/>
              <w:rPr>
                <w:rFonts w:cstheme="minorHAnsi"/>
                <w:sz w:val="24"/>
                <w:szCs w:val="24"/>
              </w:rPr>
            </w:pPr>
          </w:p>
        </w:tc>
        <w:tc>
          <w:tcPr>
            <w:tcW w:w="3600" w:type="dxa"/>
            <w:noWrap/>
            <w:hideMark/>
          </w:tcPr>
          <w:p w14:paraId="39A70E7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Some Problems</w:t>
            </w:r>
          </w:p>
        </w:tc>
        <w:tc>
          <w:tcPr>
            <w:tcW w:w="1880" w:type="dxa"/>
            <w:noWrap/>
            <w:hideMark/>
          </w:tcPr>
          <w:p w14:paraId="58E2B748"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216 (32.9)</w:t>
            </w:r>
          </w:p>
        </w:tc>
      </w:tr>
      <w:tr w:rsidR="00724D7C" w:rsidRPr="00724D7C" w14:paraId="2AC187E3"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B317620" w14:textId="77777777" w:rsidR="00724D7C" w:rsidRPr="00724D7C" w:rsidRDefault="00724D7C" w:rsidP="00724D7C">
            <w:pPr>
              <w:jc w:val="both"/>
              <w:rPr>
                <w:rFonts w:cstheme="minorHAnsi"/>
                <w:sz w:val="24"/>
                <w:szCs w:val="24"/>
              </w:rPr>
            </w:pPr>
          </w:p>
        </w:tc>
        <w:tc>
          <w:tcPr>
            <w:tcW w:w="3600" w:type="dxa"/>
            <w:noWrap/>
            <w:hideMark/>
          </w:tcPr>
          <w:p w14:paraId="238D7FA5"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Confined to bed</w:t>
            </w:r>
          </w:p>
        </w:tc>
        <w:tc>
          <w:tcPr>
            <w:tcW w:w="1880" w:type="dxa"/>
            <w:noWrap/>
            <w:hideMark/>
          </w:tcPr>
          <w:p w14:paraId="0666A480"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81 (12.3)</w:t>
            </w:r>
          </w:p>
        </w:tc>
      </w:tr>
      <w:tr w:rsidR="00724D7C" w:rsidRPr="00724D7C" w14:paraId="3B2646FD"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D86CA95" w14:textId="77777777" w:rsidR="00724D7C" w:rsidRPr="00724D7C" w:rsidRDefault="00724D7C" w:rsidP="00724D7C">
            <w:pPr>
              <w:jc w:val="both"/>
              <w:rPr>
                <w:rFonts w:cstheme="minorHAnsi"/>
                <w:sz w:val="24"/>
                <w:szCs w:val="24"/>
              </w:rPr>
            </w:pPr>
            <w:r w:rsidRPr="00724D7C">
              <w:rPr>
                <w:rFonts w:cstheme="minorHAnsi"/>
                <w:sz w:val="24"/>
                <w:szCs w:val="24"/>
              </w:rPr>
              <w:t>EQ5D Self Care (%)</w:t>
            </w:r>
          </w:p>
        </w:tc>
        <w:tc>
          <w:tcPr>
            <w:tcW w:w="3600" w:type="dxa"/>
            <w:noWrap/>
            <w:hideMark/>
          </w:tcPr>
          <w:p w14:paraId="17169C09"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No Problems</w:t>
            </w:r>
          </w:p>
        </w:tc>
        <w:tc>
          <w:tcPr>
            <w:tcW w:w="1880" w:type="dxa"/>
            <w:noWrap/>
            <w:hideMark/>
          </w:tcPr>
          <w:p w14:paraId="596CB9F1"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415 (63.2)</w:t>
            </w:r>
          </w:p>
        </w:tc>
      </w:tr>
      <w:tr w:rsidR="00724D7C" w:rsidRPr="00724D7C" w14:paraId="15E57069"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67E3C17" w14:textId="77777777" w:rsidR="00724D7C" w:rsidRPr="00724D7C" w:rsidRDefault="00724D7C" w:rsidP="00724D7C">
            <w:pPr>
              <w:jc w:val="both"/>
              <w:rPr>
                <w:rFonts w:cstheme="minorHAnsi"/>
                <w:sz w:val="24"/>
                <w:szCs w:val="24"/>
              </w:rPr>
            </w:pPr>
          </w:p>
        </w:tc>
        <w:tc>
          <w:tcPr>
            <w:tcW w:w="3600" w:type="dxa"/>
            <w:noWrap/>
            <w:hideMark/>
          </w:tcPr>
          <w:p w14:paraId="73D41292"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Some Problems</w:t>
            </w:r>
          </w:p>
        </w:tc>
        <w:tc>
          <w:tcPr>
            <w:tcW w:w="1880" w:type="dxa"/>
            <w:noWrap/>
            <w:hideMark/>
          </w:tcPr>
          <w:p w14:paraId="29D97189"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182 (27.7)</w:t>
            </w:r>
          </w:p>
        </w:tc>
      </w:tr>
      <w:tr w:rsidR="00724D7C" w:rsidRPr="00724D7C" w14:paraId="30B890EA"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E16253E" w14:textId="77777777" w:rsidR="00724D7C" w:rsidRPr="00724D7C" w:rsidRDefault="00724D7C" w:rsidP="00724D7C">
            <w:pPr>
              <w:jc w:val="both"/>
              <w:rPr>
                <w:rFonts w:cstheme="minorHAnsi"/>
                <w:sz w:val="24"/>
                <w:szCs w:val="24"/>
              </w:rPr>
            </w:pPr>
          </w:p>
        </w:tc>
        <w:tc>
          <w:tcPr>
            <w:tcW w:w="3600" w:type="dxa"/>
            <w:noWrap/>
            <w:hideMark/>
          </w:tcPr>
          <w:p w14:paraId="529F7EBC"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Unable to wash or dress</w:t>
            </w:r>
          </w:p>
        </w:tc>
        <w:tc>
          <w:tcPr>
            <w:tcW w:w="1880" w:type="dxa"/>
            <w:noWrap/>
            <w:hideMark/>
          </w:tcPr>
          <w:p w14:paraId="4BCDC983"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60 (9.1)</w:t>
            </w:r>
          </w:p>
        </w:tc>
      </w:tr>
      <w:tr w:rsidR="00724D7C" w:rsidRPr="00724D7C" w14:paraId="699A7FAE"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39C312F" w14:textId="77777777" w:rsidR="00724D7C" w:rsidRPr="00724D7C" w:rsidRDefault="00724D7C" w:rsidP="00724D7C">
            <w:pPr>
              <w:jc w:val="both"/>
              <w:rPr>
                <w:rFonts w:cstheme="minorHAnsi"/>
                <w:sz w:val="24"/>
                <w:szCs w:val="24"/>
              </w:rPr>
            </w:pPr>
            <w:r w:rsidRPr="00724D7C">
              <w:rPr>
                <w:rFonts w:cstheme="minorHAnsi"/>
                <w:sz w:val="24"/>
                <w:szCs w:val="24"/>
              </w:rPr>
              <w:t>EQ5D Usual Activities (%)</w:t>
            </w:r>
          </w:p>
        </w:tc>
        <w:tc>
          <w:tcPr>
            <w:tcW w:w="3600" w:type="dxa"/>
            <w:noWrap/>
            <w:hideMark/>
          </w:tcPr>
          <w:p w14:paraId="0A179931"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No Problems</w:t>
            </w:r>
          </w:p>
        </w:tc>
        <w:tc>
          <w:tcPr>
            <w:tcW w:w="1880" w:type="dxa"/>
            <w:noWrap/>
            <w:hideMark/>
          </w:tcPr>
          <w:p w14:paraId="465C9A5B"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283 (43.0)</w:t>
            </w:r>
          </w:p>
        </w:tc>
      </w:tr>
      <w:tr w:rsidR="00724D7C" w:rsidRPr="00724D7C" w14:paraId="2683D521"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7212241" w14:textId="77777777" w:rsidR="00724D7C" w:rsidRPr="00724D7C" w:rsidRDefault="00724D7C" w:rsidP="00724D7C">
            <w:pPr>
              <w:jc w:val="both"/>
              <w:rPr>
                <w:rFonts w:cstheme="minorHAnsi"/>
                <w:sz w:val="24"/>
                <w:szCs w:val="24"/>
              </w:rPr>
            </w:pPr>
          </w:p>
        </w:tc>
        <w:tc>
          <w:tcPr>
            <w:tcW w:w="3600" w:type="dxa"/>
            <w:noWrap/>
            <w:hideMark/>
          </w:tcPr>
          <w:p w14:paraId="7D2C14F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Some Problems</w:t>
            </w:r>
          </w:p>
        </w:tc>
        <w:tc>
          <w:tcPr>
            <w:tcW w:w="1880" w:type="dxa"/>
            <w:noWrap/>
            <w:hideMark/>
          </w:tcPr>
          <w:p w14:paraId="1F2D4384"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245 (37.2)</w:t>
            </w:r>
          </w:p>
        </w:tc>
      </w:tr>
      <w:tr w:rsidR="00724D7C" w:rsidRPr="00724D7C" w14:paraId="5EFBA5C9"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A9412FB" w14:textId="77777777" w:rsidR="00724D7C" w:rsidRPr="00724D7C" w:rsidRDefault="00724D7C" w:rsidP="00724D7C">
            <w:pPr>
              <w:jc w:val="both"/>
              <w:rPr>
                <w:rFonts w:cstheme="minorHAnsi"/>
                <w:sz w:val="24"/>
                <w:szCs w:val="24"/>
              </w:rPr>
            </w:pPr>
          </w:p>
        </w:tc>
        <w:tc>
          <w:tcPr>
            <w:tcW w:w="3600" w:type="dxa"/>
            <w:noWrap/>
            <w:hideMark/>
          </w:tcPr>
          <w:p w14:paraId="0DA8DF4F"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Unable to perform usual activities</w:t>
            </w:r>
          </w:p>
        </w:tc>
        <w:tc>
          <w:tcPr>
            <w:tcW w:w="1880" w:type="dxa"/>
            <w:noWrap/>
            <w:hideMark/>
          </w:tcPr>
          <w:p w14:paraId="228B8F0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130 (19.8)</w:t>
            </w:r>
          </w:p>
        </w:tc>
      </w:tr>
      <w:tr w:rsidR="00724D7C" w:rsidRPr="00724D7C" w14:paraId="47D01C32"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713F578" w14:textId="77777777" w:rsidR="00724D7C" w:rsidRPr="00724D7C" w:rsidRDefault="00724D7C" w:rsidP="00724D7C">
            <w:pPr>
              <w:jc w:val="both"/>
              <w:rPr>
                <w:rFonts w:cstheme="minorHAnsi"/>
                <w:sz w:val="24"/>
                <w:szCs w:val="24"/>
              </w:rPr>
            </w:pPr>
            <w:r w:rsidRPr="00724D7C">
              <w:rPr>
                <w:rFonts w:cstheme="minorHAnsi"/>
                <w:sz w:val="24"/>
                <w:szCs w:val="24"/>
              </w:rPr>
              <w:t>EQ5D Pain/Discomfort (%)</w:t>
            </w:r>
          </w:p>
        </w:tc>
        <w:tc>
          <w:tcPr>
            <w:tcW w:w="3600" w:type="dxa"/>
            <w:noWrap/>
            <w:hideMark/>
          </w:tcPr>
          <w:p w14:paraId="53BCFA8C"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No Pain</w:t>
            </w:r>
          </w:p>
        </w:tc>
        <w:tc>
          <w:tcPr>
            <w:tcW w:w="1880" w:type="dxa"/>
            <w:noWrap/>
            <w:hideMark/>
          </w:tcPr>
          <w:p w14:paraId="13E4B3BD"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228 (34.7)</w:t>
            </w:r>
          </w:p>
        </w:tc>
      </w:tr>
      <w:tr w:rsidR="00724D7C" w:rsidRPr="00724D7C" w14:paraId="28A13671"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5D68F65" w14:textId="77777777" w:rsidR="00724D7C" w:rsidRPr="00724D7C" w:rsidRDefault="00724D7C" w:rsidP="00724D7C">
            <w:pPr>
              <w:jc w:val="both"/>
              <w:rPr>
                <w:rFonts w:cstheme="minorHAnsi"/>
                <w:sz w:val="24"/>
                <w:szCs w:val="24"/>
              </w:rPr>
            </w:pPr>
          </w:p>
        </w:tc>
        <w:tc>
          <w:tcPr>
            <w:tcW w:w="3600" w:type="dxa"/>
            <w:noWrap/>
            <w:hideMark/>
          </w:tcPr>
          <w:p w14:paraId="6347D860"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Moderate Pain</w:t>
            </w:r>
          </w:p>
        </w:tc>
        <w:tc>
          <w:tcPr>
            <w:tcW w:w="1880" w:type="dxa"/>
            <w:noWrap/>
            <w:hideMark/>
          </w:tcPr>
          <w:p w14:paraId="5644CE0A"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401 (60.9)</w:t>
            </w:r>
          </w:p>
        </w:tc>
      </w:tr>
      <w:tr w:rsidR="00724D7C" w:rsidRPr="00724D7C" w14:paraId="1213FCCD"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BB25A9A" w14:textId="77777777" w:rsidR="00724D7C" w:rsidRPr="00724D7C" w:rsidRDefault="00724D7C" w:rsidP="00724D7C">
            <w:pPr>
              <w:jc w:val="both"/>
              <w:rPr>
                <w:rFonts w:cstheme="minorHAnsi"/>
                <w:sz w:val="24"/>
                <w:szCs w:val="24"/>
              </w:rPr>
            </w:pPr>
          </w:p>
        </w:tc>
        <w:tc>
          <w:tcPr>
            <w:tcW w:w="3600" w:type="dxa"/>
            <w:noWrap/>
            <w:hideMark/>
          </w:tcPr>
          <w:p w14:paraId="144A9FB6"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Extreme Pain</w:t>
            </w:r>
          </w:p>
        </w:tc>
        <w:tc>
          <w:tcPr>
            <w:tcW w:w="1880" w:type="dxa"/>
            <w:noWrap/>
            <w:hideMark/>
          </w:tcPr>
          <w:p w14:paraId="0DDDD3D3"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29 (4.4)</w:t>
            </w:r>
          </w:p>
        </w:tc>
      </w:tr>
      <w:tr w:rsidR="00724D7C" w:rsidRPr="00724D7C" w14:paraId="7D4832B7"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3D61253" w14:textId="77777777" w:rsidR="00724D7C" w:rsidRPr="00724D7C" w:rsidRDefault="00724D7C" w:rsidP="00724D7C">
            <w:pPr>
              <w:jc w:val="both"/>
              <w:rPr>
                <w:rFonts w:cstheme="minorHAnsi"/>
                <w:sz w:val="24"/>
                <w:szCs w:val="24"/>
              </w:rPr>
            </w:pPr>
            <w:r w:rsidRPr="00724D7C">
              <w:rPr>
                <w:rFonts w:cstheme="minorHAnsi"/>
                <w:sz w:val="24"/>
                <w:szCs w:val="24"/>
              </w:rPr>
              <w:t>EQ5D Anxiety/Depression (%)</w:t>
            </w:r>
          </w:p>
        </w:tc>
        <w:tc>
          <w:tcPr>
            <w:tcW w:w="3600" w:type="dxa"/>
            <w:noWrap/>
            <w:hideMark/>
          </w:tcPr>
          <w:p w14:paraId="6689C96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No Anxious/depressed</w:t>
            </w:r>
          </w:p>
        </w:tc>
        <w:tc>
          <w:tcPr>
            <w:tcW w:w="1880" w:type="dxa"/>
            <w:noWrap/>
            <w:hideMark/>
          </w:tcPr>
          <w:p w14:paraId="4F013B2E"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385 (58.9)</w:t>
            </w:r>
          </w:p>
        </w:tc>
      </w:tr>
      <w:tr w:rsidR="00724D7C" w:rsidRPr="00724D7C" w14:paraId="5A55B050"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5CEA2F8" w14:textId="77777777" w:rsidR="00724D7C" w:rsidRPr="00724D7C" w:rsidRDefault="00724D7C" w:rsidP="00724D7C">
            <w:pPr>
              <w:jc w:val="both"/>
              <w:rPr>
                <w:rFonts w:cstheme="minorHAnsi"/>
                <w:sz w:val="24"/>
                <w:szCs w:val="24"/>
              </w:rPr>
            </w:pPr>
          </w:p>
        </w:tc>
        <w:tc>
          <w:tcPr>
            <w:tcW w:w="3600" w:type="dxa"/>
            <w:noWrap/>
            <w:hideMark/>
          </w:tcPr>
          <w:p w14:paraId="734EF41C"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Moderately Anxious/depressed</w:t>
            </w:r>
          </w:p>
        </w:tc>
        <w:tc>
          <w:tcPr>
            <w:tcW w:w="1880" w:type="dxa"/>
            <w:noWrap/>
            <w:hideMark/>
          </w:tcPr>
          <w:p w14:paraId="36F7C53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200 (30.6)</w:t>
            </w:r>
          </w:p>
        </w:tc>
      </w:tr>
      <w:tr w:rsidR="00724D7C" w:rsidRPr="00724D7C" w14:paraId="2143C10B"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459C508" w14:textId="77777777" w:rsidR="00724D7C" w:rsidRPr="00724D7C" w:rsidRDefault="00724D7C" w:rsidP="00724D7C">
            <w:pPr>
              <w:jc w:val="both"/>
              <w:rPr>
                <w:rFonts w:cstheme="minorHAnsi"/>
                <w:sz w:val="24"/>
                <w:szCs w:val="24"/>
              </w:rPr>
            </w:pPr>
          </w:p>
        </w:tc>
        <w:tc>
          <w:tcPr>
            <w:tcW w:w="3600" w:type="dxa"/>
            <w:noWrap/>
            <w:hideMark/>
          </w:tcPr>
          <w:p w14:paraId="22E880D3"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Extremely Anxious/depressed</w:t>
            </w:r>
          </w:p>
        </w:tc>
        <w:tc>
          <w:tcPr>
            <w:tcW w:w="1880" w:type="dxa"/>
            <w:noWrap/>
            <w:hideMark/>
          </w:tcPr>
          <w:p w14:paraId="4CA2EBFA"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69 (10.6)</w:t>
            </w:r>
          </w:p>
        </w:tc>
      </w:tr>
      <w:tr w:rsidR="00724D7C" w:rsidRPr="00724D7C" w14:paraId="27A6E447"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F519A10" w14:textId="5B3287DA" w:rsidR="00724D7C" w:rsidRPr="00724D7C" w:rsidRDefault="00724D7C" w:rsidP="00724D7C">
            <w:pPr>
              <w:jc w:val="both"/>
              <w:rPr>
                <w:rFonts w:cstheme="minorHAnsi"/>
                <w:sz w:val="24"/>
                <w:szCs w:val="24"/>
              </w:rPr>
            </w:pPr>
            <w:r w:rsidRPr="00724D7C">
              <w:rPr>
                <w:rFonts w:cstheme="minorHAnsi"/>
                <w:sz w:val="24"/>
                <w:szCs w:val="24"/>
              </w:rPr>
              <w:t>30</w:t>
            </w:r>
            <w:r>
              <w:rPr>
                <w:rFonts w:cstheme="minorHAnsi"/>
                <w:sz w:val="24"/>
                <w:szCs w:val="24"/>
              </w:rPr>
              <w:t>-</w:t>
            </w:r>
            <w:r w:rsidRPr="00724D7C">
              <w:rPr>
                <w:rFonts w:cstheme="minorHAnsi"/>
                <w:sz w:val="24"/>
                <w:szCs w:val="24"/>
              </w:rPr>
              <w:t>day mortality (%)</w:t>
            </w:r>
          </w:p>
        </w:tc>
        <w:tc>
          <w:tcPr>
            <w:tcW w:w="3600" w:type="dxa"/>
            <w:noWrap/>
            <w:hideMark/>
          </w:tcPr>
          <w:p w14:paraId="38903433"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Alive</w:t>
            </w:r>
          </w:p>
        </w:tc>
        <w:tc>
          <w:tcPr>
            <w:tcW w:w="1880" w:type="dxa"/>
            <w:noWrap/>
            <w:hideMark/>
          </w:tcPr>
          <w:p w14:paraId="0F2F60F2"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1196 (74.7)</w:t>
            </w:r>
          </w:p>
        </w:tc>
      </w:tr>
      <w:tr w:rsidR="00724D7C" w:rsidRPr="00724D7C" w14:paraId="12C416CF"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89052C1" w14:textId="77777777" w:rsidR="00724D7C" w:rsidRPr="00724D7C" w:rsidRDefault="00724D7C" w:rsidP="00724D7C">
            <w:pPr>
              <w:jc w:val="both"/>
              <w:rPr>
                <w:rFonts w:cstheme="minorHAnsi"/>
                <w:sz w:val="24"/>
                <w:szCs w:val="24"/>
              </w:rPr>
            </w:pPr>
          </w:p>
        </w:tc>
        <w:tc>
          <w:tcPr>
            <w:tcW w:w="3600" w:type="dxa"/>
            <w:noWrap/>
            <w:hideMark/>
          </w:tcPr>
          <w:p w14:paraId="63C3A395"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Dead</w:t>
            </w:r>
          </w:p>
        </w:tc>
        <w:tc>
          <w:tcPr>
            <w:tcW w:w="1880" w:type="dxa"/>
            <w:noWrap/>
            <w:hideMark/>
          </w:tcPr>
          <w:p w14:paraId="6367736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406 (25.3)</w:t>
            </w:r>
          </w:p>
        </w:tc>
      </w:tr>
    </w:tbl>
    <w:p w14:paraId="0D6422F0" w14:textId="77777777" w:rsidR="00724D7C" w:rsidRDefault="00724D7C" w:rsidP="00845A8C">
      <w:pPr>
        <w:spacing w:after="0"/>
        <w:jc w:val="both"/>
        <w:rPr>
          <w:rFonts w:cstheme="minorHAnsi"/>
          <w:sz w:val="24"/>
          <w:szCs w:val="24"/>
        </w:rPr>
      </w:pPr>
    </w:p>
    <w:p w14:paraId="12EDAB87" w14:textId="77777777" w:rsidR="00724D7C" w:rsidRDefault="00724D7C" w:rsidP="00845A8C">
      <w:pPr>
        <w:spacing w:after="0"/>
        <w:jc w:val="both"/>
        <w:rPr>
          <w:rFonts w:cstheme="minorHAnsi"/>
          <w:sz w:val="24"/>
          <w:szCs w:val="24"/>
        </w:rPr>
      </w:pPr>
    </w:p>
    <w:p w14:paraId="27F6CC46" w14:textId="4A229A30" w:rsidR="00EC4D15" w:rsidRPr="00EC4D15" w:rsidRDefault="00EC4D15" w:rsidP="00EC4D15">
      <w:pPr>
        <w:spacing w:after="0"/>
        <w:jc w:val="both"/>
        <w:rPr>
          <w:rFonts w:cstheme="minorHAnsi"/>
          <w:i/>
          <w:iCs/>
          <w:sz w:val="24"/>
          <w:szCs w:val="24"/>
        </w:rPr>
      </w:pPr>
      <w:r w:rsidRPr="00EC4D15">
        <w:rPr>
          <w:rFonts w:cstheme="minorHAnsi"/>
          <w:i/>
          <w:iCs/>
          <w:sz w:val="24"/>
          <w:szCs w:val="24"/>
        </w:rPr>
        <w:t>EQ-5D in relation to gender and age</w:t>
      </w:r>
    </w:p>
    <w:p w14:paraId="522ED3F3" w14:textId="54E09509" w:rsidR="00ED5B99" w:rsidRPr="00ED5B99" w:rsidRDefault="00ED5B99" w:rsidP="00EC4D15">
      <w:pPr>
        <w:spacing w:after="0"/>
        <w:jc w:val="both"/>
        <w:rPr>
          <w:rFonts w:cstheme="minorHAnsi"/>
          <w:i/>
          <w:iCs/>
          <w:sz w:val="24"/>
          <w:szCs w:val="24"/>
        </w:rPr>
      </w:pPr>
      <w:r w:rsidRPr="00ED5B99">
        <w:rPr>
          <w:rFonts w:cstheme="minorHAnsi"/>
          <w:i/>
          <w:iCs/>
          <w:sz w:val="24"/>
          <w:szCs w:val="24"/>
        </w:rPr>
        <w:t>Health Status</w:t>
      </w:r>
    </w:p>
    <w:p w14:paraId="04235CD9" w14:textId="1C99C532" w:rsidR="00ED5B99" w:rsidRDefault="00EC4D15" w:rsidP="00EC4D15">
      <w:pPr>
        <w:spacing w:after="0"/>
        <w:jc w:val="both"/>
        <w:rPr>
          <w:rFonts w:cstheme="minorHAnsi"/>
          <w:sz w:val="24"/>
          <w:szCs w:val="24"/>
        </w:rPr>
      </w:pPr>
      <w:r w:rsidRPr="00EC4D15">
        <w:rPr>
          <w:rFonts w:cstheme="minorHAnsi"/>
          <w:sz w:val="24"/>
          <w:szCs w:val="24"/>
        </w:rPr>
        <w:t xml:space="preserve">Overall females had a slightly higher mean EQ5D health status score </w:t>
      </w:r>
      <w:r>
        <w:rPr>
          <w:rFonts w:cstheme="minorHAnsi"/>
          <w:sz w:val="24"/>
          <w:szCs w:val="24"/>
        </w:rPr>
        <w:t>(83.1)</w:t>
      </w:r>
      <w:r w:rsidRPr="00EC4D15">
        <w:rPr>
          <w:rFonts w:cstheme="minorHAnsi"/>
          <w:sz w:val="24"/>
          <w:szCs w:val="24"/>
        </w:rPr>
        <w:t xml:space="preserve"> than males </w:t>
      </w:r>
      <w:r>
        <w:rPr>
          <w:rFonts w:cstheme="minorHAnsi"/>
          <w:sz w:val="24"/>
          <w:szCs w:val="24"/>
        </w:rPr>
        <w:t>(80.3)</w:t>
      </w:r>
      <w:r w:rsidRPr="00EC4D15">
        <w:rPr>
          <w:rFonts w:cstheme="minorHAnsi"/>
          <w:sz w:val="24"/>
          <w:szCs w:val="24"/>
        </w:rPr>
        <w:t xml:space="preserve"> After adjusting for injury etiology, vitals, and severity, </w:t>
      </w:r>
      <w:r>
        <w:rPr>
          <w:rFonts w:cstheme="minorHAnsi"/>
          <w:sz w:val="24"/>
          <w:szCs w:val="24"/>
        </w:rPr>
        <w:t>y</w:t>
      </w:r>
      <w:r w:rsidRPr="00EC4D15">
        <w:rPr>
          <w:rFonts w:cstheme="minorHAnsi"/>
          <w:sz w:val="24"/>
          <w:szCs w:val="24"/>
        </w:rPr>
        <w:t>oung females (18-32 years) had the highest health status score (</w:t>
      </w:r>
      <w:r>
        <w:rPr>
          <w:rFonts w:cstheme="minorHAnsi"/>
          <w:sz w:val="24"/>
          <w:szCs w:val="24"/>
        </w:rPr>
        <w:t>85.0</w:t>
      </w:r>
      <w:r w:rsidRPr="00EC4D15">
        <w:rPr>
          <w:rFonts w:cstheme="minorHAnsi"/>
          <w:sz w:val="24"/>
          <w:szCs w:val="24"/>
        </w:rPr>
        <w:t>) followed by younger males (</w:t>
      </w:r>
      <w:r>
        <w:rPr>
          <w:rFonts w:cstheme="minorHAnsi"/>
          <w:sz w:val="24"/>
          <w:szCs w:val="24"/>
        </w:rPr>
        <w:t xml:space="preserve">84.4) </w:t>
      </w:r>
      <w:r w:rsidRPr="00EC4D15">
        <w:rPr>
          <w:rFonts w:cstheme="minorHAnsi"/>
          <w:sz w:val="24"/>
          <w:szCs w:val="24"/>
        </w:rPr>
        <w:t xml:space="preserve">while middle aged males </w:t>
      </w:r>
      <w:r>
        <w:rPr>
          <w:rFonts w:cstheme="minorHAnsi"/>
          <w:sz w:val="24"/>
          <w:szCs w:val="24"/>
        </w:rPr>
        <w:t>(79.</w:t>
      </w:r>
      <w:r w:rsidR="00ED5B99">
        <w:rPr>
          <w:rFonts w:cstheme="minorHAnsi"/>
          <w:sz w:val="24"/>
          <w:szCs w:val="24"/>
        </w:rPr>
        <w:t>8</w:t>
      </w:r>
      <w:r>
        <w:rPr>
          <w:rFonts w:cstheme="minorHAnsi"/>
          <w:sz w:val="24"/>
          <w:szCs w:val="24"/>
        </w:rPr>
        <w:t xml:space="preserve">) </w:t>
      </w:r>
      <w:r w:rsidRPr="00EC4D15">
        <w:rPr>
          <w:rFonts w:cstheme="minorHAnsi"/>
          <w:sz w:val="24"/>
          <w:szCs w:val="24"/>
        </w:rPr>
        <w:t>and older females reported the lowest scores (</w:t>
      </w:r>
      <w:r>
        <w:rPr>
          <w:rFonts w:cstheme="minorHAnsi"/>
          <w:sz w:val="24"/>
          <w:szCs w:val="24"/>
        </w:rPr>
        <w:t>81.8</w:t>
      </w:r>
      <w:r w:rsidRPr="00EC4D15">
        <w:rPr>
          <w:rFonts w:cstheme="minorHAnsi"/>
          <w:sz w:val="24"/>
          <w:szCs w:val="24"/>
        </w:rPr>
        <w:t xml:space="preserve">) (Table </w:t>
      </w:r>
      <w:r>
        <w:rPr>
          <w:rFonts w:cstheme="minorHAnsi"/>
          <w:sz w:val="24"/>
          <w:szCs w:val="24"/>
        </w:rPr>
        <w:t>4</w:t>
      </w:r>
      <w:r w:rsidRPr="00EC4D15">
        <w:rPr>
          <w:rFonts w:cstheme="minorHAnsi"/>
          <w:sz w:val="24"/>
          <w:szCs w:val="24"/>
        </w:rPr>
        <w:t xml:space="preserve">). </w:t>
      </w:r>
    </w:p>
    <w:p w14:paraId="305CD2AC" w14:textId="3C6D1180" w:rsidR="00ED5B99" w:rsidRDefault="00ED5B99" w:rsidP="00EC4D15">
      <w:pPr>
        <w:spacing w:after="0"/>
        <w:jc w:val="both"/>
        <w:rPr>
          <w:rFonts w:cstheme="minorHAnsi"/>
          <w:sz w:val="24"/>
          <w:szCs w:val="24"/>
        </w:rPr>
      </w:pPr>
    </w:p>
    <w:p w14:paraId="3F453B55" w14:textId="14E1C584" w:rsidR="00ED5B99" w:rsidRPr="00ED5B99" w:rsidRDefault="00ED5B99" w:rsidP="00EC4D15">
      <w:pPr>
        <w:spacing w:after="0"/>
        <w:jc w:val="both"/>
        <w:rPr>
          <w:rFonts w:cstheme="minorHAnsi"/>
          <w:i/>
          <w:iCs/>
          <w:sz w:val="24"/>
          <w:szCs w:val="24"/>
        </w:rPr>
      </w:pPr>
      <w:r w:rsidRPr="00ED5B99">
        <w:rPr>
          <w:rFonts w:cstheme="minorHAnsi"/>
          <w:i/>
          <w:iCs/>
          <w:sz w:val="24"/>
          <w:szCs w:val="24"/>
        </w:rPr>
        <w:t xml:space="preserve">Table 4. </w:t>
      </w:r>
      <w:r w:rsidR="00B743DD">
        <w:rPr>
          <w:rFonts w:cstheme="minorHAnsi"/>
          <w:i/>
          <w:iCs/>
          <w:sz w:val="24"/>
          <w:szCs w:val="24"/>
        </w:rPr>
        <w:t xml:space="preserve">Adjusted </w:t>
      </w:r>
      <w:r w:rsidRPr="00ED5B99">
        <w:rPr>
          <w:rFonts w:cstheme="minorHAnsi"/>
          <w:i/>
          <w:iCs/>
          <w:sz w:val="24"/>
          <w:szCs w:val="24"/>
        </w:rPr>
        <w:t xml:space="preserve">EQ-5D Health status across age and gender categories </w:t>
      </w:r>
    </w:p>
    <w:tbl>
      <w:tblPr>
        <w:tblStyle w:val="PlainTable2"/>
        <w:tblW w:w="0" w:type="auto"/>
        <w:tblLook w:val="04A0" w:firstRow="1" w:lastRow="0" w:firstColumn="1" w:lastColumn="0" w:noHBand="0" w:noVBand="1"/>
      </w:tblPr>
      <w:tblGrid>
        <w:gridCol w:w="4340"/>
        <w:gridCol w:w="1551"/>
        <w:gridCol w:w="1504"/>
      </w:tblGrid>
      <w:tr w:rsidR="00ED5B99" w:rsidRPr="00ED5B99" w14:paraId="5694623D" w14:textId="77777777" w:rsidTr="00ED5B9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val="restart"/>
            <w:noWrap/>
            <w:hideMark/>
          </w:tcPr>
          <w:p w14:paraId="5C95F044" w14:textId="77777777" w:rsidR="00ED5B99" w:rsidRPr="00ED5B99" w:rsidRDefault="00ED5B99" w:rsidP="00ED5B99">
            <w:pPr>
              <w:jc w:val="both"/>
              <w:rPr>
                <w:rFonts w:cstheme="minorHAnsi"/>
                <w:sz w:val="24"/>
                <w:szCs w:val="24"/>
              </w:rPr>
            </w:pPr>
            <w:r w:rsidRPr="00ED5B99">
              <w:rPr>
                <w:rFonts w:cstheme="minorHAnsi"/>
                <w:sz w:val="24"/>
                <w:szCs w:val="24"/>
              </w:rPr>
              <w:t>Gender and Age Characteristics</w:t>
            </w:r>
          </w:p>
        </w:tc>
        <w:tc>
          <w:tcPr>
            <w:tcW w:w="3055" w:type="dxa"/>
            <w:gridSpan w:val="2"/>
            <w:noWrap/>
            <w:hideMark/>
          </w:tcPr>
          <w:p w14:paraId="7F2F59C9" w14:textId="77777777" w:rsidR="00ED5B99" w:rsidRPr="00ED5B99" w:rsidRDefault="00ED5B99" w:rsidP="00C2791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EQ5D Score</w:t>
            </w:r>
          </w:p>
        </w:tc>
      </w:tr>
      <w:tr w:rsidR="00ED5B99" w:rsidRPr="00ED5B99" w14:paraId="526C87E0"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hideMark/>
          </w:tcPr>
          <w:p w14:paraId="15899F7F" w14:textId="77777777" w:rsidR="00ED5B99" w:rsidRPr="00ED5B99" w:rsidRDefault="00ED5B99" w:rsidP="00ED5B99">
            <w:pPr>
              <w:jc w:val="both"/>
              <w:rPr>
                <w:rFonts w:cstheme="minorHAnsi"/>
                <w:sz w:val="24"/>
                <w:szCs w:val="24"/>
              </w:rPr>
            </w:pPr>
          </w:p>
        </w:tc>
        <w:tc>
          <w:tcPr>
            <w:tcW w:w="1551" w:type="dxa"/>
            <w:noWrap/>
            <w:hideMark/>
          </w:tcPr>
          <w:p w14:paraId="5BB87CBD"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 xml:space="preserve">Mean </w:t>
            </w:r>
          </w:p>
        </w:tc>
        <w:tc>
          <w:tcPr>
            <w:tcW w:w="1503" w:type="dxa"/>
            <w:noWrap/>
            <w:hideMark/>
          </w:tcPr>
          <w:p w14:paraId="4F9641F1"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SE</w:t>
            </w:r>
          </w:p>
        </w:tc>
      </w:tr>
      <w:tr w:rsidR="00ED5B99" w:rsidRPr="00ED5B99" w14:paraId="664131CA"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28A58799" w14:textId="77777777" w:rsidR="00ED5B99" w:rsidRPr="00ED5B99" w:rsidRDefault="00ED5B99" w:rsidP="00ED5B99">
            <w:pPr>
              <w:jc w:val="both"/>
              <w:rPr>
                <w:rFonts w:cstheme="minorHAnsi"/>
                <w:sz w:val="24"/>
                <w:szCs w:val="24"/>
              </w:rPr>
            </w:pPr>
            <w:r w:rsidRPr="00ED5B99">
              <w:rPr>
                <w:rFonts w:cstheme="minorHAnsi"/>
                <w:sz w:val="24"/>
                <w:szCs w:val="24"/>
              </w:rPr>
              <w:t>Overall</w:t>
            </w:r>
          </w:p>
        </w:tc>
        <w:tc>
          <w:tcPr>
            <w:tcW w:w="1551" w:type="dxa"/>
            <w:noWrap/>
            <w:hideMark/>
          </w:tcPr>
          <w:p w14:paraId="714FCFA5"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81.75</w:t>
            </w:r>
          </w:p>
        </w:tc>
        <w:tc>
          <w:tcPr>
            <w:tcW w:w="1503" w:type="dxa"/>
            <w:noWrap/>
            <w:hideMark/>
          </w:tcPr>
          <w:p w14:paraId="1DDDEFB2"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7.8</w:t>
            </w:r>
          </w:p>
        </w:tc>
      </w:tr>
      <w:tr w:rsidR="00ED5B99" w:rsidRPr="00ED5B99" w14:paraId="36564651"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E200013" w14:textId="77777777" w:rsidR="00ED5B99" w:rsidRPr="00ED5B99" w:rsidRDefault="00ED5B99" w:rsidP="00ED5B99">
            <w:pPr>
              <w:jc w:val="both"/>
              <w:rPr>
                <w:rFonts w:cstheme="minorHAnsi"/>
                <w:sz w:val="24"/>
                <w:szCs w:val="24"/>
              </w:rPr>
            </w:pPr>
            <w:r w:rsidRPr="00ED5B99">
              <w:rPr>
                <w:rFonts w:cstheme="minorHAnsi"/>
                <w:sz w:val="24"/>
                <w:szCs w:val="24"/>
              </w:rPr>
              <w:t>Male 18-32 years</w:t>
            </w:r>
          </w:p>
        </w:tc>
        <w:tc>
          <w:tcPr>
            <w:tcW w:w="1551" w:type="dxa"/>
            <w:noWrap/>
            <w:hideMark/>
          </w:tcPr>
          <w:p w14:paraId="5CAFD61B" w14:textId="69EB178F"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84.4</w:t>
            </w:r>
          </w:p>
        </w:tc>
        <w:tc>
          <w:tcPr>
            <w:tcW w:w="1503" w:type="dxa"/>
            <w:noWrap/>
            <w:hideMark/>
          </w:tcPr>
          <w:p w14:paraId="60B5B7BA"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5.27</w:t>
            </w:r>
          </w:p>
        </w:tc>
      </w:tr>
      <w:tr w:rsidR="00ED5B99" w:rsidRPr="00ED5B99" w14:paraId="7594689C"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26D472E9" w14:textId="77777777" w:rsidR="00ED5B99" w:rsidRPr="00ED5B99" w:rsidRDefault="00ED5B99" w:rsidP="00ED5B99">
            <w:pPr>
              <w:jc w:val="both"/>
              <w:rPr>
                <w:rFonts w:cstheme="minorHAnsi"/>
                <w:sz w:val="24"/>
                <w:szCs w:val="24"/>
              </w:rPr>
            </w:pPr>
            <w:r w:rsidRPr="00ED5B99">
              <w:rPr>
                <w:rFonts w:cstheme="minorHAnsi"/>
                <w:sz w:val="24"/>
                <w:szCs w:val="24"/>
              </w:rPr>
              <w:t>Male 33-59 years</w:t>
            </w:r>
          </w:p>
        </w:tc>
        <w:tc>
          <w:tcPr>
            <w:tcW w:w="1551" w:type="dxa"/>
            <w:noWrap/>
            <w:hideMark/>
          </w:tcPr>
          <w:p w14:paraId="3F49142F"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79.8</w:t>
            </w:r>
          </w:p>
        </w:tc>
        <w:tc>
          <w:tcPr>
            <w:tcW w:w="1503" w:type="dxa"/>
            <w:noWrap/>
            <w:hideMark/>
          </w:tcPr>
          <w:p w14:paraId="71982A1C"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5.28</w:t>
            </w:r>
          </w:p>
        </w:tc>
      </w:tr>
      <w:tr w:rsidR="00ED5B99" w:rsidRPr="00ED5B99" w14:paraId="7994E66F"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597E0D00" w14:textId="77777777" w:rsidR="00ED5B99" w:rsidRPr="00ED5B99" w:rsidRDefault="00ED5B99" w:rsidP="00ED5B99">
            <w:pPr>
              <w:jc w:val="both"/>
              <w:rPr>
                <w:rFonts w:cstheme="minorHAnsi"/>
                <w:sz w:val="24"/>
                <w:szCs w:val="24"/>
              </w:rPr>
            </w:pPr>
            <w:r w:rsidRPr="00ED5B99">
              <w:rPr>
                <w:rFonts w:cstheme="minorHAnsi"/>
                <w:sz w:val="24"/>
                <w:szCs w:val="24"/>
              </w:rPr>
              <w:t>Male 60 years and above</w:t>
            </w:r>
          </w:p>
        </w:tc>
        <w:tc>
          <w:tcPr>
            <w:tcW w:w="1551" w:type="dxa"/>
            <w:noWrap/>
            <w:hideMark/>
          </w:tcPr>
          <w:p w14:paraId="53C59B3B" w14:textId="0D92CE32"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82</w:t>
            </w:r>
            <w:r>
              <w:rPr>
                <w:rFonts w:cstheme="minorHAnsi"/>
                <w:sz w:val="24"/>
                <w:szCs w:val="24"/>
              </w:rPr>
              <w:t>.0</w:t>
            </w:r>
          </w:p>
        </w:tc>
        <w:tc>
          <w:tcPr>
            <w:tcW w:w="1503" w:type="dxa"/>
            <w:noWrap/>
            <w:hideMark/>
          </w:tcPr>
          <w:p w14:paraId="5EE1054B"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20.22</w:t>
            </w:r>
          </w:p>
        </w:tc>
      </w:tr>
      <w:tr w:rsidR="00ED5B99" w:rsidRPr="00ED5B99" w14:paraId="5834208A"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0592882" w14:textId="77777777" w:rsidR="00ED5B99" w:rsidRPr="00ED5B99" w:rsidRDefault="00ED5B99" w:rsidP="00ED5B99">
            <w:pPr>
              <w:jc w:val="both"/>
              <w:rPr>
                <w:rFonts w:cstheme="minorHAnsi"/>
                <w:sz w:val="24"/>
                <w:szCs w:val="24"/>
              </w:rPr>
            </w:pPr>
            <w:r w:rsidRPr="00ED5B99">
              <w:rPr>
                <w:rFonts w:cstheme="minorHAnsi"/>
                <w:sz w:val="24"/>
                <w:szCs w:val="24"/>
              </w:rPr>
              <w:t>Female 18-32 years</w:t>
            </w:r>
          </w:p>
        </w:tc>
        <w:tc>
          <w:tcPr>
            <w:tcW w:w="1551" w:type="dxa"/>
            <w:noWrap/>
            <w:hideMark/>
          </w:tcPr>
          <w:p w14:paraId="5773EA8D" w14:textId="71C139A5"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85</w:t>
            </w:r>
            <w:r>
              <w:rPr>
                <w:rFonts w:cstheme="minorHAnsi"/>
                <w:sz w:val="24"/>
                <w:szCs w:val="24"/>
              </w:rPr>
              <w:t>.0</w:t>
            </w:r>
          </w:p>
        </w:tc>
        <w:tc>
          <w:tcPr>
            <w:tcW w:w="1503" w:type="dxa"/>
            <w:noWrap/>
            <w:hideMark/>
          </w:tcPr>
          <w:p w14:paraId="14FA0F92"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5.27</w:t>
            </w:r>
          </w:p>
        </w:tc>
      </w:tr>
      <w:tr w:rsidR="00ED5B99" w:rsidRPr="00ED5B99" w14:paraId="4A2D8AB5"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2D1396E" w14:textId="77777777" w:rsidR="00ED5B99" w:rsidRPr="00ED5B99" w:rsidRDefault="00ED5B99" w:rsidP="00ED5B99">
            <w:pPr>
              <w:jc w:val="both"/>
              <w:rPr>
                <w:rFonts w:cstheme="minorHAnsi"/>
                <w:sz w:val="24"/>
                <w:szCs w:val="24"/>
              </w:rPr>
            </w:pPr>
            <w:r w:rsidRPr="00ED5B99">
              <w:rPr>
                <w:rFonts w:cstheme="minorHAnsi"/>
                <w:sz w:val="24"/>
                <w:szCs w:val="24"/>
              </w:rPr>
              <w:t>Female 33-59 years</w:t>
            </w:r>
          </w:p>
        </w:tc>
        <w:tc>
          <w:tcPr>
            <w:tcW w:w="1551" w:type="dxa"/>
            <w:noWrap/>
            <w:hideMark/>
          </w:tcPr>
          <w:p w14:paraId="0F950F00"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82.7</w:t>
            </w:r>
          </w:p>
        </w:tc>
        <w:tc>
          <w:tcPr>
            <w:tcW w:w="1503" w:type="dxa"/>
            <w:noWrap/>
            <w:hideMark/>
          </w:tcPr>
          <w:p w14:paraId="646D24E6"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4.9</w:t>
            </w:r>
          </w:p>
        </w:tc>
      </w:tr>
      <w:tr w:rsidR="00ED5B99" w:rsidRPr="00ED5B99" w14:paraId="2F32AEEB"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502F24F5" w14:textId="77777777" w:rsidR="00ED5B99" w:rsidRPr="00ED5B99" w:rsidRDefault="00ED5B99" w:rsidP="00ED5B99">
            <w:pPr>
              <w:jc w:val="both"/>
              <w:rPr>
                <w:rFonts w:cstheme="minorHAnsi"/>
                <w:sz w:val="24"/>
                <w:szCs w:val="24"/>
              </w:rPr>
            </w:pPr>
            <w:r w:rsidRPr="00ED5B99">
              <w:rPr>
                <w:rFonts w:cstheme="minorHAnsi"/>
                <w:sz w:val="24"/>
                <w:szCs w:val="24"/>
              </w:rPr>
              <w:t>Female 60 years and above</w:t>
            </w:r>
          </w:p>
        </w:tc>
        <w:tc>
          <w:tcPr>
            <w:tcW w:w="1551" w:type="dxa"/>
            <w:noWrap/>
            <w:hideMark/>
          </w:tcPr>
          <w:p w14:paraId="3BA9B7BA"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81.8</w:t>
            </w:r>
          </w:p>
        </w:tc>
        <w:tc>
          <w:tcPr>
            <w:tcW w:w="1503" w:type="dxa"/>
            <w:noWrap/>
            <w:hideMark/>
          </w:tcPr>
          <w:p w14:paraId="78FA238C"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5.86</w:t>
            </w:r>
          </w:p>
        </w:tc>
      </w:tr>
    </w:tbl>
    <w:p w14:paraId="7556831A" w14:textId="49F64689" w:rsidR="00B743DD" w:rsidRPr="00B743DD" w:rsidRDefault="00B743DD" w:rsidP="00EC4D15">
      <w:pPr>
        <w:spacing w:after="0"/>
        <w:jc w:val="both"/>
        <w:rPr>
          <w:rFonts w:cstheme="minorHAnsi"/>
          <w:i/>
          <w:iCs/>
          <w:sz w:val="20"/>
          <w:szCs w:val="20"/>
        </w:rPr>
      </w:pPr>
      <w:bookmarkStart w:id="0" w:name="_Hlk83807432"/>
      <w:r w:rsidRPr="00B743DD">
        <w:rPr>
          <w:rFonts w:cstheme="minorHAnsi"/>
          <w:i/>
          <w:iCs/>
          <w:sz w:val="20"/>
          <w:szCs w:val="20"/>
        </w:rPr>
        <w:t xml:space="preserve">Adjusted for age, gender, mechanism of injury, mode of transport, transfer status, heart rate, oxygen saturation, systolic blood pressure, respiratory rate, </w:t>
      </w:r>
      <w:r w:rsidR="00C27913">
        <w:rPr>
          <w:rFonts w:cstheme="minorHAnsi"/>
          <w:i/>
          <w:iCs/>
          <w:sz w:val="20"/>
          <w:szCs w:val="20"/>
        </w:rPr>
        <w:t xml:space="preserve">type of injury, </w:t>
      </w:r>
      <w:r w:rsidRPr="00B743DD">
        <w:rPr>
          <w:rFonts w:cstheme="minorHAnsi"/>
          <w:i/>
          <w:iCs/>
          <w:sz w:val="20"/>
          <w:szCs w:val="20"/>
        </w:rPr>
        <w:t>and Glasgow Coma Scale</w:t>
      </w:r>
    </w:p>
    <w:bookmarkEnd w:id="0"/>
    <w:p w14:paraId="2F243B77" w14:textId="77777777" w:rsidR="00B743DD" w:rsidRDefault="00B743DD" w:rsidP="00EC4D15">
      <w:pPr>
        <w:spacing w:after="0"/>
        <w:jc w:val="both"/>
        <w:rPr>
          <w:rFonts w:cstheme="minorHAnsi"/>
          <w:sz w:val="24"/>
          <w:szCs w:val="24"/>
        </w:rPr>
      </w:pPr>
    </w:p>
    <w:p w14:paraId="42076EC6" w14:textId="3FFD6A0A" w:rsidR="00EC4D15" w:rsidRDefault="00EC4D15" w:rsidP="00EC4D15">
      <w:pPr>
        <w:spacing w:after="0"/>
        <w:jc w:val="both"/>
        <w:rPr>
          <w:rFonts w:cstheme="minorHAnsi"/>
          <w:sz w:val="24"/>
          <w:szCs w:val="24"/>
        </w:rPr>
      </w:pPr>
      <w:r w:rsidRPr="00EC4D15">
        <w:rPr>
          <w:rFonts w:cstheme="minorHAnsi"/>
          <w:sz w:val="24"/>
          <w:szCs w:val="24"/>
        </w:rPr>
        <w:t>The linear regression of health status with the interaction effect of age and gender</w:t>
      </w:r>
      <w:r w:rsidR="00ED5B99">
        <w:rPr>
          <w:rFonts w:cstheme="minorHAnsi"/>
          <w:sz w:val="24"/>
          <w:szCs w:val="24"/>
        </w:rPr>
        <w:t xml:space="preserve"> </w:t>
      </w:r>
      <w:r w:rsidR="00ED5B99" w:rsidRPr="00ED5B99">
        <w:rPr>
          <w:rFonts w:cstheme="minorHAnsi"/>
          <w:sz w:val="24"/>
          <w:szCs w:val="24"/>
        </w:rPr>
        <w:t>was not significant</w:t>
      </w:r>
      <w:r w:rsidR="00ED5B99">
        <w:rPr>
          <w:rFonts w:cstheme="minorHAnsi"/>
          <w:sz w:val="24"/>
          <w:szCs w:val="24"/>
        </w:rPr>
        <w:t xml:space="preserve"> even </w:t>
      </w:r>
      <w:r w:rsidRPr="00EC4D15">
        <w:rPr>
          <w:rFonts w:cstheme="minorHAnsi"/>
          <w:sz w:val="24"/>
          <w:szCs w:val="24"/>
        </w:rPr>
        <w:t>after adjusting for injury etiology, vitals, and severity</w:t>
      </w:r>
      <w:r w:rsidR="00DF4DD6">
        <w:rPr>
          <w:rFonts w:cstheme="minorHAnsi"/>
          <w:sz w:val="24"/>
          <w:szCs w:val="24"/>
        </w:rPr>
        <w:t xml:space="preserve">. The adjusted linear regression analysis of health status, keeping young males as the reference group, </w:t>
      </w:r>
      <w:r w:rsidR="00694676">
        <w:rPr>
          <w:rFonts w:cstheme="minorHAnsi"/>
          <w:sz w:val="24"/>
          <w:szCs w:val="24"/>
        </w:rPr>
        <w:t>was statistically</w:t>
      </w:r>
      <w:r w:rsidR="00DF4DD6" w:rsidRPr="00DF4DD6">
        <w:rPr>
          <w:rFonts w:cstheme="minorHAnsi"/>
          <w:sz w:val="24"/>
          <w:szCs w:val="24"/>
        </w:rPr>
        <w:t xml:space="preserve"> significant </w:t>
      </w:r>
      <w:r w:rsidR="00DF4DD6">
        <w:rPr>
          <w:rFonts w:cstheme="minorHAnsi"/>
          <w:sz w:val="24"/>
          <w:szCs w:val="24"/>
        </w:rPr>
        <w:t>only for middle-aged males</w:t>
      </w:r>
      <w:r w:rsidR="00D94351">
        <w:rPr>
          <w:rFonts w:cstheme="minorHAnsi"/>
          <w:sz w:val="24"/>
          <w:szCs w:val="24"/>
        </w:rPr>
        <w:t xml:space="preserve"> (Table 5)</w:t>
      </w:r>
      <w:r w:rsidR="00ED5B99">
        <w:rPr>
          <w:rFonts w:cstheme="minorHAnsi"/>
          <w:sz w:val="24"/>
          <w:szCs w:val="24"/>
        </w:rPr>
        <w:t>.</w:t>
      </w:r>
    </w:p>
    <w:p w14:paraId="28E003C3" w14:textId="77777777" w:rsidR="00D94351" w:rsidRDefault="00D94351" w:rsidP="00EC4D15">
      <w:pPr>
        <w:spacing w:after="0"/>
        <w:jc w:val="both"/>
        <w:rPr>
          <w:rFonts w:cstheme="minorHAnsi"/>
          <w:sz w:val="24"/>
          <w:szCs w:val="24"/>
        </w:rPr>
      </w:pPr>
    </w:p>
    <w:p w14:paraId="321644CD" w14:textId="1A3D6987" w:rsidR="00D94351" w:rsidRPr="00D94351" w:rsidRDefault="00D94351" w:rsidP="00EC4D15">
      <w:pPr>
        <w:spacing w:after="0"/>
        <w:jc w:val="both"/>
        <w:rPr>
          <w:rFonts w:cstheme="minorHAnsi"/>
          <w:i/>
          <w:iCs/>
          <w:sz w:val="24"/>
          <w:szCs w:val="24"/>
        </w:rPr>
      </w:pPr>
      <w:r w:rsidRPr="00D94351">
        <w:rPr>
          <w:rFonts w:cstheme="minorHAnsi"/>
          <w:i/>
          <w:iCs/>
          <w:sz w:val="24"/>
          <w:szCs w:val="24"/>
        </w:rPr>
        <w:t>Table 5. Regression analysis summary of EQ-5D health status with interaction of age and gender and across different groups</w:t>
      </w:r>
    </w:p>
    <w:tbl>
      <w:tblPr>
        <w:tblStyle w:val="TableGrid"/>
        <w:tblW w:w="0" w:type="auto"/>
        <w:tblLook w:val="04A0" w:firstRow="1" w:lastRow="0" w:firstColumn="1" w:lastColumn="0" w:noHBand="0" w:noVBand="1"/>
      </w:tblPr>
      <w:tblGrid>
        <w:gridCol w:w="3415"/>
        <w:gridCol w:w="1663"/>
        <w:gridCol w:w="1441"/>
        <w:gridCol w:w="1281"/>
        <w:gridCol w:w="1216"/>
      </w:tblGrid>
      <w:tr w:rsidR="00D94351" w:rsidRPr="00D94351" w14:paraId="7F714043" w14:textId="77777777" w:rsidTr="00D94351">
        <w:trPr>
          <w:trHeight w:val="300"/>
        </w:trPr>
        <w:tc>
          <w:tcPr>
            <w:tcW w:w="3415" w:type="dxa"/>
            <w:noWrap/>
            <w:hideMark/>
          </w:tcPr>
          <w:p w14:paraId="5A5D05A9" w14:textId="77777777" w:rsidR="00D94351" w:rsidRPr="00D94351" w:rsidRDefault="00D94351" w:rsidP="00D94351">
            <w:pPr>
              <w:jc w:val="both"/>
              <w:rPr>
                <w:rFonts w:cstheme="minorHAnsi"/>
                <w:b/>
                <w:bCs/>
                <w:sz w:val="24"/>
                <w:szCs w:val="24"/>
              </w:rPr>
            </w:pPr>
            <w:r w:rsidRPr="00D94351">
              <w:rPr>
                <w:rFonts w:cstheme="minorHAnsi"/>
                <w:b/>
                <w:bCs/>
                <w:sz w:val="24"/>
                <w:szCs w:val="24"/>
              </w:rPr>
              <w:t>Group</w:t>
            </w:r>
          </w:p>
        </w:tc>
        <w:tc>
          <w:tcPr>
            <w:tcW w:w="1663" w:type="dxa"/>
            <w:noWrap/>
            <w:hideMark/>
          </w:tcPr>
          <w:p w14:paraId="3DAF0F05" w14:textId="77777777" w:rsidR="00D94351" w:rsidRPr="00D94351" w:rsidRDefault="00D94351" w:rsidP="00D94351">
            <w:pPr>
              <w:jc w:val="both"/>
              <w:rPr>
                <w:rFonts w:cstheme="minorHAnsi"/>
                <w:b/>
                <w:bCs/>
                <w:sz w:val="24"/>
                <w:szCs w:val="24"/>
              </w:rPr>
            </w:pPr>
            <w:r w:rsidRPr="00D94351">
              <w:rPr>
                <w:rFonts w:cstheme="minorHAnsi"/>
                <w:b/>
                <w:bCs/>
                <w:sz w:val="24"/>
                <w:szCs w:val="24"/>
              </w:rPr>
              <w:t>Coefficient</w:t>
            </w:r>
          </w:p>
        </w:tc>
        <w:tc>
          <w:tcPr>
            <w:tcW w:w="2722" w:type="dxa"/>
            <w:gridSpan w:val="2"/>
            <w:noWrap/>
            <w:hideMark/>
          </w:tcPr>
          <w:p w14:paraId="7FDFF87F" w14:textId="77777777" w:rsidR="00D94351" w:rsidRPr="00D94351" w:rsidRDefault="00D94351" w:rsidP="00D94351">
            <w:pPr>
              <w:jc w:val="both"/>
              <w:rPr>
                <w:rFonts w:cstheme="minorHAnsi"/>
                <w:b/>
                <w:bCs/>
                <w:sz w:val="24"/>
                <w:szCs w:val="24"/>
              </w:rPr>
            </w:pPr>
            <w:r w:rsidRPr="00D94351">
              <w:rPr>
                <w:rFonts w:cstheme="minorHAnsi"/>
                <w:b/>
                <w:bCs/>
                <w:sz w:val="24"/>
                <w:szCs w:val="24"/>
              </w:rPr>
              <w:t>95% CI</w:t>
            </w:r>
          </w:p>
        </w:tc>
        <w:tc>
          <w:tcPr>
            <w:tcW w:w="1216" w:type="dxa"/>
            <w:noWrap/>
            <w:hideMark/>
          </w:tcPr>
          <w:p w14:paraId="4E4D1D7E" w14:textId="77777777" w:rsidR="00D94351" w:rsidRPr="00D94351" w:rsidRDefault="00D94351" w:rsidP="00D94351">
            <w:pPr>
              <w:jc w:val="both"/>
              <w:rPr>
                <w:rFonts w:cstheme="minorHAnsi"/>
                <w:b/>
                <w:bCs/>
                <w:sz w:val="24"/>
                <w:szCs w:val="24"/>
              </w:rPr>
            </w:pPr>
            <w:r w:rsidRPr="00D94351">
              <w:rPr>
                <w:rFonts w:cstheme="minorHAnsi"/>
                <w:b/>
                <w:bCs/>
                <w:sz w:val="24"/>
                <w:szCs w:val="24"/>
              </w:rPr>
              <w:t>p-value</w:t>
            </w:r>
          </w:p>
        </w:tc>
      </w:tr>
      <w:tr w:rsidR="00D94351" w:rsidRPr="00D94351" w14:paraId="0482A27E" w14:textId="77777777" w:rsidTr="00D94351">
        <w:trPr>
          <w:trHeight w:val="300"/>
        </w:trPr>
        <w:tc>
          <w:tcPr>
            <w:tcW w:w="3415" w:type="dxa"/>
            <w:noWrap/>
            <w:hideMark/>
          </w:tcPr>
          <w:p w14:paraId="36BB5435" w14:textId="77777777" w:rsidR="00D94351" w:rsidRPr="00D94351" w:rsidRDefault="00D94351" w:rsidP="00D94351">
            <w:pPr>
              <w:rPr>
                <w:rFonts w:cstheme="minorHAnsi"/>
                <w:sz w:val="24"/>
                <w:szCs w:val="24"/>
              </w:rPr>
            </w:pPr>
            <w:r w:rsidRPr="00D94351">
              <w:rPr>
                <w:rFonts w:cstheme="minorHAnsi"/>
                <w:sz w:val="24"/>
                <w:szCs w:val="24"/>
              </w:rPr>
              <w:t>Interaction Term [Age*Gender]</w:t>
            </w:r>
          </w:p>
        </w:tc>
        <w:tc>
          <w:tcPr>
            <w:tcW w:w="1663" w:type="dxa"/>
            <w:noWrap/>
            <w:hideMark/>
          </w:tcPr>
          <w:p w14:paraId="4B9A577C" w14:textId="77777777" w:rsidR="00D94351" w:rsidRPr="00D94351" w:rsidRDefault="00D94351" w:rsidP="00D94351">
            <w:pPr>
              <w:jc w:val="both"/>
              <w:rPr>
                <w:rFonts w:cstheme="minorHAnsi"/>
                <w:sz w:val="24"/>
                <w:szCs w:val="24"/>
              </w:rPr>
            </w:pPr>
          </w:p>
        </w:tc>
        <w:tc>
          <w:tcPr>
            <w:tcW w:w="1441" w:type="dxa"/>
            <w:noWrap/>
            <w:hideMark/>
          </w:tcPr>
          <w:p w14:paraId="7B1B0EE7" w14:textId="77777777" w:rsidR="00D94351" w:rsidRPr="00D94351" w:rsidRDefault="00D94351" w:rsidP="00D94351">
            <w:pPr>
              <w:jc w:val="both"/>
              <w:rPr>
                <w:rFonts w:cstheme="minorHAnsi"/>
                <w:sz w:val="24"/>
                <w:szCs w:val="24"/>
              </w:rPr>
            </w:pPr>
            <w:r w:rsidRPr="00D94351">
              <w:rPr>
                <w:rFonts w:cstheme="minorHAnsi"/>
                <w:sz w:val="24"/>
                <w:szCs w:val="24"/>
              </w:rPr>
              <w:t>-5.36</w:t>
            </w:r>
          </w:p>
        </w:tc>
        <w:tc>
          <w:tcPr>
            <w:tcW w:w="1281" w:type="dxa"/>
            <w:noWrap/>
            <w:hideMark/>
          </w:tcPr>
          <w:p w14:paraId="5817B279" w14:textId="77777777" w:rsidR="00D94351" w:rsidRPr="00D94351" w:rsidRDefault="00D94351" w:rsidP="00D94351">
            <w:pPr>
              <w:jc w:val="both"/>
              <w:rPr>
                <w:rFonts w:cstheme="minorHAnsi"/>
                <w:sz w:val="24"/>
                <w:szCs w:val="24"/>
              </w:rPr>
            </w:pPr>
            <w:r w:rsidRPr="00D94351">
              <w:rPr>
                <w:rFonts w:cstheme="minorHAnsi"/>
                <w:sz w:val="24"/>
                <w:szCs w:val="24"/>
              </w:rPr>
              <w:t>2.16</w:t>
            </w:r>
          </w:p>
        </w:tc>
        <w:tc>
          <w:tcPr>
            <w:tcW w:w="1216" w:type="dxa"/>
            <w:noWrap/>
            <w:hideMark/>
          </w:tcPr>
          <w:p w14:paraId="20269DDB" w14:textId="77777777" w:rsidR="00D94351" w:rsidRPr="00D94351" w:rsidRDefault="00D94351" w:rsidP="00D94351">
            <w:pPr>
              <w:jc w:val="both"/>
              <w:rPr>
                <w:rFonts w:cstheme="minorHAnsi"/>
                <w:sz w:val="24"/>
                <w:szCs w:val="24"/>
              </w:rPr>
            </w:pPr>
            <w:r w:rsidRPr="00D94351">
              <w:rPr>
                <w:rFonts w:cstheme="minorHAnsi"/>
                <w:sz w:val="24"/>
                <w:szCs w:val="24"/>
              </w:rPr>
              <w:t>0.40</w:t>
            </w:r>
          </w:p>
        </w:tc>
      </w:tr>
      <w:tr w:rsidR="00D94351" w:rsidRPr="00D94351" w14:paraId="6D7D9121" w14:textId="77777777" w:rsidTr="00D94351">
        <w:trPr>
          <w:trHeight w:val="300"/>
        </w:trPr>
        <w:tc>
          <w:tcPr>
            <w:tcW w:w="3415" w:type="dxa"/>
            <w:noWrap/>
            <w:hideMark/>
          </w:tcPr>
          <w:p w14:paraId="22A07DA3" w14:textId="77777777" w:rsidR="00D94351" w:rsidRPr="00D94351" w:rsidRDefault="00D94351" w:rsidP="00D94351">
            <w:pPr>
              <w:jc w:val="both"/>
              <w:rPr>
                <w:rFonts w:cstheme="minorHAnsi"/>
                <w:sz w:val="24"/>
                <w:szCs w:val="24"/>
              </w:rPr>
            </w:pPr>
            <w:r w:rsidRPr="00D94351">
              <w:rPr>
                <w:rFonts w:cstheme="minorHAnsi"/>
                <w:sz w:val="24"/>
                <w:szCs w:val="24"/>
              </w:rPr>
              <w:t>Male 18-32 years</w:t>
            </w:r>
          </w:p>
        </w:tc>
        <w:tc>
          <w:tcPr>
            <w:tcW w:w="5601" w:type="dxa"/>
            <w:gridSpan w:val="4"/>
            <w:noWrap/>
            <w:hideMark/>
          </w:tcPr>
          <w:p w14:paraId="0200A318" w14:textId="77777777" w:rsidR="00D94351" w:rsidRPr="00D94351" w:rsidRDefault="00D94351" w:rsidP="00D94351">
            <w:pPr>
              <w:jc w:val="center"/>
              <w:rPr>
                <w:rFonts w:cstheme="minorHAnsi"/>
                <w:sz w:val="24"/>
                <w:szCs w:val="24"/>
              </w:rPr>
            </w:pPr>
            <w:r w:rsidRPr="00D94351">
              <w:rPr>
                <w:rFonts w:cstheme="minorHAnsi"/>
                <w:sz w:val="24"/>
                <w:szCs w:val="24"/>
              </w:rPr>
              <w:t>Reference</w:t>
            </w:r>
          </w:p>
        </w:tc>
      </w:tr>
      <w:tr w:rsidR="00D94351" w:rsidRPr="00D94351" w14:paraId="1BCDE62A" w14:textId="77777777" w:rsidTr="00D94351">
        <w:trPr>
          <w:trHeight w:val="300"/>
        </w:trPr>
        <w:tc>
          <w:tcPr>
            <w:tcW w:w="3415" w:type="dxa"/>
            <w:noWrap/>
            <w:hideMark/>
          </w:tcPr>
          <w:p w14:paraId="05358ECA" w14:textId="77777777" w:rsidR="00D94351" w:rsidRPr="00D94351" w:rsidRDefault="00D94351" w:rsidP="00D94351">
            <w:pPr>
              <w:jc w:val="both"/>
              <w:rPr>
                <w:rFonts w:cstheme="minorHAnsi"/>
                <w:sz w:val="24"/>
                <w:szCs w:val="24"/>
              </w:rPr>
            </w:pPr>
            <w:r w:rsidRPr="00D94351">
              <w:rPr>
                <w:rFonts w:cstheme="minorHAnsi"/>
                <w:sz w:val="24"/>
                <w:szCs w:val="24"/>
              </w:rPr>
              <w:t>Female 18-32 years</w:t>
            </w:r>
          </w:p>
        </w:tc>
        <w:tc>
          <w:tcPr>
            <w:tcW w:w="1663" w:type="dxa"/>
            <w:noWrap/>
            <w:hideMark/>
          </w:tcPr>
          <w:p w14:paraId="72B37FDF" w14:textId="77777777" w:rsidR="00D94351" w:rsidRPr="00D94351" w:rsidRDefault="00D94351" w:rsidP="00D94351">
            <w:pPr>
              <w:jc w:val="both"/>
              <w:rPr>
                <w:rFonts w:cstheme="minorHAnsi"/>
                <w:sz w:val="24"/>
                <w:szCs w:val="24"/>
              </w:rPr>
            </w:pPr>
            <w:r w:rsidRPr="00D94351">
              <w:rPr>
                <w:rFonts w:cstheme="minorHAnsi"/>
                <w:sz w:val="24"/>
                <w:szCs w:val="24"/>
              </w:rPr>
              <w:t>0.63</w:t>
            </w:r>
          </w:p>
        </w:tc>
        <w:tc>
          <w:tcPr>
            <w:tcW w:w="1441" w:type="dxa"/>
            <w:noWrap/>
            <w:hideMark/>
          </w:tcPr>
          <w:p w14:paraId="6B3D7975" w14:textId="77777777" w:rsidR="00D94351" w:rsidRPr="00D94351" w:rsidRDefault="00D94351" w:rsidP="00D94351">
            <w:pPr>
              <w:jc w:val="both"/>
              <w:rPr>
                <w:rFonts w:cstheme="minorHAnsi"/>
                <w:sz w:val="24"/>
                <w:szCs w:val="24"/>
              </w:rPr>
            </w:pPr>
            <w:r w:rsidRPr="00D94351">
              <w:rPr>
                <w:rFonts w:cstheme="minorHAnsi"/>
                <w:sz w:val="24"/>
                <w:szCs w:val="24"/>
              </w:rPr>
              <w:t>-5.42</w:t>
            </w:r>
          </w:p>
        </w:tc>
        <w:tc>
          <w:tcPr>
            <w:tcW w:w="1281" w:type="dxa"/>
            <w:noWrap/>
            <w:hideMark/>
          </w:tcPr>
          <w:p w14:paraId="306969A0" w14:textId="77777777" w:rsidR="00D94351" w:rsidRPr="00D94351" w:rsidRDefault="00D94351" w:rsidP="00D94351">
            <w:pPr>
              <w:jc w:val="both"/>
              <w:rPr>
                <w:rFonts w:cstheme="minorHAnsi"/>
                <w:sz w:val="24"/>
                <w:szCs w:val="24"/>
              </w:rPr>
            </w:pPr>
            <w:r w:rsidRPr="00D94351">
              <w:rPr>
                <w:rFonts w:cstheme="minorHAnsi"/>
                <w:sz w:val="24"/>
                <w:szCs w:val="24"/>
              </w:rPr>
              <w:t>6.68</w:t>
            </w:r>
          </w:p>
        </w:tc>
        <w:tc>
          <w:tcPr>
            <w:tcW w:w="1216" w:type="dxa"/>
            <w:noWrap/>
            <w:hideMark/>
          </w:tcPr>
          <w:p w14:paraId="5705FD29" w14:textId="77777777" w:rsidR="00D94351" w:rsidRPr="00D94351" w:rsidRDefault="00D94351" w:rsidP="00D94351">
            <w:pPr>
              <w:jc w:val="both"/>
              <w:rPr>
                <w:rFonts w:cstheme="minorHAnsi"/>
                <w:sz w:val="24"/>
                <w:szCs w:val="24"/>
              </w:rPr>
            </w:pPr>
            <w:r w:rsidRPr="00D94351">
              <w:rPr>
                <w:rFonts w:cstheme="minorHAnsi"/>
                <w:sz w:val="24"/>
                <w:szCs w:val="24"/>
              </w:rPr>
              <w:t>0.84</w:t>
            </w:r>
          </w:p>
        </w:tc>
      </w:tr>
      <w:tr w:rsidR="00D94351" w:rsidRPr="00D94351" w14:paraId="4B2FA65C" w14:textId="77777777" w:rsidTr="00D94351">
        <w:trPr>
          <w:trHeight w:val="300"/>
        </w:trPr>
        <w:tc>
          <w:tcPr>
            <w:tcW w:w="3415" w:type="dxa"/>
            <w:noWrap/>
            <w:hideMark/>
          </w:tcPr>
          <w:p w14:paraId="45038BAF" w14:textId="77777777" w:rsidR="00D94351" w:rsidRPr="00D94351" w:rsidRDefault="00D94351" w:rsidP="00D94351">
            <w:pPr>
              <w:jc w:val="both"/>
              <w:rPr>
                <w:rFonts w:cstheme="minorHAnsi"/>
                <w:sz w:val="24"/>
                <w:szCs w:val="24"/>
              </w:rPr>
            </w:pPr>
            <w:r w:rsidRPr="00D94351">
              <w:rPr>
                <w:rFonts w:cstheme="minorHAnsi"/>
                <w:sz w:val="24"/>
                <w:szCs w:val="24"/>
              </w:rPr>
              <w:t>Male 33-59 years</w:t>
            </w:r>
          </w:p>
        </w:tc>
        <w:tc>
          <w:tcPr>
            <w:tcW w:w="1663" w:type="dxa"/>
            <w:noWrap/>
            <w:hideMark/>
          </w:tcPr>
          <w:p w14:paraId="34129BC8" w14:textId="77777777" w:rsidR="00D94351" w:rsidRPr="00D94351" w:rsidRDefault="00D94351" w:rsidP="00D94351">
            <w:pPr>
              <w:jc w:val="both"/>
              <w:rPr>
                <w:rFonts w:cstheme="minorHAnsi"/>
                <w:sz w:val="24"/>
                <w:szCs w:val="24"/>
              </w:rPr>
            </w:pPr>
            <w:r w:rsidRPr="00D94351">
              <w:rPr>
                <w:rFonts w:cstheme="minorHAnsi"/>
                <w:sz w:val="24"/>
                <w:szCs w:val="24"/>
              </w:rPr>
              <w:t>-4.57</w:t>
            </w:r>
          </w:p>
        </w:tc>
        <w:tc>
          <w:tcPr>
            <w:tcW w:w="1441" w:type="dxa"/>
            <w:noWrap/>
            <w:hideMark/>
          </w:tcPr>
          <w:p w14:paraId="48EF0E04" w14:textId="77777777" w:rsidR="00D94351" w:rsidRPr="00D94351" w:rsidRDefault="00D94351" w:rsidP="00D94351">
            <w:pPr>
              <w:jc w:val="both"/>
              <w:rPr>
                <w:rFonts w:cstheme="minorHAnsi"/>
                <w:sz w:val="24"/>
                <w:szCs w:val="24"/>
              </w:rPr>
            </w:pPr>
            <w:r w:rsidRPr="00D94351">
              <w:rPr>
                <w:rFonts w:cstheme="minorHAnsi"/>
                <w:sz w:val="24"/>
                <w:szCs w:val="24"/>
              </w:rPr>
              <w:t>-8.43</w:t>
            </w:r>
          </w:p>
        </w:tc>
        <w:tc>
          <w:tcPr>
            <w:tcW w:w="1281" w:type="dxa"/>
            <w:noWrap/>
            <w:hideMark/>
          </w:tcPr>
          <w:p w14:paraId="15F97870" w14:textId="77777777" w:rsidR="00D94351" w:rsidRPr="00D94351" w:rsidRDefault="00D94351" w:rsidP="00D94351">
            <w:pPr>
              <w:jc w:val="both"/>
              <w:rPr>
                <w:rFonts w:cstheme="minorHAnsi"/>
                <w:sz w:val="24"/>
                <w:szCs w:val="24"/>
              </w:rPr>
            </w:pPr>
            <w:r w:rsidRPr="00D94351">
              <w:rPr>
                <w:rFonts w:cstheme="minorHAnsi"/>
                <w:sz w:val="24"/>
                <w:szCs w:val="24"/>
              </w:rPr>
              <w:t>-0.70</w:t>
            </w:r>
          </w:p>
        </w:tc>
        <w:tc>
          <w:tcPr>
            <w:tcW w:w="1216" w:type="dxa"/>
            <w:noWrap/>
            <w:hideMark/>
          </w:tcPr>
          <w:p w14:paraId="1E8E1105" w14:textId="1B5A3B4D" w:rsidR="00D94351" w:rsidRPr="00D94351" w:rsidRDefault="00D94351" w:rsidP="00D94351">
            <w:pPr>
              <w:jc w:val="both"/>
              <w:rPr>
                <w:rFonts w:cstheme="minorHAnsi"/>
                <w:sz w:val="24"/>
                <w:szCs w:val="24"/>
              </w:rPr>
            </w:pPr>
            <w:r w:rsidRPr="00D94351">
              <w:rPr>
                <w:rFonts w:cstheme="minorHAnsi"/>
                <w:sz w:val="24"/>
                <w:szCs w:val="24"/>
              </w:rPr>
              <w:t>0.02</w:t>
            </w:r>
            <w:r>
              <w:rPr>
                <w:rFonts w:cstheme="minorHAnsi"/>
                <w:sz w:val="24"/>
                <w:szCs w:val="24"/>
              </w:rPr>
              <w:t>*</w:t>
            </w:r>
          </w:p>
        </w:tc>
      </w:tr>
      <w:tr w:rsidR="00D94351" w:rsidRPr="00D94351" w14:paraId="271D7687" w14:textId="77777777" w:rsidTr="00D94351">
        <w:trPr>
          <w:trHeight w:val="300"/>
        </w:trPr>
        <w:tc>
          <w:tcPr>
            <w:tcW w:w="3415" w:type="dxa"/>
            <w:noWrap/>
            <w:hideMark/>
          </w:tcPr>
          <w:p w14:paraId="7E0E0470" w14:textId="77777777" w:rsidR="00D94351" w:rsidRPr="00D94351" w:rsidRDefault="00D94351" w:rsidP="00D94351">
            <w:pPr>
              <w:jc w:val="both"/>
              <w:rPr>
                <w:rFonts w:cstheme="minorHAnsi"/>
                <w:sz w:val="24"/>
                <w:szCs w:val="24"/>
              </w:rPr>
            </w:pPr>
            <w:r w:rsidRPr="00D94351">
              <w:rPr>
                <w:rFonts w:cstheme="minorHAnsi"/>
                <w:sz w:val="24"/>
                <w:szCs w:val="24"/>
              </w:rPr>
              <w:t>Female 33-59 years</w:t>
            </w:r>
          </w:p>
        </w:tc>
        <w:tc>
          <w:tcPr>
            <w:tcW w:w="1663" w:type="dxa"/>
            <w:noWrap/>
            <w:hideMark/>
          </w:tcPr>
          <w:p w14:paraId="7ACD47E7" w14:textId="77777777" w:rsidR="00D94351" w:rsidRPr="00D94351" w:rsidRDefault="00D94351" w:rsidP="00D94351">
            <w:pPr>
              <w:jc w:val="both"/>
              <w:rPr>
                <w:rFonts w:cstheme="minorHAnsi"/>
                <w:sz w:val="24"/>
                <w:szCs w:val="24"/>
              </w:rPr>
            </w:pPr>
            <w:r w:rsidRPr="00D94351">
              <w:rPr>
                <w:rFonts w:cstheme="minorHAnsi"/>
                <w:sz w:val="24"/>
                <w:szCs w:val="24"/>
              </w:rPr>
              <w:t>2.27</w:t>
            </w:r>
          </w:p>
        </w:tc>
        <w:tc>
          <w:tcPr>
            <w:tcW w:w="1441" w:type="dxa"/>
            <w:noWrap/>
            <w:hideMark/>
          </w:tcPr>
          <w:p w14:paraId="304C55A4" w14:textId="77777777" w:rsidR="00D94351" w:rsidRPr="00D94351" w:rsidRDefault="00D94351" w:rsidP="00D94351">
            <w:pPr>
              <w:jc w:val="both"/>
              <w:rPr>
                <w:rFonts w:cstheme="minorHAnsi"/>
                <w:sz w:val="24"/>
                <w:szCs w:val="24"/>
              </w:rPr>
            </w:pPr>
            <w:r w:rsidRPr="00D94351">
              <w:rPr>
                <w:rFonts w:cstheme="minorHAnsi"/>
                <w:sz w:val="24"/>
                <w:szCs w:val="24"/>
              </w:rPr>
              <w:t>-5.96</w:t>
            </w:r>
          </w:p>
        </w:tc>
        <w:tc>
          <w:tcPr>
            <w:tcW w:w="1281" w:type="dxa"/>
            <w:noWrap/>
            <w:hideMark/>
          </w:tcPr>
          <w:p w14:paraId="7B7E3DA1" w14:textId="77777777" w:rsidR="00D94351" w:rsidRPr="00D94351" w:rsidRDefault="00D94351" w:rsidP="00D94351">
            <w:pPr>
              <w:jc w:val="both"/>
              <w:rPr>
                <w:rFonts w:cstheme="minorHAnsi"/>
                <w:sz w:val="24"/>
                <w:szCs w:val="24"/>
              </w:rPr>
            </w:pPr>
            <w:r w:rsidRPr="00D94351">
              <w:rPr>
                <w:rFonts w:cstheme="minorHAnsi"/>
                <w:sz w:val="24"/>
                <w:szCs w:val="24"/>
              </w:rPr>
              <w:t>10.51</w:t>
            </w:r>
          </w:p>
        </w:tc>
        <w:tc>
          <w:tcPr>
            <w:tcW w:w="1216" w:type="dxa"/>
            <w:noWrap/>
            <w:hideMark/>
          </w:tcPr>
          <w:p w14:paraId="350F4D83" w14:textId="77777777" w:rsidR="00D94351" w:rsidRPr="00D94351" w:rsidRDefault="00D94351" w:rsidP="00D94351">
            <w:pPr>
              <w:jc w:val="both"/>
              <w:rPr>
                <w:rFonts w:cstheme="minorHAnsi"/>
                <w:sz w:val="24"/>
                <w:szCs w:val="24"/>
              </w:rPr>
            </w:pPr>
            <w:r w:rsidRPr="00D94351">
              <w:rPr>
                <w:rFonts w:cstheme="minorHAnsi"/>
                <w:sz w:val="24"/>
                <w:szCs w:val="24"/>
              </w:rPr>
              <w:t>0.59</w:t>
            </w:r>
          </w:p>
        </w:tc>
      </w:tr>
      <w:tr w:rsidR="00D94351" w:rsidRPr="00D94351" w14:paraId="07B7CB51" w14:textId="77777777" w:rsidTr="00D94351">
        <w:trPr>
          <w:trHeight w:val="300"/>
        </w:trPr>
        <w:tc>
          <w:tcPr>
            <w:tcW w:w="3415" w:type="dxa"/>
            <w:noWrap/>
            <w:hideMark/>
          </w:tcPr>
          <w:p w14:paraId="3058EE03" w14:textId="77777777" w:rsidR="00D94351" w:rsidRPr="00D94351" w:rsidRDefault="00D94351" w:rsidP="00D94351">
            <w:pPr>
              <w:jc w:val="both"/>
              <w:rPr>
                <w:rFonts w:cstheme="minorHAnsi"/>
                <w:sz w:val="24"/>
                <w:szCs w:val="24"/>
              </w:rPr>
            </w:pPr>
            <w:r w:rsidRPr="00D94351">
              <w:rPr>
                <w:rFonts w:cstheme="minorHAnsi"/>
                <w:sz w:val="24"/>
                <w:szCs w:val="24"/>
              </w:rPr>
              <w:lastRenderedPageBreak/>
              <w:t>Male 60 years and above</w:t>
            </w:r>
          </w:p>
        </w:tc>
        <w:tc>
          <w:tcPr>
            <w:tcW w:w="1663" w:type="dxa"/>
            <w:noWrap/>
            <w:hideMark/>
          </w:tcPr>
          <w:p w14:paraId="5EAFC22E" w14:textId="77777777" w:rsidR="00D94351" w:rsidRPr="00D94351" w:rsidRDefault="00D94351" w:rsidP="00D94351">
            <w:pPr>
              <w:jc w:val="both"/>
              <w:rPr>
                <w:rFonts w:cstheme="minorHAnsi"/>
                <w:sz w:val="24"/>
                <w:szCs w:val="24"/>
              </w:rPr>
            </w:pPr>
            <w:r w:rsidRPr="00D94351">
              <w:rPr>
                <w:rFonts w:cstheme="minorHAnsi"/>
                <w:sz w:val="24"/>
                <w:szCs w:val="24"/>
              </w:rPr>
              <w:t>-2.39</w:t>
            </w:r>
          </w:p>
        </w:tc>
        <w:tc>
          <w:tcPr>
            <w:tcW w:w="1441" w:type="dxa"/>
            <w:noWrap/>
            <w:hideMark/>
          </w:tcPr>
          <w:p w14:paraId="17B9376E" w14:textId="77777777" w:rsidR="00D94351" w:rsidRPr="00D94351" w:rsidRDefault="00D94351" w:rsidP="00D94351">
            <w:pPr>
              <w:jc w:val="both"/>
              <w:rPr>
                <w:rFonts w:cstheme="minorHAnsi"/>
                <w:sz w:val="24"/>
                <w:szCs w:val="24"/>
              </w:rPr>
            </w:pPr>
            <w:r w:rsidRPr="00D94351">
              <w:rPr>
                <w:rFonts w:cstheme="minorHAnsi"/>
                <w:sz w:val="24"/>
                <w:szCs w:val="24"/>
              </w:rPr>
              <w:t>-8.97</w:t>
            </w:r>
          </w:p>
        </w:tc>
        <w:tc>
          <w:tcPr>
            <w:tcW w:w="1281" w:type="dxa"/>
            <w:noWrap/>
            <w:hideMark/>
          </w:tcPr>
          <w:p w14:paraId="37902CD6" w14:textId="77777777" w:rsidR="00D94351" w:rsidRPr="00D94351" w:rsidRDefault="00D94351" w:rsidP="00D94351">
            <w:pPr>
              <w:jc w:val="both"/>
              <w:rPr>
                <w:rFonts w:cstheme="minorHAnsi"/>
                <w:sz w:val="24"/>
                <w:szCs w:val="24"/>
              </w:rPr>
            </w:pPr>
            <w:r w:rsidRPr="00D94351">
              <w:rPr>
                <w:rFonts w:cstheme="minorHAnsi"/>
                <w:sz w:val="24"/>
                <w:szCs w:val="24"/>
              </w:rPr>
              <w:t>4.20</w:t>
            </w:r>
          </w:p>
        </w:tc>
        <w:tc>
          <w:tcPr>
            <w:tcW w:w="1216" w:type="dxa"/>
            <w:noWrap/>
            <w:hideMark/>
          </w:tcPr>
          <w:p w14:paraId="3114D839" w14:textId="77777777" w:rsidR="00D94351" w:rsidRPr="00D94351" w:rsidRDefault="00D94351" w:rsidP="00D94351">
            <w:pPr>
              <w:jc w:val="both"/>
              <w:rPr>
                <w:rFonts w:cstheme="minorHAnsi"/>
                <w:sz w:val="24"/>
                <w:szCs w:val="24"/>
              </w:rPr>
            </w:pPr>
            <w:r w:rsidRPr="00D94351">
              <w:rPr>
                <w:rFonts w:cstheme="minorHAnsi"/>
                <w:sz w:val="24"/>
                <w:szCs w:val="24"/>
              </w:rPr>
              <w:t>0.48</w:t>
            </w:r>
          </w:p>
        </w:tc>
      </w:tr>
      <w:tr w:rsidR="00D94351" w:rsidRPr="00D94351" w14:paraId="6010C565" w14:textId="77777777" w:rsidTr="00D94351">
        <w:trPr>
          <w:trHeight w:val="300"/>
        </w:trPr>
        <w:tc>
          <w:tcPr>
            <w:tcW w:w="3415" w:type="dxa"/>
            <w:noWrap/>
            <w:hideMark/>
          </w:tcPr>
          <w:p w14:paraId="30FF9647" w14:textId="77777777" w:rsidR="00D94351" w:rsidRPr="00D94351" w:rsidRDefault="00D94351" w:rsidP="00D94351">
            <w:pPr>
              <w:jc w:val="both"/>
              <w:rPr>
                <w:rFonts w:cstheme="minorHAnsi"/>
                <w:sz w:val="24"/>
                <w:szCs w:val="24"/>
              </w:rPr>
            </w:pPr>
            <w:r w:rsidRPr="00D94351">
              <w:rPr>
                <w:rFonts w:cstheme="minorHAnsi"/>
                <w:sz w:val="24"/>
                <w:szCs w:val="24"/>
              </w:rPr>
              <w:t>Female 60 years and above</w:t>
            </w:r>
          </w:p>
        </w:tc>
        <w:tc>
          <w:tcPr>
            <w:tcW w:w="1663" w:type="dxa"/>
            <w:noWrap/>
            <w:hideMark/>
          </w:tcPr>
          <w:p w14:paraId="5834EFF1" w14:textId="77777777" w:rsidR="00D94351" w:rsidRPr="00D94351" w:rsidRDefault="00D94351" w:rsidP="00D94351">
            <w:pPr>
              <w:jc w:val="both"/>
              <w:rPr>
                <w:rFonts w:cstheme="minorHAnsi"/>
                <w:sz w:val="24"/>
                <w:szCs w:val="24"/>
              </w:rPr>
            </w:pPr>
            <w:r w:rsidRPr="00D94351">
              <w:rPr>
                <w:rFonts w:cstheme="minorHAnsi"/>
                <w:sz w:val="24"/>
                <w:szCs w:val="24"/>
              </w:rPr>
              <w:t>-0.89</w:t>
            </w:r>
          </w:p>
        </w:tc>
        <w:tc>
          <w:tcPr>
            <w:tcW w:w="1441" w:type="dxa"/>
            <w:noWrap/>
            <w:hideMark/>
          </w:tcPr>
          <w:p w14:paraId="01E5DBB4" w14:textId="77777777" w:rsidR="00D94351" w:rsidRPr="00D94351" w:rsidRDefault="00D94351" w:rsidP="00D94351">
            <w:pPr>
              <w:jc w:val="both"/>
              <w:rPr>
                <w:rFonts w:cstheme="minorHAnsi"/>
                <w:sz w:val="24"/>
                <w:szCs w:val="24"/>
              </w:rPr>
            </w:pPr>
            <w:r w:rsidRPr="00D94351">
              <w:rPr>
                <w:rFonts w:cstheme="minorHAnsi"/>
                <w:sz w:val="24"/>
                <w:szCs w:val="24"/>
              </w:rPr>
              <w:t>-12.27</w:t>
            </w:r>
          </w:p>
        </w:tc>
        <w:tc>
          <w:tcPr>
            <w:tcW w:w="1281" w:type="dxa"/>
            <w:noWrap/>
            <w:hideMark/>
          </w:tcPr>
          <w:p w14:paraId="6A2A3220" w14:textId="77777777" w:rsidR="00D94351" w:rsidRPr="00D94351" w:rsidRDefault="00D94351" w:rsidP="00D94351">
            <w:pPr>
              <w:jc w:val="both"/>
              <w:rPr>
                <w:rFonts w:cstheme="minorHAnsi"/>
                <w:sz w:val="24"/>
                <w:szCs w:val="24"/>
              </w:rPr>
            </w:pPr>
            <w:r w:rsidRPr="00D94351">
              <w:rPr>
                <w:rFonts w:cstheme="minorHAnsi"/>
                <w:sz w:val="24"/>
                <w:szCs w:val="24"/>
              </w:rPr>
              <w:t>10.50</w:t>
            </w:r>
          </w:p>
        </w:tc>
        <w:tc>
          <w:tcPr>
            <w:tcW w:w="1216" w:type="dxa"/>
            <w:noWrap/>
            <w:hideMark/>
          </w:tcPr>
          <w:p w14:paraId="6FD1D622" w14:textId="77777777" w:rsidR="00D94351" w:rsidRPr="00D94351" w:rsidRDefault="00D94351" w:rsidP="00D94351">
            <w:pPr>
              <w:jc w:val="both"/>
              <w:rPr>
                <w:rFonts w:cstheme="minorHAnsi"/>
                <w:sz w:val="24"/>
                <w:szCs w:val="24"/>
              </w:rPr>
            </w:pPr>
            <w:r w:rsidRPr="00D94351">
              <w:rPr>
                <w:rFonts w:cstheme="minorHAnsi"/>
                <w:sz w:val="24"/>
                <w:szCs w:val="24"/>
              </w:rPr>
              <w:t>0.88</w:t>
            </w:r>
          </w:p>
        </w:tc>
      </w:tr>
    </w:tbl>
    <w:p w14:paraId="1C1E2284" w14:textId="5A535204" w:rsidR="00D94351" w:rsidRDefault="00D94351" w:rsidP="00D94351">
      <w:pPr>
        <w:spacing w:after="0"/>
        <w:jc w:val="both"/>
        <w:rPr>
          <w:rFonts w:cstheme="minorHAnsi"/>
          <w:i/>
          <w:iCs/>
          <w:sz w:val="20"/>
          <w:szCs w:val="20"/>
        </w:rPr>
      </w:pPr>
      <w:r w:rsidRPr="00B743DD">
        <w:rPr>
          <w:rFonts w:cstheme="minorHAnsi"/>
          <w:i/>
          <w:iCs/>
          <w:sz w:val="20"/>
          <w:szCs w:val="20"/>
        </w:rPr>
        <w:t xml:space="preserve">Adjusted for age, gender, mechanism of injury, mode of transport, transfer status, heart rate, oxygen saturation, systolic blood pressure, respiratory rate, </w:t>
      </w:r>
      <w:r>
        <w:rPr>
          <w:rFonts w:cstheme="minorHAnsi"/>
          <w:i/>
          <w:iCs/>
          <w:sz w:val="20"/>
          <w:szCs w:val="20"/>
        </w:rPr>
        <w:t xml:space="preserve">type of injury, </w:t>
      </w:r>
      <w:r w:rsidRPr="00B743DD">
        <w:rPr>
          <w:rFonts w:cstheme="minorHAnsi"/>
          <w:i/>
          <w:iCs/>
          <w:sz w:val="20"/>
          <w:szCs w:val="20"/>
        </w:rPr>
        <w:t>and Glasgow Coma Scale</w:t>
      </w:r>
    </w:p>
    <w:p w14:paraId="784FF40B" w14:textId="1C515BB1" w:rsidR="00D94351" w:rsidRPr="00DF4DD6" w:rsidRDefault="00D94351" w:rsidP="00EC4D15">
      <w:pPr>
        <w:spacing w:after="0"/>
        <w:jc w:val="both"/>
        <w:rPr>
          <w:rFonts w:cstheme="minorHAnsi"/>
          <w:i/>
          <w:iCs/>
          <w:sz w:val="20"/>
          <w:szCs w:val="20"/>
        </w:rPr>
      </w:pPr>
      <w:r>
        <w:rPr>
          <w:rFonts w:cstheme="minorHAnsi"/>
          <w:i/>
          <w:iCs/>
          <w:sz w:val="20"/>
          <w:szCs w:val="20"/>
        </w:rPr>
        <w:t>CI = Confidence Interval</w:t>
      </w:r>
      <w:r w:rsidR="0091146F">
        <w:rPr>
          <w:rFonts w:cstheme="minorHAnsi"/>
          <w:i/>
          <w:iCs/>
          <w:sz w:val="20"/>
          <w:szCs w:val="20"/>
        </w:rPr>
        <w:t xml:space="preserve">, * statistically significant at 0.05 </w:t>
      </w:r>
    </w:p>
    <w:p w14:paraId="7D37B2E3" w14:textId="77777777" w:rsidR="00EC4D15" w:rsidRPr="00ED5B99" w:rsidRDefault="00EC4D15" w:rsidP="00EC4D15">
      <w:pPr>
        <w:spacing w:after="0"/>
        <w:jc w:val="both"/>
        <w:rPr>
          <w:rFonts w:cstheme="minorHAnsi"/>
          <w:i/>
          <w:iCs/>
          <w:sz w:val="24"/>
          <w:szCs w:val="24"/>
        </w:rPr>
      </w:pPr>
      <w:r w:rsidRPr="00ED5B99">
        <w:rPr>
          <w:rFonts w:cstheme="minorHAnsi"/>
          <w:i/>
          <w:iCs/>
          <w:sz w:val="24"/>
          <w:szCs w:val="24"/>
        </w:rPr>
        <w:t>Mobility</w:t>
      </w:r>
    </w:p>
    <w:p w14:paraId="5CD6A97F" w14:textId="5E0B133C" w:rsidR="00EC4D15" w:rsidRPr="00EC4D15" w:rsidRDefault="00694676" w:rsidP="00EC4D15">
      <w:pPr>
        <w:spacing w:after="0"/>
        <w:jc w:val="both"/>
        <w:rPr>
          <w:rFonts w:cstheme="minorHAnsi"/>
          <w:sz w:val="24"/>
          <w:szCs w:val="24"/>
        </w:rPr>
      </w:pPr>
      <w:r w:rsidRPr="00694676">
        <w:rPr>
          <w:rFonts w:cstheme="minorHAnsi"/>
          <w:sz w:val="24"/>
          <w:szCs w:val="24"/>
        </w:rPr>
        <w:t>The adjusted logistic</w:t>
      </w:r>
      <w:r w:rsidR="00EC4D15" w:rsidRPr="00EC4D15">
        <w:rPr>
          <w:rFonts w:cstheme="minorHAnsi"/>
          <w:sz w:val="24"/>
          <w:szCs w:val="24"/>
        </w:rPr>
        <w:t xml:space="preserve"> regression analysis in the mobility dimension keeping young males as the reference group, shows that the adjusted odds of reporting mobility problems was </w:t>
      </w:r>
      <w:r>
        <w:rPr>
          <w:rFonts w:cstheme="minorHAnsi"/>
          <w:sz w:val="24"/>
          <w:szCs w:val="24"/>
        </w:rPr>
        <w:t>0.78</w:t>
      </w:r>
      <w:r w:rsidR="00EC4D15" w:rsidRPr="00EC4D15">
        <w:rPr>
          <w:rFonts w:cstheme="minorHAnsi"/>
          <w:sz w:val="24"/>
          <w:szCs w:val="24"/>
        </w:rPr>
        <w:t xml:space="preserve"> in young females</w:t>
      </w:r>
      <w:r>
        <w:rPr>
          <w:rFonts w:cstheme="minorHAnsi"/>
          <w:sz w:val="24"/>
          <w:szCs w:val="24"/>
        </w:rPr>
        <w:t>, 1.44 in</w:t>
      </w:r>
      <w:r w:rsidR="00EC4D15" w:rsidRPr="00EC4D15">
        <w:rPr>
          <w:rFonts w:cstheme="minorHAnsi"/>
          <w:sz w:val="24"/>
          <w:szCs w:val="24"/>
        </w:rPr>
        <w:t xml:space="preserve"> middle-aged females</w:t>
      </w:r>
      <w:r>
        <w:rPr>
          <w:rFonts w:cstheme="minorHAnsi"/>
          <w:sz w:val="24"/>
          <w:szCs w:val="24"/>
        </w:rPr>
        <w:t xml:space="preserve">, </w:t>
      </w:r>
      <w:r w:rsidR="00EC4D15" w:rsidRPr="00EC4D15">
        <w:rPr>
          <w:rFonts w:cstheme="minorHAnsi"/>
          <w:sz w:val="24"/>
          <w:szCs w:val="24"/>
        </w:rPr>
        <w:t xml:space="preserve">and </w:t>
      </w:r>
      <w:r>
        <w:rPr>
          <w:rFonts w:cstheme="minorHAnsi"/>
          <w:sz w:val="24"/>
          <w:szCs w:val="24"/>
        </w:rPr>
        <w:t>0.77 in</w:t>
      </w:r>
      <w:r w:rsidR="00EC4D15" w:rsidRPr="00EC4D15">
        <w:rPr>
          <w:rFonts w:cstheme="minorHAnsi"/>
          <w:sz w:val="24"/>
          <w:szCs w:val="24"/>
        </w:rPr>
        <w:t xml:space="preserve"> old females</w:t>
      </w:r>
      <w:r>
        <w:rPr>
          <w:rFonts w:cstheme="minorHAnsi"/>
          <w:sz w:val="24"/>
          <w:szCs w:val="24"/>
        </w:rPr>
        <w:t xml:space="preserve">. </w:t>
      </w:r>
      <w:r w:rsidR="00EC4D15" w:rsidRPr="00EC4D15">
        <w:rPr>
          <w:rFonts w:cstheme="minorHAnsi"/>
          <w:sz w:val="24"/>
          <w:szCs w:val="24"/>
        </w:rPr>
        <w:t xml:space="preserve">In middle-aged males the odds were </w:t>
      </w:r>
      <w:r>
        <w:rPr>
          <w:rFonts w:cstheme="minorHAnsi"/>
          <w:sz w:val="24"/>
          <w:szCs w:val="24"/>
        </w:rPr>
        <w:t xml:space="preserve">0.77 </w:t>
      </w:r>
      <w:r w:rsidR="00EC4D15" w:rsidRPr="00EC4D15">
        <w:rPr>
          <w:rFonts w:cstheme="minorHAnsi"/>
          <w:sz w:val="24"/>
          <w:szCs w:val="24"/>
        </w:rPr>
        <w:t xml:space="preserve">and in old males the odds were </w:t>
      </w:r>
      <w:r>
        <w:rPr>
          <w:rFonts w:cstheme="minorHAnsi"/>
          <w:sz w:val="24"/>
          <w:szCs w:val="24"/>
        </w:rPr>
        <w:t xml:space="preserve">0.72. </w:t>
      </w:r>
      <w:r w:rsidR="00EC4D15" w:rsidRPr="00EC4D15">
        <w:rPr>
          <w:rFonts w:cstheme="minorHAnsi"/>
          <w:sz w:val="24"/>
          <w:szCs w:val="24"/>
        </w:rPr>
        <w:t xml:space="preserve">Thus, all groups had lower odds of reporting some mobility problems than young males except middle-aged females. </w:t>
      </w:r>
      <w:r w:rsidR="00D443CB">
        <w:rPr>
          <w:rFonts w:cstheme="minorHAnsi"/>
          <w:sz w:val="24"/>
          <w:szCs w:val="24"/>
        </w:rPr>
        <w:t xml:space="preserve">Only the odds for middle aged males were statistically significant. </w:t>
      </w:r>
    </w:p>
    <w:p w14:paraId="323150DE" w14:textId="77777777" w:rsidR="00EC4D15" w:rsidRPr="00EC4D15" w:rsidRDefault="00EC4D15" w:rsidP="00EC4D15">
      <w:pPr>
        <w:spacing w:after="0"/>
        <w:jc w:val="both"/>
        <w:rPr>
          <w:rFonts w:cstheme="minorHAnsi"/>
          <w:sz w:val="24"/>
          <w:szCs w:val="24"/>
        </w:rPr>
      </w:pPr>
    </w:p>
    <w:p w14:paraId="0D61BF04" w14:textId="190852C5" w:rsidR="00D443CB" w:rsidRPr="00D443CB" w:rsidRDefault="00D443CB" w:rsidP="00EC4D15">
      <w:pPr>
        <w:spacing w:after="0"/>
        <w:jc w:val="both"/>
        <w:rPr>
          <w:rFonts w:cstheme="minorHAnsi"/>
          <w:i/>
          <w:iCs/>
          <w:sz w:val="24"/>
          <w:szCs w:val="24"/>
        </w:rPr>
      </w:pPr>
      <w:r w:rsidRPr="00D443CB">
        <w:rPr>
          <w:rFonts w:cstheme="minorHAnsi"/>
          <w:i/>
          <w:iCs/>
          <w:sz w:val="24"/>
          <w:szCs w:val="24"/>
        </w:rPr>
        <w:t>Self-care</w:t>
      </w:r>
    </w:p>
    <w:p w14:paraId="52C072BB" w14:textId="287CA0AF" w:rsidR="00EC4D15" w:rsidRDefault="00D443CB" w:rsidP="00EC4D15">
      <w:pPr>
        <w:spacing w:after="0"/>
        <w:jc w:val="both"/>
        <w:rPr>
          <w:rFonts w:cstheme="minorHAnsi"/>
          <w:sz w:val="24"/>
          <w:szCs w:val="24"/>
        </w:rPr>
      </w:pPr>
      <w:r w:rsidRPr="00D443CB">
        <w:rPr>
          <w:rFonts w:cstheme="minorHAnsi"/>
          <w:sz w:val="24"/>
          <w:szCs w:val="24"/>
        </w:rPr>
        <w:t xml:space="preserve">The adjusted logistic regression analysis in the </w:t>
      </w:r>
      <w:r>
        <w:rPr>
          <w:rFonts w:cstheme="minorHAnsi"/>
          <w:sz w:val="24"/>
          <w:szCs w:val="24"/>
        </w:rPr>
        <w:t>self-care</w:t>
      </w:r>
      <w:r w:rsidRPr="00D443CB">
        <w:rPr>
          <w:rFonts w:cstheme="minorHAnsi"/>
          <w:sz w:val="24"/>
          <w:szCs w:val="24"/>
        </w:rPr>
        <w:t xml:space="preserve"> dimension keeping young males as the reference group, shows that the adjusted odds of reporting problems </w:t>
      </w:r>
      <w:r>
        <w:rPr>
          <w:rFonts w:cstheme="minorHAnsi"/>
          <w:sz w:val="24"/>
          <w:szCs w:val="24"/>
        </w:rPr>
        <w:t xml:space="preserve">performing self-care activities </w:t>
      </w:r>
      <w:r w:rsidRPr="00D443CB">
        <w:rPr>
          <w:rFonts w:cstheme="minorHAnsi"/>
          <w:sz w:val="24"/>
          <w:szCs w:val="24"/>
        </w:rPr>
        <w:t>was 0.7</w:t>
      </w:r>
      <w:r>
        <w:rPr>
          <w:rFonts w:cstheme="minorHAnsi"/>
          <w:sz w:val="24"/>
          <w:szCs w:val="24"/>
        </w:rPr>
        <w:t>4</w:t>
      </w:r>
      <w:r w:rsidRPr="00D443CB">
        <w:rPr>
          <w:rFonts w:cstheme="minorHAnsi"/>
          <w:sz w:val="24"/>
          <w:szCs w:val="24"/>
        </w:rPr>
        <w:t xml:space="preserve"> in young females, 1.</w:t>
      </w:r>
      <w:r>
        <w:rPr>
          <w:rFonts w:cstheme="minorHAnsi"/>
          <w:sz w:val="24"/>
          <w:szCs w:val="24"/>
        </w:rPr>
        <w:t>15</w:t>
      </w:r>
      <w:r w:rsidRPr="00D443CB">
        <w:rPr>
          <w:rFonts w:cstheme="minorHAnsi"/>
          <w:sz w:val="24"/>
          <w:szCs w:val="24"/>
        </w:rPr>
        <w:t xml:space="preserve"> in middle-aged females, and </w:t>
      </w:r>
      <w:r>
        <w:rPr>
          <w:rFonts w:cstheme="minorHAnsi"/>
          <w:sz w:val="24"/>
          <w:szCs w:val="24"/>
        </w:rPr>
        <w:t>1.05</w:t>
      </w:r>
      <w:r w:rsidRPr="00D443CB">
        <w:rPr>
          <w:rFonts w:cstheme="minorHAnsi"/>
          <w:sz w:val="24"/>
          <w:szCs w:val="24"/>
        </w:rPr>
        <w:t xml:space="preserve"> in old females. In middle-aged males the odds were 0.</w:t>
      </w:r>
      <w:r>
        <w:rPr>
          <w:rFonts w:cstheme="minorHAnsi"/>
          <w:sz w:val="24"/>
          <w:szCs w:val="24"/>
        </w:rPr>
        <w:t>82</w:t>
      </w:r>
      <w:r w:rsidRPr="00D443CB">
        <w:rPr>
          <w:rFonts w:cstheme="minorHAnsi"/>
          <w:sz w:val="24"/>
          <w:szCs w:val="24"/>
        </w:rPr>
        <w:t xml:space="preserve"> and in old males the odds were 0.</w:t>
      </w:r>
      <w:r>
        <w:rPr>
          <w:rFonts w:cstheme="minorHAnsi"/>
          <w:sz w:val="24"/>
          <w:szCs w:val="24"/>
        </w:rPr>
        <w:t>66</w:t>
      </w:r>
      <w:r w:rsidRPr="00D443CB">
        <w:rPr>
          <w:rFonts w:cstheme="minorHAnsi"/>
          <w:sz w:val="24"/>
          <w:szCs w:val="24"/>
        </w:rPr>
        <w:t xml:space="preserve">. Thus, all groups had lower odds of reporting problems performing self-care activities than young males except middle-aged </w:t>
      </w:r>
      <w:r>
        <w:rPr>
          <w:rFonts w:cstheme="minorHAnsi"/>
          <w:sz w:val="24"/>
          <w:szCs w:val="24"/>
        </w:rPr>
        <w:t xml:space="preserve">and old </w:t>
      </w:r>
      <w:r w:rsidRPr="00D443CB">
        <w:rPr>
          <w:rFonts w:cstheme="minorHAnsi"/>
          <w:sz w:val="24"/>
          <w:szCs w:val="24"/>
        </w:rPr>
        <w:t xml:space="preserve">females. </w:t>
      </w:r>
      <w:r>
        <w:rPr>
          <w:rFonts w:cstheme="minorHAnsi"/>
          <w:sz w:val="24"/>
          <w:szCs w:val="24"/>
        </w:rPr>
        <w:t>No group had</w:t>
      </w:r>
      <w:r w:rsidRPr="00D443CB">
        <w:rPr>
          <w:rFonts w:cstheme="minorHAnsi"/>
          <w:sz w:val="24"/>
          <w:szCs w:val="24"/>
        </w:rPr>
        <w:t xml:space="preserve"> odds </w:t>
      </w:r>
      <w:r>
        <w:rPr>
          <w:rFonts w:cstheme="minorHAnsi"/>
          <w:sz w:val="24"/>
          <w:szCs w:val="24"/>
        </w:rPr>
        <w:t>that</w:t>
      </w:r>
      <w:r w:rsidRPr="00D443CB">
        <w:rPr>
          <w:rFonts w:cstheme="minorHAnsi"/>
          <w:sz w:val="24"/>
          <w:szCs w:val="24"/>
        </w:rPr>
        <w:t xml:space="preserve"> were statistically significant.</w:t>
      </w:r>
    </w:p>
    <w:p w14:paraId="6D9E467E" w14:textId="6C034A6E" w:rsidR="00D443CB" w:rsidRDefault="00D443CB" w:rsidP="00EC4D15">
      <w:pPr>
        <w:spacing w:after="0"/>
        <w:jc w:val="both"/>
        <w:rPr>
          <w:rFonts w:cstheme="minorHAnsi"/>
          <w:sz w:val="24"/>
          <w:szCs w:val="24"/>
        </w:rPr>
      </w:pPr>
    </w:p>
    <w:p w14:paraId="554B4523" w14:textId="5949906C" w:rsidR="00D443CB" w:rsidRPr="00D443CB" w:rsidRDefault="00D443CB" w:rsidP="00EC4D15">
      <w:pPr>
        <w:spacing w:after="0"/>
        <w:jc w:val="both"/>
        <w:rPr>
          <w:rFonts w:cstheme="minorHAnsi"/>
          <w:i/>
          <w:iCs/>
          <w:sz w:val="24"/>
          <w:szCs w:val="24"/>
        </w:rPr>
      </w:pPr>
      <w:r w:rsidRPr="00D443CB">
        <w:rPr>
          <w:rFonts w:cstheme="minorHAnsi"/>
          <w:i/>
          <w:iCs/>
          <w:sz w:val="24"/>
          <w:szCs w:val="24"/>
        </w:rPr>
        <w:t>Usual Activities</w:t>
      </w:r>
    </w:p>
    <w:p w14:paraId="254CE382" w14:textId="7270F4CF" w:rsidR="00EC4D15" w:rsidRDefault="00D443CB" w:rsidP="00EC4D15">
      <w:pPr>
        <w:spacing w:after="0"/>
        <w:jc w:val="both"/>
        <w:rPr>
          <w:rFonts w:cstheme="minorHAnsi"/>
          <w:sz w:val="24"/>
          <w:szCs w:val="24"/>
        </w:rPr>
      </w:pPr>
      <w:r w:rsidRPr="00D443CB">
        <w:rPr>
          <w:rFonts w:cstheme="minorHAnsi"/>
          <w:sz w:val="24"/>
          <w:szCs w:val="24"/>
        </w:rPr>
        <w:t xml:space="preserve">The adjusted logistic regression analysis in the </w:t>
      </w:r>
      <w:r>
        <w:rPr>
          <w:rFonts w:cstheme="minorHAnsi"/>
          <w:sz w:val="24"/>
          <w:szCs w:val="24"/>
        </w:rPr>
        <w:t>usual activities</w:t>
      </w:r>
      <w:r w:rsidRPr="00D443CB">
        <w:rPr>
          <w:rFonts w:cstheme="minorHAnsi"/>
          <w:sz w:val="24"/>
          <w:szCs w:val="24"/>
        </w:rPr>
        <w:t xml:space="preserve"> dimension keeping young males as the reference group, shows that the adjusted odds of reporting problems performing usual activities was 0.7</w:t>
      </w:r>
      <w:r>
        <w:rPr>
          <w:rFonts w:cstheme="minorHAnsi"/>
          <w:sz w:val="24"/>
          <w:szCs w:val="24"/>
        </w:rPr>
        <w:t>0</w:t>
      </w:r>
      <w:r w:rsidRPr="00D443CB">
        <w:rPr>
          <w:rFonts w:cstheme="minorHAnsi"/>
          <w:sz w:val="24"/>
          <w:szCs w:val="24"/>
        </w:rPr>
        <w:t xml:space="preserve"> in young females, 1.</w:t>
      </w:r>
      <w:r>
        <w:rPr>
          <w:rFonts w:cstheme="minorHAnsi"/>
          <w:sz w:val="24"/>
          <w:szCs w:val="24"/>
        </w:rPr>
        <w:t>40</w:t>
      </w:r>
      <w:r w:rsidRPr="00D443CB">
        <w:rPr>
          <w:rFonts w:cstheme="minorHAnsi"/>
          <w:sz w:val="24"/>
          <w:szCs w:val="24"/>
        </w:rPr>
        <w:t xml:space="preserve"> in middle-aged females, and </w:t>
      </w:r>
      <w:r>
        <w:rPr>
          <w:rFonts w:cstheme="minorHAnsi"/>
          <w:sz w:val="24"/>
          <w:szCs w:val="24"/>
        </w:rPr>
        <w:t>0.90</w:t>
      </w:r>
      <w:r w:rsidRPr="00D443CB">
        <w:rPr>
          <w:rFonts w:cstheme="minorHAnsi"/>
          <w:sz w:val="24"/>
          <w:szCs w:val="24"/>
        </w:rPr>
        <w:t xml:space="preserve"> in old females. In middle-aged males the odds were 0.</w:t>
      </w:r>
      <w:r>
        <w:rPr>
          <w:rFonts w:cstheme="minorHAnsi"/>
          <w:sz w:val="24"/>
          <w:szCs w:val="24"/>
        </w:rPr>
        <w:t>70</w:t>
      </w:r>
      <w:r w:rsidRPr="00D443CB">
        <w:rPr>
          <w:rFonts w:cstheme="minorHAnsi"/>
          <w:sz w:val="24"/>
          <w:szCs w:val="24"/>
        </w:rPr>
        <w:t xml:space="preserve"> and in old males the odds were 0.</w:t>
      </w:r>
      <w:r>
        <w:rPr>
          <w:rFonts w:cstheme="minorHAnsi"/>
          <w:sz w:val="24"/>
          <w:szCs w:val="24"/>
        </w:rPr>
        <w:t>7</w:t>
      </w:r>
      <w:r w:rsidRPr="00D443CB">
        <w:rPr>
          <w:rFonts w:cstheme="minorHAnsi"/>
          <w:sz w:val="24"/>
          <w:szCs w:val="24"/>
        </w:rPr>
        <w:t xml:space="preserve">3. Thus, all groups had lower odds of reporting problems performing </w:t>
      </w:r>
      <w:r w:rsidR="003858F7" w:rsidRPr="003858F7">
        <w:rPr>
          <w:rFonts w:cstheme="minorHAnsi"/>
          <w:sz w:val="24"/>
          <w:szCs w:val="24"/>
        </w:rPr>
        <w:t xml:space="preserve">usual </w:t>
      </w:r>
      <w:r w:rsidRPr="00D443CB">
        <w:rPr>
          <w:rFonts w:cstheme="minorHAnsi"/>
          <w:sz w:val="24"/>
          <w:szCs w:val="24"/>
        </w:rPr>
        <w:t>activities than young males except middle-aged females. No group had odds that were statistically significant.</w:t>
      </w:r>
    </w:p>
    <w:p w14:paraId="153773E4" w14:textId="0B65A48F" w:rsidR="00D443CB" w:rsidRDefault="00D443CB" w:rsidP="00EC4D15">
      <w:pPr>
        <w:spacing w:after="0"/>
        <w:jc w:val="both"/>
        <w:rPr>
          <w:rFonts w:cstheme="minorHAnsi"/>
          <w:sz w:val="24"/>
          <w:szCs w:val="24"/>
        </w:rPr>
      </w:pPr>
    </w:p>
    <w:p w14:paraId="5566B44D" w14:textId="77777777" w:rsidR="00D443CB" w:rsidRPr="00EC4D15" w:rsidRDefault="00D443CB" w:rsidP="00EC4D15">
      <w:pPr>
        <w:spacing w:after="0"/>
        <w:jc w:val="both"/>
        <w:rPr>
          <w:rFonts w:cstheme="minorHAnsi"/>
          <w:sz w:val="24"/>
          <w:szCs w:val="24"/>
        </w:rPr>
      </w:pPr>
    </w:p>
    <w:p w14:paraId="5F06DF14" w14:textId="5D1EA64D" w:rsidR="003858F7" w:rsidRPr="003858F7" w:rsidRDefault="003858F7" w:rsidP="00EC4D15">
      <w:pPr>
        <w:spacing w:after="0"/>
        <w:jc w:val="both"/>
        <w:rPr>
          <w:rFonts w:cstheme="minorHAnsi"/>
          <w:i/>
          <w:iCs/>
          <w:sz w:val="24"/>
          <w:szCs w:val="24"/>
        </w:rPr>
      </w:pPr>
      <w:r w:rsidRPr="003858F7">
        <w:rPr>
          <w:rFonts w:cstheme="minorHAnsi"/>
          <w:i/>
          <w:iCs/>
          <w:sz w:val="24"/>
          <w:szCs w:val="24"/>
        </w:rPr>
        <w:t>Pain/Discomfort</w:t>
      </w:r>
    </w:p>
    <w:p w14:paraId="2AE32B0D" w14:textId="470BF213" w:rsidR="00EC4D15" w:rsidRDefault="003858F7" w:rsidP="00EC4D15">
      <w:pPr>
        <w:spacing w:after="0"/>
        <w:jc w:val="both"/>
        <w:rPr>
          <w:rFonts w:cstheme="minorHAnsi"/>
          <w:sz w:val="24"/>
          <w:szCs w:val="24"/>
        </w:rPr>
      </w:pPr>
      <w:r w:rsidRPr="003858F7">
        <w:rPr>
          <w:rFonts w:cstheme="minorHAnsi"/>
          <w:sz w:val="24"/>
          <w:szCs w:val="24"/>
        </w:rPr>
        <w:t xml:space="preserve">The adjusted logistic regression analysis in the dimension keeping young males as the reference group, shows that the adjusted odds of reporting </w:t>
      </w:r>
      <w:r>
        <w:rPr>
          <w:rFonts w:cstheme="minorHAnsi"/>
          <w:sz w:val="24"/>
          <w:szCs w:val="24"/>
        </w:rPr>
        <w:t xml:space="preserve">having </w:t>
      </w:r>
      <w:r w:rsidRPr="003858F7">
        <w:rPr>
          <w:rFonts w:cstheme="minorHAnsi"/>
          <w:sz w:val="24"/>
          <w:szCs w:val="24"/>
        </w:rPr>
        <w:t>pain and discomfort was 0.</w:t>
      </w:r>
      <w:r>
        <w:rPr>
          <w:rFonts w:cstheme="minorHAnsi"/>
          <w:sz w:val="24"/>
          <w:szCs w:val="24"/>
        </w:rPr>
        <w:t>5</w:t>
      </w:r>
      <w:r w:rsidRPr="003858F7">
        <w:rPr>
          <w:rFonts w:cstheme="minorHAnsi"/>
          <w:sz w:val="24"/>
          <w:szCs w:val="24"/>
        </w:rPr>
        <w:t>4 in young females, 1.</w:t>
      </w:r>
      <w:r>
        <w:rPr>
          <w:rFonts w:cstheme="minorHAnsi"/>
          <w:sz w:val="24"/>
          <w:szCs w:val="24"/>
        </w:rPr>
        <w:t>36</w:t>
      </w:r>
      <w:r w:rsidRPr="003858F7">
        <w:rPr>
          <w:rFonts w:cstheme="minorHAnsi"/>
          <w:sz w:val="24"/>
          <w:szCs w:val="24"/>
        </w:rPr>
        <w:t xml:space="preserve"> in middle-aged females, and </w:t>
      </w:r>
      <w:r>
        <w:rPr>
          <w:rFonts w:cstheme="minorHAnsi"/>
          <w:sz w:val="24"/>
          <w:szCs w:val="24"/>
        </w:rPr>
        <w:t>3.43</w:t>
      </w:r>
      <w:r w:rsidRPr="003858F7">
        <w:rPr>
          <w:rFonts w:cstheme="minorHAnsi"/>
          <w:sz w:val="24"/>
          <w:szCs w:val="24"/>
        </w:rPr>
        <w:t xml:space="preserve"> in old females. In middle-aged males the odds were 0.</w:t>
      </w:r>
      <w:r>
        <w:rPr>
          <w:rFonts w:cstheme="minorHAnsi"/>
          <w:sz w:val="24"/>
          <w:szCs w:val="24"/>
        </w:rPr>
        <w:t>54</w:t>
      </w:r>
      <w:r w:rsidRPr="003858F7">
        <w:rPr>
          <w:rFonts w:cstheme="minorHAnsi"/>
          <w:sz w:val="24"/>
          <w:szCs w:val="24"/>
        </w:rPr>
        <w:t xml:space="preserve"> and in old males the odds were 0.</w:t>
      </w:r>
      <w:r>
        <w:rPr>
          <w:rFonts w:cstheme="minorHAnsi"/>
          <w:sz w:val="24"/>
          <w:szCs w:val="24"/>
        </w:rPr>
        <w:t>31</w:t>
      </w:r>
      <w:r w:rsidRPr="003858F7">
        <w:rPr>
          <w:rFonts w:cstheme="minorHAnsi"/>
          <w:sz w:val="24"/>
          <w:szCs w:val="24"/>
        </w:rPr>
        <w:t>. Thus, all groups had lower odds of reporting having pain and discomfort than young males except middle-aged and old females. No group had odds that were statistically significant.</w:t>
      </w:r>
    </w:p>
    <w:p w14:paraId="52B30AEB" w14:textId="77777777" w:rsidR="003858F7" w:rsidRPr="00EC4D15" w:rsidRDefault="003858F7" w:rsidP="00EC4D15">
      <w:pPr>
        <w:spacing w:after="0"/>
        <w:jc w:val="both"/>
        <w:rPr>
          <w:rFonts w:cstheme="minorHAnsi"/>
          <w:sz w:val="24"/>
          <w:szCs w:val="24"/>
        </w:rPr>
      </w:pPr>
    </w:p>
    <w:p w14:paraId="5AFC26EF" w14:textId="28EC6E5A" w:rsidR="00FC3F86" w:rsidRPr="00FC3F86" w:rsidRDefault="00FC3F86" w:rsidP="00EC4D15">
      <w:pPr>
        <w:spacing w:after="0"/>
        <w:jc w:val="both"/>
        <w:rPr>
          <w:rFonts w:cstheme="minorHAnsi"/>
          <w:i/>
          <w:iCs/>
          <w:sz w:val="24"/>
          <w:szCs w:val="24"/>
        </w:rPr>
      </w:pPr>
      <w:r w:rsidRPr="00FC3F86">
        <w:rPr>
          <w:rFonts w:cstheme="minorHAnsi"/>
          <w:i/>
          <w:iCs/>
          <w:sz w:val="24"/>
          <w:szCs w:val="24"/>
        </w:rPr>
        <w:t>Anxiety/Depression</w:t>
      </w:r>
    </w:p>
    <w:p w14:paraId="15BBD4F8" w14:textId="466993CB" w:rsidR="00EC4D15" w:rsidRDefault="00FC3F86" w:rsidP="00EC4D15">
      <w:pPr>
        <w:spacing w:after="0"/>
        <w:jc w:val="both"/>
        <w:rPr>
          <w:rFonts w:cstheme="minorHAnsi"/>
          <w:sz w:val="24"/>
          <w:szCs w:val="24"/>
        </w:rPr>
      </w:pPr>
      <w:r w:rsidRPr="00FC3F86">
        <w:rPr>
          <w:rFonts w:cstheme="minorHAnsi"/>
          <w:sz w:val="24"/>
          <w:szCs w:val="24"/>
        </w:rPr>
        <w:t xml:space="preserve">The adjusted logistic regression analysis in the dimension keeping young males as the reference group, shows that the adjusted odds of reporting </w:t>
      </w:r>
      <w:r>
        <w:rPr>
          <w:rFonts w:cstheme="minorHAnsi"/>
          <w:sz w:val="24"/>
          <w:szCs w:val="24"/>
        </w:rPr>
        <w:t>a</w:t>
      </w:r>
      <w:r w:rsidRPr="00FC3F86">
        <w:rPr>
          <w:rFonts w:cstheme="minorHAnsi"/>
          <w:sz w:val="24"/>
          <w:szCs w:val="24"/>
        </w:rPr>
        <w:t>nxiety</w:t>
      </w:r>
      <w:r>
        <w:rPr>
          <w:rFonts w:cstheme="minorHAnsi"/>
          <w:sz w:val="24"/>
          <w:szCs w:val="24"/>
        </w:rPr>
        <w:t xml:space="preserve"> and d</w:t>
      </w:r>
      <w:r w:rsidRPr="00FC3F86">
        <w:rPr>
          <w:rFonts w:cstheme="minorHAnsi"/>
          <w:sz w:val="24"/>
          <w:szCs w:val="24"/>
        </w:rPr>
        <w:t>epression</w:t>
      </w:r>
      <w:r>
        <w:rPr>
          <w:rFonts w:cstheme="minorHAnsi"/>
          <w:sz w:val="24"/>
          <w:szCs w:val="24"/>
        </w:rPr>
        <w:t xml:space="preserve"> </w:t>
      </w:r>
      <w:r w:rsidRPr="00FC3F86">
        <w:rPr>
          <w:rFonts w:cstheme="minorHAnsi"/>
          <w:sz w:val="24"/>
          <w:szCs w:val="24"/>
        </w:rPr>
        <w:t xml:space="preserve">was </w:t>
      </w:r>
      <w:r>
        <w:rPr>
          <w:rFonts w:cstheme="minorHAnsi"/>
          <w:sz w:val="24"/>
          <w:szCs w:val="24"/>
        </w:rPr>
        <w:t>1.59</w:t>
      </w:r>
      <w:r w:rsidRPr="00FC3F86">
        <w:rPr>
          <w:rFonts w:cstheme="minorHAnsi"/>
          <w:sz w:val="24"/>
          <w:szCs w:val="24"/>
        </w:rPr>
        <w:t xml:space="preserve"> in young females, </w:t>
      </w:r>
      <w:r>
        <w:rPr>
          <w:rFonts w:cstheme="minorHAnsi"/>
          <w:sz w:val="24"/>
          <w:szCs w:val="24"/>
        </w:rPr>
        <w:t>0.55</w:t>
      </w:r>
      <w:r w:rsidRPr="00FC3F86">
        <w:rPr>
          <w:rFonts w:cstheme="minorHAnsi"/>
          <w:sz w:val="24"/>
          <w:szCs w:val="24"/>
        </w:rPr>
        <w:t xml:space="preserve"> in middle-aged females, and </w:t>
      </w:r>
      <w:r>
        <w:rPr>
          <w:rFonts w:cstheme="minorHAnsi"/>
          <w:sz w:val="24"/>
          <w:szCs w:val="24"/>
        </w:rPr>
        <w:t>0.77</w:t>
      </w:r>
      <w:r w:rsidRPr="00FC3F86">
        <w:rPr>
          <w:rFonts w:cstheme="minorHAnsi"/>
          <w:sz w:val="24"/>
          <w:szCs w:val="24"/>
        </w:rPr>
        <w:t xml:space="preserve"> in old females. In middle-aged males the odds were </w:t>
      </w:r>
      <w:r>
        <w:rPr>
          <w:rFonts w:cstheme="minorHAnsi"/>
          <w:sz w:val="24"/>
          <w:szCs w:val="24"/>
        </w:rPr>
        <w:t>1.31</w:t>
      </w:r>
      <w:r w:rsidRPr="00FC3F86">
        <w:rPr>
          <w:rFonts w:cstheme="minorHAnsi"/>
          <w:sz w:val="24"/>
          <w:szCs w:val="24"/>
        </w:rPr>
        <w:t xml:space="preserve"> and in old males the odds were </w:t>
      </w:r>
      <w:r>
        <w:rPr>
          <w:rFonts w:cstheme="minorHAnsi"/>
          <w:sz w:val="24"/>
          <w:szCs w:val="24"/>
        </w:rPr>
        <w:t>1.35</w:t>
      </w:r>
      <w:r w:rsidRPr="00FC3F86">
        <w:rPr>
          <w:rFonts w:cstheme="minorHAnsi"/>
          <w:sz w:val="24"/>
          <w:szCs w:val="24"/>
        </w:rPr>
        <w:t xml:space="preserve">. Thus, </w:t>
      </w:r>
      <w:r>
        <w:rPr>
          <w:rFonts w:cstheme="minorHAnsi"/>
          <w:sz w:val="24"/>
          <w:szCs w:val="24"/>
        </w:rPr>
        <w:t xml:space="preserve">young females and middle- </w:t>
      </w:r>
      <w:r>
        <w:rPr>
          <w:rFonts w:cstheme="minorHAnsi"/>
          <w:sz w:val="24"/>
          <w:szCs w:val="24"/>
        </w:rPr>
        <w:lastRenderedPageBreak/>
        <w:t xml:space="preserve">and old males had higher </w:t>
      </w:r>
      <w:r w:rsidRPr="00FC3F86">
        <w:rPr>
          <w:rFonts w:cstheme="minorHAnsi"/>
          <w:sz w:val="24"/>
          <w:szCs w:val="24"/>
        </w:rPr>
        <w:t>odds of reporting anxiety and depression than young males. No group had odds that were statistically significant.</w:t>
      </w:r>
    </w:p>
    <w:p w14:paraId="62D96128" w14:textId="77777777" w:rsidR="00FC3F86" w:rsidRPr="00EC4D15" w:rsidRDefault="00FC3F86" w:rsidP="00EC4D15">
      <w:pPr>
        <w:spacing w:after="0"/>
        <w:jc w:val="both"/>
        <w:rPr>
          <w:rFonts w:cstheme="minorHAnsi"/>
          <w:sz w:val="24"/>
          <w:szCs w:val="24"/>
        </w:rPr>
      </w:pPr>
    </w:p>
    <w:p w14:paraId="640F6FC6" w14:textId="77777777" w:rsidR="004365B5" w:rsidRDefault="004365B5" w:rsidP="00EC4D15">
      <w:pPr>
        <w:spacing w:after="0"/>
        <w:jc w:val="both"/>
        <w:rPr>
          <w:rFonts w:cstheme="minorHAnsi"/>
          <w:sz w:val="24"/>
          <w:szCs w:val="24"/>
        </w:rPr>
        <w:sectPr w:rsidR="004365B5">
          <w:pgSz w:w="11906" w:h="16838"/>
          <w:pgMar w:top="1440" w:right="1440" w:bottom="1440" w:left="1440" w:header="720" w:footer="720" w:gutter="0"/>
          <w:cols w:space="720"/>
          <w:docGrid w:linePitch="360"/>
        </w:sectPr>
      </w:pPr>
    </w:p>
    <w:p w14:paraId="0431DE2A" w14:textId="77777777" w:rsidR="0091146F" w:rsidRDefault="00EC4D15" w:rsidP="00EC4D15">
      <w:pPr>
        <w:spacing w:after="0"/>
        <w:jc w:val="both"/>
        <w:rPr>
          <w:rFonts w:cstheme="minorHAnsi"/>
          <w:sz w:val="24"/>
          <w:szCs w:val="24"/>
        </w:rPr>
      </w:pPr>
      <w:r w:rsidRPr="00EC4D15">
        <w:rPr>
          <w:rFonts w:cstheme="minorHAnsi"/>
          <w:sz w:val="24"/>
          <w:szCs w:val="24"/>
        </w:rPr>
        <w:lastRenderedPageBreak/>
        <w:t>Though the odds of reporting any problems across the EQ5D domains were not statistically significant, middle</w:t>
      </w:r>
      <w:r w:rsidR="004365B5">
        <w:rPr>
          <w:rFonts w:cstheme="minorHAnsi"/>
          <w:sz w:val="24"/>
          <w:szCs w:val="24"/>
        </w:rPr>
        <w:t>-</w:t>
      </w:r>
      <w:r w:rsidRPr="00EC4D15">
        <w:rPr>
          <w:rFonts w:cstheme="minorHAnsi"/>
          <w:sz w:val="24"/>
          <w:szCs w:val="24"/>
        </w:rPr>
        <w:t xml:space="preserve">aged females had the higher odds of reporting problems with across all domains except anxiety and depression (Table </w:t>
      </w:r>
      <w:r w:rsidR="0091146F">
        <w:rPr>
          <w:rFonts w:cstheme="minorHAnsi"/>
          <w:sz w:val="24"/>
          <w:szCs w:val="24"/>
        </w:rPr>
        <w:t>6</w:t>
      </w:r>
      <w:r w:rsidRPr="00EC4D15">
        <w:rPr>
          <w:rFonts w:cstheme="minorHAnsi"/>
          <w:sz w:val="24"/>
          <w:szCs w:val="24"/>
        </w:rPr>
        <w:t>).</w:t>
      </w:r>
    </w:p>
    <w:p w14:paraId="48E1A44A" w14:textId="7894EC15" w:rsidR="006A7886" w:rsidRDefault="00EC4D15" w:rsidP="00EC4D15">
      <w:pPr>
        <w:spacing w:after="0"/>
        <w:jc w:val="both"/>
        <w:rPr>
          <w:rFonts w:cstheme="minorHAnsi"/>
          <w:sz w:val="24"/>
          <w:szCs w:val="24"/>
        </w:rPr>
      </w:pPr>
      <w:r w:rsidRPr="00EC4D15">
        <w:rPr>
          <w:rFonts w:cstheme="minorHAnsi"/>
          <w:sz w:val="24"/>
          <w:szCs w:val="24"/>
        </w:rPr>
        <w:t xml:space="preserve"> </w:t>
      </w:r>
    </w:p>
    <w:p w14:paraId="7C6663C2" w14:textId="2B98B98D" w:rsidR="004365B5" w:rsidRPr="0091146F" w:rsidRDefault="0091146F" w:rsidP="00EC4D15">
      <w:pPr>
        <w:spacing w:after="0"/>
        <w:jc w:val="both"/>
        <w:rPr>
          <w:rFonts w:cstheme="minorHAnsi"/>
          <w:i/>
          <w:iCs/>
          <w:sz w:val="24"/>
          <w:szCs w:val="24"/>
        </w:rPr>
      </w:pPr>
      <w:r w:rsidRPr="0091146F">
        <w:rPr>
          <w:rFonts w:cstheme="minorHAnsi"/>
          <w:i/>
          <w:iCs/>
          <w:sz w:val="24"/>
          <w:szCs w:val="24"/>
        </w:rPr>
        <w:t>Table 6. Adjusted odds ratio of reporting any problem in the EQ-5D domains across different groups</w:t>
      </w:r>
    </w:p>
    <w:tbl>
      <w:tblPr>
        <w:tblStyle w:val="TableGrid"/>
        <w:tblW w:w="16508" w:type="dxa"/>
        <w:tblInd w:w="-1216" w:type="dxa"/>
        <w:tblLook w:val="04A0" w:firstRow="1" w:lastRow="0" w:firstColumn="1" w:lastColumn="0" w:noHBand="0" w:noVBand="1"/>
      </w:tblPr>
      <w:tblGrid>
        <w:gridCol w:w="2925"/>
        <w:gridCol w:w="885"/>
        <w:gridCol w:w="885"/>
        <w:gridCol w:w="746"/>
        <w:gridCol w:w="1209"/>
        <w:gridCol w:w="885"/>
        <w:gridCol w:w="696"/>
        <w:gridCol w:w="1076"/>
        <w:gridCol w:w="885"/>
        <w:gridCol w:w="649"/>
        <w:gridCol w:w="1123"/>
        <w:gridCol w:w="885"/>
        <w:gridCol w:w="872"/>
        <w:gridCol w:w="1164"/>
        <w:gridCol w:w="981"/>
        <w:gridCol w:w="642"/>
      </w:tblGrid>
      <w:tr w:rsidR="0091146F" w:rsidRPr="004365B5" w14:paraId="533DB49C" w14:textId="77777777" w:rsidTr="0091146F">
        <w:trPr>
          <w:trHeight w:val="287"/>
        </w:trPr>
        <w:tc>
          <w:tcPr>
            <w:tcW w:w="2925" w:type="dxa"/>
            <w:vMerge w:val="restart"/>
            <w:noWrap/>
            <w:hideMark/>
          </w:tcPr>
          <w:p w14:paraId="1BE216C7" w14:textId="14B9D3F3" w:rsidR="004365B5" w:rsidRPr="0091146F" w:rsidRDefault="0091146F" w:rsidP="004365B5">
            <w:pPr>
              <w:rPr>
                <w:rFonts w:cstheme="minorHAnsi"/>
                <w:b/>
                <w:bCs/>
                <w:sz w:val="24"/>
                <w:szCs w:val="24"/>
              </w:rPr>
            </w:pPr>
            <w:r w:rsidRPr="0091146F">
              <w:rPr>
                <w:rFonts w:cstheme="minorHAnsi"/>
                <w:b/>
                <w:bCs/>
                <w:sz w:val="24"/>
                <w:szCs w:val="24"/>
              </w:rPr>
              <w:t>Group</w:t>
            </w:r>
          </w:p>
        </w:tc>
        <w:tc>
          <w:tcPr>
            <w:tcW w:w="2516" w:type="dxa"/>
            <w:gridSpan w:val="3"/>
            <w:noWrap/>
            <w:hideMark/>
          </w:tcPr>
          <w:p w14:paraId="03947D4D" w14:textId="77777777" w:rsidR="004365B5" w:rsidRPr="0091146F" w:rsidRDefault="004365B5" w:rsidP="0091146F">
            <w:pPr>
              <w:jc w:val="center"/>
              <w:rPr>
                <w:rFonts w:cstheme="minorHAnsi"/>
                <w:b/>
                <w:bCs/>
                <w:sz w:val="24"/>
                <w:szCs w:val="24"/>
              </w:rPr>
            </w:pPr>
            <w:r w:rsidRPr="0091146F">
              <w:rPr>
                <w:rFonts w:cstheme="minorHAnsi"/>
                <w:b/>
                <w:bCs/>
                <w:sz w:val="24"/>
                <w:szCs w:val="24"/>
              </w:rPr>
              <w:t>Mobility</w:t>
            </w:r>
          </w:p>
        </w:tc>
        <w:tc>
          <w:tcPr>
            <w:tcW w:w="2790" w:type="dxa"/>
            <w:gridSpan w:val="3"/>
            <w:noWrap/>
            <w:hideMark/>
          </w:tcPr>
          <w:p w14:paraId="7297A339" w14:textId="5E2A7005" w:rsidR="004365B5" w:rsidRPr="0091146F" w:rsidRDefault="004365B5" w:rsidP="0091146F">
            <w:pPr>
              <w:jc w:val="center"/>
              <w:rPr>
                <w:rFonts w:cstheme="minorHAnsi"/>
                <w:b/>
                <w:bCs/>
                <w:sz w:val="24"/>
                <w:szCs w:val="24"/>
              </w:rPr>
            </w:pPr>
            <w:r w:rsidRPr="0091146F">
              <w:rPr>
                <w:rFonts w:cstheme="minorHAnsi"/>
                <w:b/>
                <w:bCs/>
                <w:sz w:val="24"/>
                <w:szCs w:val="24"/>
              </w:rPr>
              <w:t>Self-Care</w:t>
            </w:r>
          </w:p>
        </w:tc>
        <w:tc>
          <w:tcPr>
            <w:tcW w:w="2610" w:type="dxa"/>
            <w:gridSpan w:val="3"/>
            <w:noWrap/>
            <w:hideMark/>
          </w:tcPr>
          <w:p w14:paraId="3E5DC103" w14:textId="77777777" w:rsidR="004365B5" w:rsidRPr="0091146F" w:rsidRDefault="004365B5" w:rsidP="0091146F">
            <w:pPr>
              <w:jc w:val="center"/>
              <w:rPr>
                <w:rFonts w:cstheme="minorHAnsi"/>
                <w:b/>
                <w:bCs/>
                <w:sz w:val="24"/>
                <w:szCs w:val="24"/>
              </w:rPr>
            </w:pPr>
            <w:r w:rsidRPr="0091146F">
              <w:rPr>
                <w:rFonts w:cstheme="minorHAnsi"/>
                <w:b/>
                <w:bCs/>
                <w:sz w:val="24"/>
                <w:szCs w:val="24"/>
              </w:rPr>
              <w:t>Usual Activity</w:t>
            </w:r>
          </w:p>
        </w:tc>
        <w:tc>
          <w:tcPr>
            <w:tcW w:w="2880" w:type="dxa"/>
            <w:gridSpan w:val="3"/>
            <w:noWrap/>
            <w:hideMark/>
          </w:tcPr>
          <w:p w14:paraId="2DC25AF2" w14:textId="77777777" w:rsidR="004365B5" w:rsidRPr="0091146F" w:rsidRDefault="004365B5" w:rsidP="0091146F">
            <w:pPr>
              <w:jc w:val="center"/>
              <w:rPr>
                <w:rFonts w:cstheme="minorHAnsi"/>
                <w:b/>
                <w:bCs/>
                <w:sz w:val="24"/>
                <w:szCs w:val="24"/>
              </w:rPr>
            </w:pPr>
            <w:r w:rsidRPr="0091146F">
              <w:rPr>
                <w:rFonts w:cstheme="minorHAnsi"/>
                <w:b/>
                <w:bCs/>
                <w:sz w:val="24"/>
                <w:szCs w:val="24"/>
              </w:rPr>
              <w:t>Pain/Discomfort</w:t>
            </w:r>
          </w:p>
        </w:tc>
        <w:tc>
          <w:tcPr>
            <w:tcW w:w="2787" w:type="dxa"/>
            <w:gridSpan w:val="3"/>
            <w:noWrap/>
            <w:hideMark/>
          </w:tcPr>
          <w:p w14:paraId="1427BB00" w14:textId="77777777" w:rsidR="004365B5" w:rsidRPr="0091146F" w:rsidRDefault="004365B5" w:rsidP="0091146F">
            <w:pPr>
              <w:jc w:val="center"/>
              <w:rPr>
                <w:rFonts w:cstheme="minorHAnsi"/>
                <w:b/>
                <w:bCs/>
                <w:sz w:val="24"/>
                <w:szCs w:val="24"/>
              </w:rPr>
            </w:pPr>
            <w:r w:rsidRPr="0091146F">
              <w:rPr>
                <w:rFonts w:cstheme="minorHAnsi"/>
                <w:b/>
                <w:bCs/>
                <w:sz w:val="24"/>
                <w:szCs w:val="24"/>
              </w:rPr>
              <w:t>Anxiety/Depression</w:t>
            </w:r>
          </w:p>
        </w:tc>
      </w:tr>
      <w:tr w:rsidR="004365B5" w:rsidRPr="004365B5" w14:paraId="55A85B5A" w14:textId="77777777" w:rsidTr="0091146F">
        <w:trPr>
          <w:trHeight w:val="287"/>
        </w:trPr>
        <w:tc>
          <w:tcPr>
            <w:tcW w:w="2925" w:type="dxa"/>
            <w:vMerge/>
            <w:hideMark/>
          </w:tcPr>
          <w:p w14:paraId="014694B3" w14:textId="77777777" w:rsidR="004365B5" w:rsidRPr="004365B5" w:rsidRDefault="004365B5" w:rsidP="004365B5">
            <w:pPr>
              <w:rPr>
                <w:rFonts w:cstheme="minorHAnsi"/>
                <w:sz w:val="24"/>
                <w:szCs w:val="24"/>
              </w:rPr>
            </w:pPr>
          </w:p>
        </w:tc>
        <w:tc>
          <w:tcPr>
            <w:tcW w:w="885" w:type="dxa"/>
            <w:noWrap/>
            <w:hideMark/>
          </w:tcPr>
          <w:p w14:paraId="2250AD1A"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631" w:type="dxa"/>
            <w:gridSpan w:val="2"/>
            <w:noWrap/>
            <w:hideMark/>
          </w:tcPr>
          <w:p w14:paraId="0C0D737F"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209" w:type="dxa"/>
            <w:noWrap/>
            <w:hideMark/>
          </w:tcPr>
          <w:p w14:paraId="7B1499B0"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581" w:type="dxa"/>
            <w:gridSpan w:val="2"/>
            <w:noWrap/>
            <w:hideMark/>
          </w:tcPr>
          <w:p w14:paraId="6058EADF"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076" w:type="dxa"/>
            <w:noWrap/>
            <w:hideMark/>
          </w:tcPr>
          <w:p w14:paraId="4E37699E"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534" w:type="dxa"/>
            <w:gridSpan w:val="2"/>
            <w:noWrap/>
            <w:hideMark/>
          </w:tcPr>
          <w:p w14:paraId="3EDBAEDC"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123" w:type="dxa"/>
            <w:noWrap/>
            <w:hideMark/>
          </w:tcPr>
          <w:p w14:paraId="0CD00D4F"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757" w:type="dxa"/>
            <w:gridSpan w:val="2"/>
            <w:noWrap/>
            <w:hideMark/>
          </w:tcPr>
          <w:p w14:paraId="249B4BF2"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164" w:type="dxa"/>
            <w:noWrap/>
            <w:hideMark/>
          </w:tcPr>
          <w:p w14:paraId="74BD37E3"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623" w:type="dxa"/>
            <w:gridSpan w:val="2"/>
            <w:noWrap/>
            <w:hideMark/>
          </w:tcPr>
          <w:p w14:paraId="1A15E96B"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r>
      <w:tr w:rsidR="0091146F" w:rsidRPr="004365B5" w14:paraId="19C44AEC" w14:textId="77777777" w:rsidTr="00430A5D">
        <w:trPr>
          <w:trHeight w:val="287"/>
        </w:trPr>
        <w:tc>
          <w:tcPr>
            <w:tcW w:w="2925" w:type="dxa"/>
            <w:noWrap/>
            <w:hideMark/>
          </w:tcPr>
          <w:p w14:paraId="36C56F5A" w14:textId="77777777" w:rsidR="0091146F" w:rsidRPr="004365B5" w:rsidRDefault="0091146F" w:rsidP="004365B5">
            <w:pPr>
              <w:rPr>
                <w:rFonts w:cstheme="minorHAnsi"/>
                <w:sz w:val="24"/>
                <w:szCs w:val="24"/>
              </w:rPr>
            </w:pPr>
            <w:r w:rsidRPr="004365B5">
              <w:rPr>
                <w:rFonts w:cstheme="minorHAnsi"/>
                <w:sz w:val="24"/>
                <w:szCs w:val="24"/>
              </w:rPr>
              <w:t>Male 18-32 years</w:t>
            </w:r>
          </w:p>
        </w:tc>
        <w:tc>
          <w:tcPr>
            <w:tcW w:w="13583" w:type="dxa"/>
            <w:gridSpan w:val="15"/>
            <w:noWrap/>
            <w:hideMark/>
          </w:tcPr>
          <w:p w14:paraId="5BDF1F65" w14:textId="296401C4" w:rsidR="0091146F" w:rsidRPr="0091146F" w:rsidRDefault="0091146F" w:rsidP="004365B5">
            <w:pPr>
              <w:jc w:val="both"/>
              <w:rPr>
                <w:rFonts w:cstheme="minorHAnsi"/>
                <w:i/>
                <w:iCs/>
                <w:sz w:val="24"/>
                <w:szCs w:val="24"/>
              </w:rPr>
            </w:pPr>
            <w:r w:rsidRPr="0091146F">
              <w:rPr>
                <w:rFonts w:cstheme="minorHAnsi"/>
                <w:i/>
                <w:iCs/>
                <w:sz w:val="24"/>
                <w:szCs w:val="24"/>
              </w:rPr>
              <w:t>Reference</w:t>
            </w:r>
            <w:r>
              <w:rPr>
                <w:rFonts w:cstheme="minorHAnsi"/>
                <w:i/>
                <w:iCs/>
                <w:sz w:val="24"/>
                <w:szCs w:val="24"/>
              </w:rPr>
              <w:t xml:space="preserve"> group</w:t>
            </w:r>
          </w:p>
        </w:tc>
      </w:tr>
      <w:tr w:rsidR="004365B5" w:rsidRPr="004365B5" w14:paraId="48B8EB61" w14:textId="77777777" w:rsidTr="0091146F">
        <w:trPr>
          <w:trHeight w:val="287"/>
        </w:trPr>
        <w:tc>
          <w:tcPr>
            <w:tcW w:w="2925" w:type="dxa"/>
            <w:noWrap/>
            <w:hideMark/>
          </w:tcPr>
          <w:p w14:paraId="1A7B026C" w14:textId="77777777" w:rsidR="004365B5" w:rsidRPr="004365B5" w:rsidRDefault="004365B5" w:rsidP="004365B5">
            <w:pPr>
              <w:rPr>
                <w:rFonts w:cstheme="minorHAnsi"/>
                <w:sz w:val="24"/>
                <w:szCs w:val="24"/>
              </w:rPr>
            </w:pPr>
            <w:r w:rsidRPr="004365B5">
              <w:rPr>
                <w:rFonts w:cstheme="minorHAnsi"/>
                <w:sz w:val="24"/>
                <w:szCs w:val="24"/>
              </w:rPr>
              <w:t>Male 33-59 years</w:t>
            </w:r>
          </w:p>
        </w:tc>
        <w:tc>
          <w:tcPr>
            <w:tcW w:w="885" w:type="dxa"/>
            <w:noWrap/>
            <w:hideMark/>
          </w:tcPr>
          <w:p w14:paraId="09DA5FB2" w14:textId="20B97641" w:rsidR="004365B5" w:rsidRPr="004365B5" w:rsidRDefault="004365B5" w:rsidP="004365B5">
            <w:pPr>
              <w:jc w:val="both"/>
              <w:rPr>
                <w:rFonts w:cstheme="minorHAnsi"/>
                <w:sz w:val="24"/>
                <w:szCs w:val="24"/>
              </w:rPr>
            </w:pPr>
            <w:r w:rsidRPr="004365B5">
              <w:rPr>
                <w:rFonts w:cstheme="minorHAnsi"/>
                <w:sz w:val="24"/>
                <w:szCs w:val="24"/>
              </w:rPr>
              <w:t>0.77</w:t>
            </w:r>
            <w:r w:rsidR="0091146F">
              <w:rPr>
                <w:rFonts w:cstheme="minorHAnsi"/>
                <w:sz w:val="24"/>
                <w:szCs w:val="24"/>
              </w:rPr>
              <w:t>*</w:t>
            </w:r>
          </w:p>
        </w:tc>
        <w:tc>
          <w:tcPr>
            <w:tcW w:w="885" w:type="dxa"/>
            <w:noWrap/>
            <w:hideMark/>
          </w:tcPr>
          <w:p w14:paraId="1995D402" w14:textId="77777777" w:rsidR="004365B5" w:rsidRPr="004365B5" w:rsidRDefault="004365B5" w:rsidP="004365B5">
            <w:pPr>
              <w:jc w:val="both"/>
              <w:rPr>
                <w:rFonts w:cstheme="minorHAnsi"/>
                <w:sz w:val="24"/>
                <w:szCs w:val="24"/>
              </w:rPr>
            </w:pPr>
            <w:r w:rsidRPr="004365B5">
              <w:rPr>
                <w:rFonts w:cstheme="minorHAnsi"/>
                <w:sz w:val="24"/>
                <w:szCs w:val="24"/>
              </w:rPr>
              <w:t>0.51</w:t>
            </w:r>
          </w:p>
        </w:tc>
        <w:tc>
          <w:tcPr>
            <w:tcW w:w="746" w:type="dxa"/>
            <w:noWrap/>
            <w:hideMark/>
          </w:tcPr>
          <w:p w14:paraId="23F307E0" w14:textId="77777777" w:rsidR="004365B5" w:rsidRPr="004365B5" w:rsidRDefault="004365B5" w:rsidP="004365B5">
            <w:pPr>
              <w:jc w:val="both"/>
              <w:rPr>
                <w:rFonts w:cstheme="minorHAnsi"/>
                <w:sz w:val="24"/>
                <w:szCs w:val="24"/>
              </w:rPr>
            </w:pPr>
            <w:r w:rsidRPr="004365B5">
              <w:rPr>
                <w:rFonts w:cstheme="minorHAnsi"/>
                <w:sz w:val="24"/>
                <w:szCs w:val="24"/>
              </w:rPr>
              <w:t>1.15</w:t>
            </w:r>
          </w:p>
        </w:tc>
        <w:tc>
          <w:tcPr>
            <w:tcW w:w="1209" w:type="dxa"/>
            <w:noWrap/>
            <w:hideMark/>
          </w:tcPr>
          <w:p w14:paraId="3D81EA3A" w14:textId="77777777" w:rsidR="004365B5" w:rsidRPr="004365B5" w:rsidRDefault="004365B5" w:rsidP="004365B5">
            <w:pPr>
              <w:jc w:val="both"/>
              <w:rPr>
                <w:rFonts w:cstheme="minorHAnsi"/>
                <w:sz w:val="24"/>
                <w:szCs w:val="24"/>
              </w:rPr>
            </w:pPr>
            <w:r w:rsidRPr="004365B5">
              <w:rPr>
                <w:rFonts w:cstheme="minorHAnsi"/>
                <w:sz w:val="24"/>
                <w:szCs w:val="24"/>
              </w:rPr>
              <w:t>0.82</w:t>
            </w:r>
          </w:p>
        </w:tc>
        <w:tc>
          <w:tcPr>
            <w:tcW w:w="885" w:type="dxa"/>
            <w:noWrap/>
            <w:hideMark/>
          </w:tcPr>
          <w:p w14:paraId="3C038258" w14:textId="77777777" w:rsidR="004365B5" w:rsidRPr="004365B5" w:rsidRDefault="004365B5" w:rsidP="004365B5">
            <w:pPr>
              <w:jc w:val="both"/>
              <w:rPr>
                <w:rFonts w:cstheme="minorHAnsi"/>
                <w:sz w:val="24"/>
                <w:szCs w:val="24"/>
              </w:rPr>
            </w:pPr>
            <w:r w:rsidRPr="004365B5">
              <w:rPr>
                <w:rFonts w:cstheme="minorHAnsi"/>
                <w:sz w:val="24"/>
                <w:szCs w:val="24"/>
              </w:rPr>
              <w:t>0.54</w:t>
            </w:r>
          </w:p>
        </w:tc>
        <w:tc>
          <w:tcPr>
            <w:tcW w:w="696" w:type="dxa"/>
            <w:noWrap/>
            <w:hideMark/>
          </w:tcPr>
          <w:p w14:paraId="6DAC4A8D" w14:textId="77777777" w:rsidR="004365B5" w:rsidRPr="004365B5" w:rsidRDefault="004365B5" w:rsidP="004365B5">
            <w:pPr>
              <w:jc w:val="both"/>
              <w:rPr>
                <w:rFonts w:cstheme="minorHAnsi"/>
                <w:sz w:val="24"/>
                <w:szCs w:val="24"/>
              </w:rPr>
            </w:pPr>
            <w:r w:rsidRPr="004365B5">
              <w:rPr>
                <w:rFonts w:cstheme="minorHAnsi"/>
                <w:sz w:val="24"/>
                <w:szCs w:val="24"/>
              </w:rPr>
              <w:t>1.24</w:t>
            </w:r>
          </w:p>
        </w:tc>
        <w:tc>
          <w:tcPr>
            <w:tcW w:w="1076" w:type="dxa"/>
            <w:noWrap/>
            <w:hideMark/>
          </w:tcPr>
          <w:p w14:paraId="05B4E23C" w14:textId="77777777" w:rsidR="004365B5" w:rsidRPr="004365B5" w:rsidRDefault="004365B5" w:rsidP="004365B5">
            <w:pPr>
              <w:jc w:val="both"/>
              <w:rPr>
                <w:rFonts w:cstheme="minorHAnsi"/>
                <w:sz w:val="24"/>
                <w:szCs w:val="24"/>
              </w:rPr>
            </w:pPr>
            <w:r w:rsidRPr="004365B5">
              <w:rPr>
                <w:rFonts w:cstheme="minorHAnsi"/>
                <w:sz w:val="24"/>
                <w:szCs w:val="24"/>
              </w:rPr>
              <w:t>0.70</w:t>
            </w:r>
          </w:p>
        </w:tc>
        <w:tc>
          <w:tcPr>
            <w:tcW w:w="885" w:type="dxa"/>
            <w:noWrap/>
            <w:hideMark/>
          </w:tcPr>
          <w:p w14:paraId="0757D791" w14:textId="77777777" w:rsidR="004365B5" w:rsidRPr="004365B5" w:rsidRDefault="004365B5" w:rsidP="004365B5">
            <w:pPr>
              <w:jc w:val="both"/>
              <w:rPr>
                <w:rFonts w:cstheme="minorHAnsi"/>
                <w:sz w:val="24"/>
                <w:szCs w:val="24"/>
              </w:rPr>
            </w:pPr>
            <w:r w:rsidRPr="004365B5">
              <w:rPr>
                <w:rFonts w:cstheme="minorHAnsi"/>
                <w:sz w:val="24"/>
                <w:szCs w:val="24"/>
              </w:rPr>
              <w:t>0.47</w:t>
            </w:r>
          </w:p>
        </w:tc>
        <w:tc>
          <w:tcPr>
            <w:tcW w:w="649" w:type="dxa"/>
            <w:noWrap/>
            <w:hideMark/>
          </w:tcPr>
          <w:p w14:paraId="4FF578E4" w14:textId="77777777" w:rsidR="004365B5" w:rsidRPr="004365B5" w:rsidRDefault="004365B5" w:rsidP="004365B5">
            <w:pPr>
              <w:jc w:val="both"/>
              <w:rPr>
                <w:rFonts w:cstheme="minorHAnsi"/>
                <w:sz w:val="24"/>
                <w:szCs w:val="24"/>
              </w:rPr>
            </w:pPr>
            <w:r w:rsidRPr="004365B5">
              <w:rPr>
                <w:rFonts w:cstheme="minorHAnsi"/>
                <w:sz w:val="24"/>
                <w:szCs w:val="24"/>
              </w:rPr>
              <w:t>1.05</w:t>
            </w:r>
          </w:p>
        </w:tc>
        <w:tc>
          <w:tcPr>
            <w:tcW w:w="1123" w:type="dxa"/>
            <w:noWrap/>
            <w:hideMark/>
          </w:tcPr>
          <w:p w14:paraId="172BAAE8" w14:textId="77777777" w:rsidR="004365B5" w:rsidRPr="004365B5" w:rsidRDefault="004365B5" w:rsidP="004365B5">
            <w:pPr>
              <w:jc w:val="both"/>
              <w:rPr>
                <w:rFonts w:cstheme="minorHAnsi"/>
                <w:sz w:val="24"/>
                <w:szCs w:val="24"/>
              </w:rPr>
            </w:pPr>
            <w:r w:rsidRPr="004365B5">
              <w:rPr>
                <w:rFonts w:cstheme="minorHAnsi"/>
                <w:sz w:val="24"/>
                <w:szCs w:val="24"/>
              </w:rPr>
              <w:t>0.54</w:t>
            </w:r>
          </w:p>
        </w:tc>
        <w:tc>
          <w:tcPr>
            <w:tcW w:w="885" w:type="dxa"/>
            <w:noWrap/>
            <w:hideMark/>
          </w:tcPr>
          <w:p w14:paraId="0148453A" w14:textId="77777777" w:rsidR="004365B5" w:rsidRPr="004365B5" w:rsidRDefault="004365B5" w:rsidP="004365B5">
            <w:pPr>
              <w:jc w:val="both"/>
              <w:rPr>
                <w:rFonts w:cstheme="minorHAnsi"/>
                <w:sz w:val="24"/>
                <w:szCs w:val="24"/>
              </w:rPr>
            </w:pPr>
            <w:r w:rsidRPr="004365B5">
              <w:rPr>
                <w:rFonts w:cstheme="minorHAnsi"/>
                <w:sz w:val="24"/>
                <w:szCs w:val="24"/>
              </w:rPr>
              <w:t>0.27</w:t>
            </w:r>
          </w:p>
        </w:tc>
        <w:tc>
          <w:tcPr>
            <w:tcW w:w="872" w:type="dxa"/>
            <w:noWrap/>
            <w:hideMark/>
          </w:tcPr>
          <w:p w14:paraId="4C94655C" w14:textId="77777777" w:rsidR="004365B5" w:rsidRPr="004365B5" w:rsidRDefault="004365B5" w:rsidP="004365B5">
            <w:pPr>
              <w:jc w:val="both"/>
              <w:rPr>
                <w:rFonts w:cstheme="minorHAnsi"/>
                <w:sz w:val="24"/>
                <w:szCs w:val="24"/>
              </w:rPr>
            </w:pPr>
            <w:r w:rsidRPr="004365B5">
              <w:rPr>
                <w:rFonts w:cstheme="minorHAnsi"/>
                <w:sz w:val="24"/>
                <w:szCs w:val="24"/>
              </w:rPr>
              <w:t>1.04</w:t>
            </w:r>
          </w:p>
        </w:tc>
        <w:tc>
          <w:tcPr>
            <w:tcW w:w="1164" w:type="dxa"/>
            <w:noWrap/>
            <w:hideMark/>
          </w:tcPr>
          <w:p w14:paraId="74016977" w14:textId="77777777" w:rsidR="004365B5" w:rsidRPr="004365B5" w:rsidRDefault="004365B5" w:rsidP="004365B5">
            <w:pPr>
              <w:jc w:val="both"/>
              <w:rPr>
                <w:rFonts w:cstheme="minorHAnsi"/>
                <w:sz w:val="24"/>
                <w:szCs w:val="24"/>
              </w:rPr>
            </w:pPr>
            <w:r w:rsidRPr="004365B5">
              <w:rPr>
                <w:rFonts w:cstheme="minorHAnsi"/>
                <w:sz w:val="24"/>
                <w:szCs w:val="24"/>
              </w:rPr>
              <w:t>1.31</w:t>
            </w:r>
          </w:p>
        </w:tc>
        <w:tc>
          <w:tcPr>
            <w:tcW w:w="981" w:type="dxa"/>
            <w:noWrap/>
            <w:hideMark/>
          </w:tcPr>
          <w:p w14:paraId="7537E6E0" w14:textId="77777777" w:rsidR="004365B5" w:rsidRPr="004365B5" w:rsidRDefault="004365B5" w:rsidP="004365B5">
            <w:pPr>
              <w:jc w:val="both"/>
              <w:rPr>
                <w:rFonts w:cstheme="minorHAnsi"/>
                <w:sz w:val="24"/>
                <w:szCs w:val="24"/>
              </w:rPr>
            </w:pPr>
            <w:r w:rsidRPr="004365B5">
              <w:rPr>
                <w:rFonts w:cstheme="minorHAnsi"/>
                <w:sz w:val="24"/>
                <w:szCs w:val="24"/>
              </w:rPr>
              <w:t>0.86</w:t>
            </w:r>
          </w:p>
        </w:tc>
        <w:tc>
          <w:tcPr>
            <w:tcW w:w="642" w:type="dxa"/>
            <w:noWrap/>
            <w:hideMark/>
          </w:tcPr>
          <w:p w14:paraId="7CA107E6" w14:textId="77777777" w:rsidR="004365B5" w:rsidRPr="004365B5" w:rsidRDefault="004365B5" w:rsidP="004365B5">
            <w:pPr>
              <w:jc w:val="both"/>
              <w:rPr>
                <w:rFonts w:cstheme="minorHAnsi"/>
                <w:sz w:val="24"/>
                <w:szCs w:val="24"/>
              </w:rPr>
            </w:pPr>
            <w:r w:rsidRPr="004365B5">
              <w:rPr>
                <w:rFonts w:cstheme="minorHAnsi"/>
                <w:sz w:val="24"/>
                <w:szCs w:val="24"/>
              </w:rPr>
              <w:t>1.97</w:t>
            </w:r>
          </w:p>
        </w:tc>
      </w:tr>
      <w:tr w:rsidR="004365B5" w:rsidRPr="004365B5" w14:paraId="6904A4C1" w14:textId="77777777" w:rsidTr="0091146F">
        <w:trPr>
          <w:trHeight w:val="287"/>
        </w:trPr>
        <w:tc>
          <w:tcPr>
            <w:tcW w:w="2925" w:type="dxa"/>
            <w:noWrap/>
            <w:hideMark/>
          </w:tcPr>
          <w:p w14:paraId="792AC692" w14:textId="77777777" w:rsidR="004365B5" w:rsidRPr="004365B5" w:rsidRDefault="004365B5" w:rsidP="004365B5">
            <w:pPr>
              <w:rPr>
                <w:rFonts w:cstheme="minorHAnsi"/>
                <w:sz w:val="24"/>
                <w:szCs w:val="24"/>
              </w:rPr>
            </w:pPr>
            <w:r w:rsidRPr="004365B5">
              <w:rPr>
                <w:rFonts w:cstheme="minorHAnsi"/>
                <w:sz w:val="24"/>
                <w:szCs w:val="24"/>
              </w:rPr>
              <w:t>Male 60 years and above</w:t>
            </w:r>
          </w:p>
        </w:tc>
        <w:tc>
          <w:tcPr>
            <w:tcW w:w="885" w:type="dxa"/>
            <w:noWrap/>
            <w:hideMark/>
          </w:tcPr>
          <w:p w14:paraId="5714FAD1" w14:textId="77777777" w:rsidR="004365B5" w:rsidRPr="004365B5" w:rsidRDefault="004365B5" w:rsidP="004365B5">
            <w:pPr>
              <w:jc w:val="both"/>
              <w:rPr>
                <w:rFonts w:cstheme="minorHAnsi"/>
                <w:sz w:val="24"/>
                <w:szCs w:val="24"/>
              </w:rPr>
            </w:pPr>
            <w:r w:rsidRPr="004365B5">
              <w:rPr>
                <w:rFonts w:cstheme="minorHAnsi"/>
                <w:sz w:val="24"/>
                <w:szCs w:val="24"/>
              </w:rPr>
              <w:t>0.72</w:t>
            </w:r>
          </w:p>
        </w:tc>
        <w:tc>
          <w:tcPr>
            <w:tcW w:w="885" w:type="dxa"/>
            <w:noWrap/>
            <w:hideMark/>
          </w:tcPr>
          <w:p w14:paraId="5AE70A34" w14:textId="77777777" w:rsidR="004365B5" w:rsidRPr="004365B5" w:rsidRDefault="004365B5" w:rsidP="004365B5">
            <w:pPr>
              <w:jc w:val="both"/>
              <w:rPr>
                <w:rFonts w:cstheme="minorHAnsi"/>
                <w:sz w:val="24"/>
                <w:szCs w:val="24"/>
              </w:rPr>
            </w:pPr>
            <w:r w:rsidRPr="004365B5">
              <w:rPr>
                <w:rFonts w:cstheme="minorHAnsi"/>
                <w:sz w:val="24"/>
                <w:szCs w:val="24"/>
              </w:rPr>
              <w:t>0.36</w:t>
            </w:r>
          </w:p>
        </w:tc>
        <w:tc>
          <w:tcPr>
            <w:tcW w:w="746" w:type="dxa"/>
            <w:noWrap/>
            <w:hideMark/>
          </w:tcPr>
          <w:p w14:paraId="6C7F4468" w14:textId="77777777" w:rsidR="004365B5" w:rsidRPr="004365B5" w:rsidRDefault="004365B5" w:rsidP="004365B5">
            <w:pPr>
              <w:jc w:val="both"/>
              <w:rPr>
                <w:rFonts w:cstheme="minorHAnsi"/>
                <w:sz w:val="24"/>
                <w:szCs w:val="24"/>
              </w:rPr>
            </w:pPr>
            <w:r w:rsidRPr="004365B5">
              <w:rPr>
                <w:rFonts w:cstheme="minorHAnsi"/>
                <w:sz w:val="24"/>
                <w:szCs w:val="24"/>
              </w:rPr>
              <w:t>1.41</w:t>
            </w:r>
          </w:p>
        </w:tc>
        <w:tc>
          <w:tcPr>
            <w:tcW w:w="1209" w:type="dxa"/>
            <w:noWrap/>
            <w:hideMark/>
          </w:tcPr>
          <w:p w14:paraId="6970299D" w14:textId="77777777" w:rsidR="004365B5" w:rsidRPr="004365B5" w:rsidRDefault="004365B5" w:rsidP="004365B5">
            <w:pPr>
              <w:jc w:val="both"/>
              <w:rPr>
                <w:rFonts w:cstheme="minorHAnsi"/>
                <w:sz w:val="24"/>
                <w:szCs w:val="24"/>
              </w:rPr>
            </w:pPr>
            <w:r w:rsidRPr="004365B5">
              <w:rPr>
                <w:rFonts w:cstheme="minorHAnsi"/>
                <w:sz w:val="24"/>
                <w:szCs w:val="24"/>
              </w:rPr>
              <w:t>0.66</w:t>
            </w:r>
          </w:p>
        </w:tc>
        <w:tc>
          <w:tcPr>
            <w:tcW w:w="885" w:type="dxa"/>
            <w:noWrap/>
            <w:hideMark/>
          </w:tcPr>
          <w:p w14:paraId="0EF9522A" w14:textId="77777777" w:rsidR="004365B5" w:rsidRPr="004365B5" w:rsidRDefault="004365B5" w:rsidP="004365B5">
            <w:pPr>
              <w:jc w:val="both"/>
              <w:rPr>
                <w:rFonts w:cstheme="minorHAnsi"/>
                <w:sz w:val="24"/>
                <w:szCs w:val="24"/>
              </w:rPr>
            </w:pPr>
            <w:r w:rsidRPr="004365B5">
              <w:rPr>
                <w:rFonts w:cstheme="minorHAnsi"/>
                <w:sz w:val="24"/>
                <w:szCs w:val="24"/>
              </w:rPr>
              <w:t>0.33</w:t>
            </w:r>
          </w:p>
        </w:tc>
        <w:tc>
          <w:tcPr>
            <w:tcW w:w="696" w:type="dxa"/>
            <w:noWrap/>
            <w:hideMark/>
          </w:tcPr>
          <w:p w14:paraId="0DD1DED7" w14:textId="77777777" w:rsidR="004365B5" w:rsidRPr="004365B5" w:rsidRDefault="004365B5" w:rsidP="004365B5">
            <w:pPr>
              <w:jc w:val="both"/>
              <w:rPr>
                <w:rFonts w:cstheme="minorHAnsi"/>
                <w:sz w:val="24"/>
                <w:szCs w:val="24"/>
              </w:rPr>
            </w:pPr>
            <w:r w:rsidRPr="004365B5">
              <w:rPr>
                <w:rFonts w:cstheme="minorHAnsi"/>
                <w:sz w:val="24"/>
                <w:szCs w:val="24"/>
              </w:rPr>
              <w:t>1.31</w:t>
            </w:r>
          </w:p>
        </w:tc>
        <w:tc>
          <w:tcPr>
            <w:tcW w:w="1076" w:type="dxa"/>
            <w:noWrap/>
            <w:hideMark/>
          </w:tcPr>
          <w:p w14:paraId="475E9FD1" w14:textId="77777777" w:rsidR="004365B5" w:rsidRPr="004365B5" w:rsidRDefault="004365B5" w:rsidP="004365B5">
            <w:pPr>
              <w:jc w:val="both"/>
              <w:rPr>
                <w:rFonts w:cstheme="minorHAnsi"/>
                <w:sz w:val="24"/>
                <w:szCs w:val="24"/>
              </w:rPr>
            </w:pPr>
            <w:r w:rsidRPr="004365B5">
              <w:rPr>
                <w:rFonts w:cstheme="minorHAnsi"/>
                <w:sz w:val="24"/>
                <w:szCs w:val="24"/>
              </w:rPr>
              <w:t>0.73</w:t>
            </w:r>
          </w:p>
        </w:tc>
        <w:tc>
          <w:tcPr>
            <w:tcW w:w="885" w:type="dxa"/>
            <w:noWrap/>
            <w:hideMark/>
          </w:tcPr>
          <w:p w14:paraId="1425FA3B" w14:textId="77777777" w:rsidR="004365B5" w:rsidRPr="004365B5" w:rsidRDefault="004365B5" w:rsidP="004365B5">
            <w:pPr>
              <w:jc w:val="both"/>
              <w:rPr>
                <w:rFonts w:cstheme="minorHAnsi"/>
                <w:sz w:val="24"/>
                <w:szCs w:val="24"/>
              </w:rPr>
            </w:pPr>
            <w:r w:rsidRPr="004365B5">
              <w:rPr>
                <w:rFonts w:cstheme="minorHAnsi"/>
                <w:sz w:val="24"/>
                <w:szCs w:val="24"/>
              </w:rPr>
              <w:t>0.37</w:t>
            </w:r>
          </w:p>
        </w:tc>
        <w:tc>
          <w:tcPr>
            <w:tcW w:w="649" w:type="dxa"/>
            <w:noWrap/>
            <w:hideMark/>
          </w:tcPr>
          <w:p w14:paraId="0FFD7317" w14:textId="77777777" w:rsidR="004365B5" w:rsidRPr="004365B5" w:rsidRDefault="004365B5" w:rsidP="004365B5">
            <w:pPr>
              <w:jc w:val="both"/>
              <w:rPr>
                <w:rFonts w:cstheme="minorHAnsi"/>
                <w:sz w:val="24"/>
                <w:szCs w:val="24"/>
              </w:rPr>
            </w:pPr>
            <w:r w:rsidRPr="004365B5">
              <w:rPr>
                <w:rFonts w:cstheme="minorHAnsi"/>
                <w:sz w:val="24"/>
                <w:szCs w:val="24"/>
              </w:rPr>
              <w:t>1.44</w:t>
            </w:r>
          </w:p>
        </w:tc>
        <w:tc>
          <w:tcPr>
            <w:tcW w:w="1123" w:type="dxa"/>
            <w:noWrap/>
            <w:hideMark/>
          </w:tcPr>
          <w:p w14:paraId="0935020A" w14:textId="77777777" w:rsidR="004365B5" w:rsidRPr="004365B5" w:rsidRDefault="004365B5" w:rsidP="004365B5">
            <w:pPr>
              <w:jc w:val="both"/>
              <w:rPr>
                <w:rFonts w:cstheme="minorHAnsi"/>
                <w:sz w:val="24"/>
                <w:szCs w:val="24"/>
              </w:rPr>
            </w:pPr>
            <w:r w:rsidRPr="004365B5">
              <w:rPr>
                <w:rFonts w:cstheme="minorHAnsi"/>
                <w:sz w:val="24"/>
                <w:szCs w:val="24"/>
              </w:rPr>
              <w:t>0.31</w:t>
            </w:r>
          </w:p>
        </w:tc>
        <w:tc>
          <w:tcPr>
            <w:tcW w:w="885" w:type="dxa"/>
            <w:noWrap/>
            <w:hideMark/>
          </w:tcPr>
          <w:p w14:paraId="519BF473" w14:textId="77777777" w:rsidR="004365B5" w:rsidRPr="004365B5" w:rsidRDefault="004365B5" w:rsidP="004365B5">
            <w:pPr>
              <w:jc w:val="both"/>
              <w:rPr>
                <w:rFonts w:cstheme="minorHAnsi"/>
                <w:sz w:val="24"/>
                <w:szCs w:val="24"/>
              </w:rPr>
            </w:pPr>
            <w:r w:rsidRPr="004365B5">
              <w:rPr>
                <w:rFonts w:cstheme="minorHAnsi"/>
                <w:sz w:val="24"/>
                <w:szCs w:val="24"/>
              </w:rPr>
              <w:t>0.35</w:t>
            </w:r>
          </w:p>
        </w:tc>
        <w:tc>
          <w:tcPr>
            <w:tcW w:w="872" w:type="dxa"/>
            <w:noWrap/>
            <w:hideMark/>
          </w:tcPr>
          <w:p w14:paraId="66FDD02B" w14:textId="77777777" w:rsidR="004365B5" w:rsidRPr="004365B5" w:rsidRDefault="004365B5" w:rsidP="004365B5">
            <w:pPr>
              <w:jc w:val="both"/>
              <w:rPr>
                <w:rFonts w:cstheme="minorHAnsi"/>
                <w:sz w:val="24"/>
                <w:szCs w:val="24"/>
              </w:rPr>
            </w:pPr>
            <w:r w:rsidRPr="004365B5">
              <w:rPr>
                <w:rFonts w:cstheme="minorHAnsi"/>
                <w:sz w:val="24"/>
                <w:szCs w:val="24"/>
              </w:rPr>
              <w:t>0.82</w:t>
            </w:r>
          </w:p>
        </w:tc>
        <w:tc>
          <w:tcPr>
            <w:tcW w:w="1164" w:type="dxa"/>
            <w:noWrap/>
            <w:hideMark/>
          </w:tcPr>
          <w:p w14:paraId="3227ED25" w14:textId="77777777" w:rsidR="004365B5" w:rsidRPr="004365B5" w:rsidRDefault="004365B5" w:rsidP="004365B5">
            <w:pPr>
              <w:jc w:val="both"/>
              <w:rPr>
                <w:rFonts w:cstheme="minorHAnsi"/>
                <w:sz w:val="24"/>
                <w:szCs w:val="24"/>
              </w:rPr>
            </w:pPr>
            <w:r w:rsidRPr="004365B5">
              <w:rPr>
                <w:rFonts w:cstheme="minorHAnsi"/>
                <w:sz w:val="24"/>
                <w:szCs w:val="24"/>
              </w:rPr>
              <w:t>1.35</w:t>
            </w:r>
          </w:p>
        </w:tc>
        <w:tc>
          <w:tcPr>
            <w:tcW w:w="981" w:type="dxa"/>
            <w:noWrap/>
            <w:hideMark/>
          </w:tcPr>
          <w:p w14:paraId="40C17105" w14:textId="77777777" w:rsidR="004365B5" w:rsidRPr="004365B5" w:rsidRDefault="004365B5" w:rsidP="004365B5">
            <w:pPr>
              <w:jc w:val="both"/>
              <w:rPr>
                <w:rFonts w:cstheme="minorHAnsi"/>
                <w:sz w:val="24"/>
                <w:szCs w:val="24"/>
              </w:rPr>
            </w:pPr>
            <w:r w:rsidRPr="004365B5">
              <w:rPr>
                <w:rFonts w:cstheme="minorHAnsi"/>
                <w:sz w:val="24"/>
                <w:szCs w:val="24"/>
              </w:rPr>
              <w:t>0.68</w:t>
            </w:r>
          </w:p>
        </w:tc>
        <w:tc>
          <w:tcPr>
            <w:tcW w:w="642" w:type="dxa"/>
            <w:noWrap/>
            <w:hideMark/>
          </w:tcPr>
          <w:p w14:paraId="581998B8" w14:textId="77777777" w:rsidR="004365B5" w:rsidRPr="004365B5" w:rsidRDefault="004365B5" w:rsidP="004365B5">
            <w:pPr>
              <w:jc w:val="both"/>
              <w:rPr>
                <w:rFonts w:cstheme="minorHAnsi"/>
                <w:sz w:val="24"/>
                <w:szCs w:val="24"/>
              </w:rPr>
            </w:pPr>
            <w:r w:rsidRPr="004365B5">
              <w:rPr>
                <w:rFonts w:cstheme="minorHAnsi"/>
                <w:sz w:val="24"/>
                <w:szCs w:val="24"/>
              </w:rPr>
              <w:t>2.67</w:t>
            </w:r>
          </w:p>
        </w:tc>
      </w:tr>
      <w:tr w:rsidR="004365B5" w:rsidRPr="004365B5" w14:paraId="26196EBA" w14:textId="77777777" w:rsidTr="0091146F">
        <w:trPr>
          <w:trHeight w:val="287"/>
        </w:trPr>
        <w:tc>
          <w:tcPr>
            <w:tcW w:w="2925" w:type="dxa"/>
            <w:noWrap/>
            <w:hideMark/>
          </w:tcPr>
          <w:p w14:paraId="72317F1D" w14:textId="77777777" w:rsidR="004365B5" w:rsidRPr="004365B5" w:rsidRDefault="004365B5" w:rsidP="004365B5">
            <w:pPr>
              <w:rPr>
                <w:rFonts w:cstheme="minorHAnsi"/>
                <w:sz w:val="24"/>
                <w:szCs w:val="24"/>
              </w:rPr>
            </w:pPr>
            <w:r w:rsidRPr="004365B5">
              <w:rPr>
                <w:rFonts w:cstheme="minorHAnsi"/>
                <w:sz w:val="24"/>
                <w:szCs w:val="24"/>
              </w:rPr>
              <w:t>Female 18-32 years</w:t>
            </w:r>
          </w:p>
        </w:tc>
        <w:tc>
          <w:tcPr>
            <w:tcW w:w="885" w:type="dxa"/>
            <w:noWrap/>
            <w:hideMark/>
          </w:tcPr>
          <w:p w14:paraId="0280E5A7" w14:textId="77777777" w:rsidR="004365B5" w:rsidRPr="004365B5" w:rsidRDefault="004365B5" w:rsidP="004365B5">
            <w:pPr>
              <w:jc w:val="both"/>
              <w:rPr>
                <w:rFonts w:cstheme="minorHAnsi"/>
                <w:sz w:val="24"/>
                <w:szCs w:val="24"/>
              </w:rPr>
            </w:pPr>
            <w:r w:rsidRPr="004365B5">
              <w:rPr>
                <w:rFonts w:cstheme="minorHAnsi"/>
                <w:sz w:val="24"/>
                <w:szCs w:val="24"/>
              </w:rPr>
              <w:t>0.78</w:t>
            </w:r>
          </w:p>
        </w:tc>
        <w:tc>
          <w:tcPr>
            <w:tcW w:w="885" w:type="dxa"/>
            <w:noWrap/>
            <w:hideMark/>
          </w:tcPr>
          <w:p w14:paraId="25F6F7A9" w14:textId="77777777" w:rsidR="004365B5" w:rsidRPr="004365B5" w:rsidRDefault="004365B5" w:rsidP="004365B5">
            <w:pPr>
              <w:jc w:val="both"/>
              <w:rPr>
                <w:rFonts w:cstheme="minorHAnsi"/>
                <w:sz w:val="24"/>
                <w:szCs w:val="24"/>
              </w:rPr>
            </w:pPr>
            <w:r w:rsidRPr="004365B5">
              <w:rPr>
                <w:rFonts w:cstheme="minorHAnsi"/>
                <w:sz w:val="24"/>
                <w:szCs w:val="24"/>
              </w:rPr>
              <w:t>0.41</w:t>
            </w:r>
          </w:p>
        </w:tc>
        <w:tc>
          <w:tcPr>
            <w:tcW w:w="746" w:type="dxa"/>
            <w:noWrap/>
            <w:hideMark/>
          </w:tcPr>
          <w:p w14:paraId="0E87C686" w14:textId="77777777" w:rsidR="004365B5" w:rsidRPr="004365B5" w:rsidRDefault="004365B5" w:rsidP="004365B5">
            <w:pPr>
              <w:jc w:val="both"/>
              <w:rPr>
                <w:rFonts w:cstheme="minorHAnsi"/>
                <w:sz w:val="24"/>
                <w:szCs w:val="24"/>
              </w:rPr>
            </w:pPr>
            <w:r w:rsidRPr="004365B5">
              <w:rPr>
                <w:rFonts w:cstheme="minorHAnsi"/>
                <w:sz w:val="24"/>
                <w:szCs w:val="24"/>
              </w:rPr>
              <w:t>1.47</w:t>
            </w:r>
          </w:p>
        </w:tc>
        <w:tc>
          <w:tcPr>
            <w:tcW w:w="1209" w:type="dxa"/>
            <w:noWrap/>
            <w:hideMark/>
          </w:tcPr>
          <w:p w14:paraId="09D7A8AC" w14:textId="77777777" w:rsidR="004365B5" w:rsidRPr="004365B5" w:rsidRDefault="004365B5" w:rsidP="004365B5">
            <w:pPr>
              <w:jc w:val="both"/>
              <w:rPr>
                <w:rFonts w:cstheme="minorHAnsi"/>
                <w:sz w:val="24"/>
                <w:szCs w:val="24"/>
              </w:rPr>
            </w:pPr>
            <w:r w:rsidRPr="004365B5">
              <w:rPr>
                <w:rFonts w:cstheme="minorHAnsi"/>
                <w:sz w:val="24"/>
                <w:szCs w:val="24"/>
              </w:rPr>
              <w:t>0.74</w:t>
            </w:r>
          </w:p>
        </w:tc>
        <w:tc>
          <w:tcPr>
            <w:tcW w:w="885" w:type="dxa"/>
            <w:noWrap/>
            <w:hideMark/>
          </w:tcPr>
          <w:p w14:paraId="316E857C" w14:textId="77777777" w:rsidR="004365B5" w:rsidRPr="004365B5" w:rsidRDefault="004365B5" w:rsidP="004365B5">
            <w:pPr>
              <w:jc w:val="both"/>
              <w:rPr>
                <w:rFonts w:cstheme="minorHAnsi"/>
                <w:sz w:val="24"/>
                <w:szCs w:val="24"/>
              </w:rPr>
            </w:pPr>
            <w:r w:rsidRPr="004365B5">
              <w:rPr>
                <w:rFonts w:cstheme="minorHAnsi"/>
                <w:sz w:val="24"/>
                <w:szCs w:val="24"/>
              </w:rPr>
              <w:t>0.39</w:t>
            </w:r>
          </w:p>
        </w:tc>
        <w:tc>
          <w:tcPr>
            <w:tcW w:w="696" w:type="dxa"/>
            <w:noWrap/>
            <w:hideMark/>
          </w:tcPr>
          <w:p w14:paraId="7803A5F5" w14:textId="77777777" w:rsidR="004365B5" w:rsidRPr="004365B5" w:rsidRDefault="004365B5" w:rsidP="004365B5">
            <w:pPr>
              <w:jc w:val="both"/>
              <w:rPr>
                <w:rFonts w:cstheme="minorHAnsi"/>
                <w:sz w:val="24"/>
                <w:szCs w:val="24"/>
              </w:rPr>
            </w:pPr>
            <w:r w:rsidRPr="004365B5">
              <w:rPr>
                <w:rFonts w:cstheme="minorHAnsi"/>
                <w:sz w:val="24"/>
                <w:szCs w:val="24"/>
              </w:rPr>
              <w:t>1.42</w:t>
            </w:r>
          </w:p>
        </w:tc>
        <w:tc>
          <w:tcPr>
            <w:tcW w:w="1076" w:type="dxa"/>
            <w:noWrap/>
            <w:hideMark/>
          </w:tcPr>
          <w:p w14:paraId="3F02A5E2" w14:textId="77777777" w:rsidR="004365B5" w:rsidRPr="004365B5" w:rsidRDefault="004365B5" w:rsidP="004365B5">
            <w:pPr>
              <w:jc w:val="both"/>
              <w:rPr>
                <w:rFonts w:cstheme="minorHAnsi"/>
                <w:sz w:val="24"/>
                <w:szCs w:val="24"/>
              </w:rPr>
            </w:pPr>
            <w:r w:rsidRPr="004365B5">
              <w:rPr>
                <w:rFonts w:cstheme="minorHAnsi"/>
                <w:sz w:val="24"/>
                <w:szCs w:val="24"/>
              </w:rPr>
              <w:t>0.70</w:t>
            </w:r>
          </w:p>
        </w:tc>
        <w:tc>
          <w:tcPr>
            <w:tcW w:w="885" w:type="dxa"/>
            <w:noWrap/>
            <w:hideMark/>
          </w:tcPr>
          <w:p w14:paraId="63A2AEEF" w14:textId="77777777" w:rsidR="004365B5" w:rsidRPr="004365B5" w:rsidRDefault="004365B5" w:rsidP="004365B5">
            <w:pPr>
              <w:jc w:val="both"/>
              <w:rPr>
                <w:rFonts w:cstheme="minorHAnsi"/>
                <w:sz w:val="24"/>
                <w:szCs w:val="24"/>
              </w:rPr>
            </w:pPr>
            <w:r w:rsidRPr="004365B5">
              <w:rPr>
                <w:rFonts w:cstheme="minorHAnsi"/>
                <w:sz w:val="24"/>
                <w:szCs w:val="24"/>
              </w:rPr>
              <w:t>0.76</w:t>
            </w:r>
          </w:p>
        </w:tc>
        <w:tc>
          <w:tcPr>
            <w:tcW w:w="649" w:type="dxa"/>
            <w:noWrap/>
            <w:hideMark/>
          </w:tcPr>
          <w:p w14:paraId="731DECE0" w14:textId="77777777" w:rsidR="004365B5" w:rsidRPr="004365B5" w:rsidRDefault="004365B5" w:rsidP="004365B5">
            <w:pPr>
              <w:jc w:val="both"/>
              <w:rPr>
                <w:rFonts w:cstheme="minorHAnsi"/>
                <w:sz w:val="24"/>
                <w:szCs w:val="24"/>
              </w:rPr>
            </w:pPr>
            <w:r w:rsidRPr="004365B5">
              <w:rPr>
                <w:rFonts w:cstheme="minorHAnsi"/>
                <w:sz w:val="24"/>
                <w:szCs w:val="24"/>
              </w:rPr>
              <w:t>2.31</w:t>
            </w:r>
          </w:p>
        </w:tc>
        <w:tc>
          <w:tcPr>
            <w:tcW w:w="1123" w:type="dxa"/>
            <w:noWrap/>
            <w:hideMark/>
          </w:tcPr>
          <w:p w14:paraId="5E153659" w14:textId="77777777" w:rsidR="004365B5" w:rsidRPr="004365B5" w:rsidRDefault="004365B5" w:rsidP="004365B5">
            <w:pPr>
              <w:jc w:val="both"/>
              <w:rPr>
                <w:rFonts w:cstheme="minorHAnsi"/>
                <w:sz w:val="24"/>
                <w:szCs w:val="24"/>
              </w:rPr>
            </w:pPr>
            <w:r w:rsidRPr="004365B5">
              <w:rPr>
                <w:rFonts w:cstheme="minorHAnsi"/>
                <w:sz w:val="24"/>
                <w:szCs w:val="24"/>
              </w:rPr>
              <w:t>0.54</w:t>
            </w:r>
          </w:p>
        </w:tc>
        <w:tc>
          <w:tcPr>
            <w:tcW w:w="885" w:type="dxa"/>
            <w:noWrap/>
            <w:hideMark/>
          </w:tcPr>
          <w:p w14:paraId="6ED2E09A" w14:textId="77777777" w:rsidR="004365B5" w:rsidRPr="004365B5" w:rsidRDefault="004365B5" w:rsidP="004365B5">
            <w:pPr>
              <w:jc w:val="both"/>
              <w:rPr>
                <w:rFonts w:cstheme="minorHAnsi"/>
                <w:sz w:val="24"/>
                <w:szCs w:val="24"/>
              </w:rPr>
            </w:pPr>
            <w:r w:rsidRPr="004365B5">
              <w:rPr>
                <w:rFonts w:cstheme="minorHAnsi"/>
                <w:sz w:val="24"/>
                <w:szCs w:val="24"/>
              </w:rPr>
              <w:t>0.13</w:t>
            </w:r>
          </w:p>
        </w:tc>
        <w:tc>
          <w:tcPr>
            <w:tcW w:w="872" w:type="dxa"/>
            <w:noWrap/>
            <w:hideMark/>
          </w:tcPr>
          <w:p w14:paraId="2AFF5FD8" w14:textId="77777777" w:rsidR="004365B5" w:rsidRPr="004365B5" w:rsidRDefault="004365B5" w:rsidP="004365B5">
            <w:pPr>
              <w:jc w:val="both"/>
              <w:rPr>
                <w:rFonts w:cstheme="minorHAnsi"/>
                <w:sz w:val="24"/>
                <w:szCs w:val="24"/>
              </w:rPr>
            </w:pPr>
            <w:r w:rsidRPr="004365B5">
              <w:rPr>
                <w:rFonts w:cstheme="minorHAnsi"/>
                <w:sz w:val="24"/>
                <w:szCs w:val="24"/>
              </w:rPr>
              <w:t>0.70</w:t>
            </w:r>
          </w:p>
        </w:tc>
        <w:tc>
          <w:tcPr>
            <w:tcW w:w="1164" w:type="dxa"/>
            <w:noWrap/>
            <w:hideMark/>
          </w:tcPr>
          <w:p w14:paraId="220CAA87" w14:textId="77777777" w:rsidR="004365B5" w:rsidRPr="004365B5" w:rsidRDefault="004365B5" w:rsidP="004365B5">
            <w:pPr>
              <w:jc w:val="both"/>
              <w:rPr>
                <w:rFonts w:cstheme="minorHAnsi"/>
                <w:sz w:val="24"/>
                <w:szCs w:val="24"/>
              </w:rPr>
            </w:pPr>
            <w:r w:rsidRPr="004365B5">
              <w:rPr>
                <w:rFonts w:cstheme="minorHAnsi"/>
                <w:sz w:val="24"/>
                <w:szCs w:val="24"/>
              </w:rPr>
              <w:t>1.59</w:t>
            </w:r>
          </w:p>
        </w:tc>
        <w:tc>
          <w:tcPr>
            <w:tcW w:w="981" w:type="dxa"/>
            <w:noWrap/>
            <w:hideMark/>
          </w:tcPr>
          <w:p w14:paraId="5AF6B457" w14:textId="77777777" w:rsidR="004365B5" w:rsidRPr="004365B5" w:rsidRDefault="004365B5" w:rsidP="004365B5">
            <w:pPr>
              <w:jc w:val="both"/>
              <w:rPr>
                <w:rFonts w:cstheme="minorHAnsi"/>
                <w:sz w:val="24"/>
                <w:szCs w:val="24"/>
              </w:rPr>
            </w:pPr>
            <w:r w:rsidRPr="004365B5">
              <w:rPr>
                <w:rFonts w:cstheme="minorHAnsi"/>
                <w:sz w:val="24"/>
                <w:szCs w:val="24"/>
              </w:rPr>
              <w:t>0.84</w:t>
            </w:r>
          </w:p>
        </w:tc>
        <w:tc>
          <w:tcPr>
            <w:tcW w:w="642" w:type="dxa"/>
            <w:noWrap/>
            <w:hideMark/>
          </w:tcPr>
          <w:p w14:paraId="45714965" w14:textId="77777777" w:rsidR="004365B5" w:rsidRPr="004365B5" w:rsidRDefault="004365B5" w:rsidP="004365B5">
            <w:pPr>
              <w:jc w:val="both"/>
              <w:rPr>
                <w:rFonts w:cstheme="minorHAnsi"/>
                <w:sz w:val="24"/>
                <w:szCs w:val="24"/>
              </w:rPr>
            </w:pPr>
            <w:r w:rsidRPr="004365B5">
              <w:rPr>
                <w:rFonts w:cstheme="minorHAnsi"/>
                <w:sz w:val="24"/>
                <w:szCs w:val="24"/>
              </w:rPr>
              <w:t>2.99</w:t>
            </w:r>
          </w:p>
        </w:tc>
      </w:tr>
      <w:tr w:rsidR="004365B5" w:rsidRPr="004365B5" w14:paraId="76FB2AF9" w14:textId="77777777" w:rsidTr="0091146F">
        <w:trPr>
          <w:trHeight w:val="287"/>
        </w:trPr>
        <w:tc>
          <w:tcPr>
            <w:tcW w:w="2925" w:type="dxa"/>
            <w:noWrap/>
            <w:hideMark/>
          </w:tcPr>
          <w:p w14:paraId="38B9908A" w14:textId="77777777" w:rsidR="004365B5" w:rsidRPr="004365B5" w:rsidRDefault="004365B5" w:rsidP="004365B5">
            <w:pPr>
              <w:rPr>
                <w:rFonts w:cstheme="minorHAnsi"/>
                <w:sz w:val="24"/>
                <w:szCs w:val="24"/>
              </w:rPr>
            </w:pPr>
            <w:r w:rsidRPr="004365B5">
              <w:rPr>
                <w:rFonts w:cstheme="minorHAnsi"/>
                <w:sz w:val="24"/>
                <w:szCs w:val="24"/>
              </w:rPr>
              <w:t>Female 33-59 years</w:t>
            </w:r>
          </w:p>
        </w:tc>
        <w:tc>
          <w:tcPr>
            <w:tcW w:w="885" w:type="dxa"/>
            <w:noWrap/>
            <w:hideMark/>
          </w:tcPr>
          <w:p w14:paraId="74452664" w14:textId="77777777" w:rsidR="004365B5" w:rsidRPr="004365B5" w:rsidRDefault="004365B5" w:rsidP="004365B5">
            <w:pPr>
              <w:jc w:val="both"/>
              <w:rPr>
                <w:rFonts w:cstheme="minorHAnsi"/>
                <w:sz w:val="24"/>
                <w:szCs w:val="24"/>
              </w:rPr>
            </w:pPr>
            <w:r w:rsidRPr="004365B5">
              <w:rPr>
                <w:rFonts w:cstheme="minorHAnsi"/>
                <w:sz w:val="24"/>
                <w:szCs w:val="24"/>
              </w:rPr>
              <w:t>1.44</w:t>
            </w:r>
          </w:p>
        </w:tc>
        <w:tc>
          <w:tcPr>
            <w:tcW w:w="885" w:type="dxa"/>
            <w:noWrap/>
            <w:hideMark/>
          </w:tcPr>
          <w:p w14:paraId="1BDEC7C3" w14:textId="77777777" w:rsidR="004365B5" w:rsidRPr="004365B5" w:rsidRDefault="004365B5" w:rsidP="004365B5">
            <w:pPr>
              <w:jc w:val="both"/>
              <w:rPr>
                <w:rFonts w:cstheme="minorHAnsi"/>
                <w:sz w:val="24"/>
                <w:szCs w:val="24"/>
              </w:rPr>
            </w:pPr>
            <w:r w:rsidRPr="004365B5">
              <w:rPr>
                <w:rFonts w:cstheme="minorHAnsi"/>
                <w:sz w:val="24"/>
                <w:szCs w:val="24"/>
              </w:rPr>
              <w:t>0.61</w:t>
            </w:r>
          </w:p>
        </w:tc>
        <w:tc>
          <w:tcPr>
            <w:tcW w:w="746" w:type="dxa"/>
            <w:noWrap/>
            <w:hideMark/>
          </w:tcPr>
          <w:p w14:paraId="4CA23A03" w14:textId="77777777" w:rsidR="004365B5" w:rsidRPr="004365B5" w:rsidRDefault="004365B5" w:rsidP="004365B5">
            <w:pPr>
              <w:jc w:val="both"/>
              <w:rPr>
                <w:rFonts w:cstheme="minorHAnsi"/>
                <w:sz w:val="24"/>
                <w:szCs w:val="24"/>
              </w:rPr>
            </w:pPr>
            <w:r w:rsidRPr="004365B5">
              <w:rPr>
                <w:rFonts w:cstheme="minorHAnsi"/>
                <w:sz w:val="24"/>
                <w:szCs w:val="24"/>
              </w:rPr>
              <w:t>3.39</w:t>
            </w:r>
          </w:p>
        </w:tc>
        <w:tc>
          <w:tcPr>
            <w:tcW w:w="1209" w:type="dxa"/>
            <w:noWrap/>
            <w:hideMark/>
          </w:tcPr>
          <w:p w14:paraId="06986B72" w14:textId="77777777" w:rsidR="004365B5" w:rsidRPr="004365B5" w:rsidRDefault="004365B5" w:rsidP="004365B5">
            <w:pPr>
              <w:jc w:val="both"/>
              <w:rPr>
                <w:rFonts w:cstheme="minorHAnsi"/>
                <w:sz w:val="24"/>
                <w:szCs w:val="24"/>
              </w:rPr>
            </w:pPr>
            <w:r w:rsidRPr="004365B5">
              <w:rPr>
                <w:rFonts w:cstheme="minorHAnsi"/>
                <w:sz w:val="24"/>
                <w:szCs w:val="24"/>
              </w:rPr>
              <w:t>1.15</w:t>
            </w:r>
          </w:p>
        </w:tc>
        <w:tc>
          <w:tcPr>
            <w:tcW w:w="885" w:type="dxa"/>
            <w:noWrap/>
            <w:hideMark/>
          </w:tcPr>
          <w:p w14:paraId="205EAC8A" w14:textId="77777777" w:rsidR="004365B5" w:rsidRPr="004365B5" w:rsidRDefault="004365B5" w:rsidP="004365B5">
            <w:pPr>
              <w:jc w:val="both"/>
              <w:rPr>
                <w:rFonts w:cstheme="minorHAnsi"/>
                <w:sz w:val="24"/>
                <w:szCs w:val="24"/>
              </w:rPr>
            </w:pPr>
            <w:r w:rsidRPr="004365B5">
              <w:rPr>
                <w:rFonts w:cstheme="minorHAnsi"/>
                <w:sz w:val="24"/>
                <w:szCs w:val="24"/>
              </w:rPr>
              <w:t>0.49</w:t>
            </w:r>
          </w:p>
        </w:tc>
        <w:tc>
          <w:tcPr>
            <w:tcW w:w="696" w:type="dxa"/>
            <w:noWrap/>
            <w:hideMark/>
          </w:tcPr>
          <w:p w14:paraId="6B0DDF7B" w14:textId="77777777" w:rsidR="004365B5" w:rsidRPr="004365B5" w:rsidRDefault="004365B5" w:rsidP="004365B5">
            <w:pPr>
              <w:jc w:val="both"/>
              <w:rPr>
                <w:rFonts w:cstheme="minorHAnsi"/>
                <w:sz w:val="24"/>
                <w:szCs w:val="24"/>
              </w:rPr>
            </w:pPr>
            <w:r w:rsidRPr="004365B5">
              <w:rPr>
                <w:rFonts w:cstheme="minorHAnsi"/>
                <w:sz w:val="24"/>
                <w:szCs w:val="24"/>
              </w:rPr>
              <w:t>0.48</w:t>
            </w:r>
          </w:p>
        </w:tc>
        <w:tc>
          <w:tcPr>
            <w:tcW w:w="1076" w:type="dxa"/>
            <w:noWrap/>
            <w:hideMark/>
          </w:tcPr>
          <w:p w14:paraId="0E43581D" w14:textId="77777777" w:rsidR="004365B5" w:rsidRPr="004365B5" w:rsidRDefault="004365B5" w:rsidP="004365B5">
            <w:pPr>
              <w:jc w:val="both"/>
              <w:rPr>
                <w:rFonts w:cstheme="minorHAnsi"/>
                <w:sz w:val="24"/>
                <w:szCs w:val="24"/>
              </w:rPr>
            </w:pPr>
            <w:r w:rsidRPr="004365B5">
              <w:rPr>
                <w:rFonts w:cstheme="minorHAnsi"/>
                <w:sz w:val="24"/>
                <w:szCs w:val="24"/>
              </w:rPr>
              <w:t>1.40</w:t>
            </w:r>
          </w:p>
        </w:tc>
        <w:tc>
          <w:tcPr>
            <w:tcW w:w="885" w:type="dxa"/>
            <w:noWrap/>
            <w:hideMark/>
          </w:tcPr>
          <w:p w14:paraId="48980FB3" w14:textId="77777777" w:rsidR="004365B5" w:rsidRPr="004365B5" w:rsidRDefault="004365B5" w:rsidP="004365B5">
            <w:pPr>
              <w:jc w:val="both"/>
              <w:rPr>
                <w:rFonts w:cstheme="minorHAnsi"/>
                <w:sz w:val="24"/>
                <w:szCs w:val="24"/>
              </w:rPr>
            </w:pPr>
            <w:r w:rsidRPr="004365B5">
              <w:rPr>
                <w:rFonts w:cstheme="minorHAnsi"/>
                <w:sz w:val="24"/>
                <w:szCs w:val="24"/>
              </w:rPr>
              <w:t>0.62</w:t>
            </w:r>
          </w:p>
        </w:tc>
        <w:tc>
          <w:tcPr>
            <w:tcW w:w="649" w:type="dxa"/>
            <w:noWrap/>
            <w:hideMark/>
          </w:tcPr>
          <w:p w14:paraId="0C9F2497" w14:textId="77777777" w:rsidR="004365B5" w:rsidRPr="004365B5" w:rsidRDefault="004365B5" w:rsidP="004365B5">
            <w:pPr>
              <w:jc w:val="both"/>
              <w:rPr>
                <w:rFonts w:cstheme="minorHAnsi"/>
                <w:sz w:val="24"/>
                <w:szCs w:val="24"/>
              </w:rPr>
            </w:pPr>
            <w:r w:rsidRPr="004365B5">
              <w:rPr>
                <w:rFonts w:cstheme="minorHAnsi"/>
                <w:sz w:val="24"/>
                <w:szCs w:val="24"/>
              </w:rPr>
              <w:t>3.40</w:t>
            </w:r>
          </w:p>
        </w:tc>
        <w:tc>
          <w:tcPr>
            <w:tcW w:w="1123" w:type="dxa"/>
            <w:noWrap/>
            <w:hideMark/>
          </w:tcPr>
          <w:p w14:paraId="504B712C" w14:textId="77777777" w:rsidR="004365B5" w:rsidRPr="004365B5" w:rsidRDefault="004365B5" w:rsidP="004365B5">
            <w:pPr>
              <w:jc w:val="both"/>
              <w:rPr>
                <w:rFonts w:cstheme="minorHAnsi"/>
                <w:sz w:val="24"/>
                <w:szCs w:val="24"/>
              </w:rPr>
            </w:pPr>
            <w:r w:rsidRPr="004365B5">
              <w:rPr>
                <w:rFonts w:cstheme="minorHAnsi"/>
                <w:sz w:val="24"/>
                <w:szCs w:val="24"/>
              </w:rPr>
              <w:t>1.36</w:t>
            </w:r>
          </w:p>
        </w:tc>
        <w:tc>
          <w:tcPr>
            <w:tcW w:w="885" w:type="dxa"/>
            <w:noWrap/>
            <w:hideMark/>
          </w:tcPr>
          <w:p w14:paraId="7941874A" w14:textId="77777777" w:rsidR="004365B5" w:rsidRPr="004365B5" w:rsidRDefault="004365B5" w:rsidP="004365B5">
            <w:pPr>
              <w:jc w:val="both"/>
              <w:rPr>
                <w:rFonts w:cstheme="minorHAnsi"/>
                <w:sz w:val="24"/>
                <w:szCs w:val="24"/>
              </w:rPr>
            </w:pPr>
            <w:r w:rsidRPr="004365B5">
              <w:rPr>
                <w:rFonts w:cstheme="minorHAnsi"/>
                <w:sz w:val="24"/>
                <w:szCs w:val="24"/>
              </w:rPr>
              <w:t>0.53</w:t>
            </w:r>
          </w:p>
        </w:tc>
        <w:tc>
          <w:tcPr>
            <w:tcW w:w="872" w:type="dxa"/>
            <w:noWrap/>
            <w:hideMark/>
          </w:tcPr>
          <w:p w14:paraId="61F007B5" w14:textId="77777777" w:rsidR="004365B5" w:rsidRPr="004365B5" w:rsidRDefault="004365B5" w:rsidP="004365B5">
            <w:pPr>
              <w:jc w:val="both"/>
              <w:rPr>
                <w:rFonts w:cstheme="minorHAnsi"/>
                <w:sz w:val="24"/>
                <w:szCs w:val="24"/>
              </w:rPr>
            </w:pPr>
            <w:r w:rsidRPr="004365B5">
              <w:rPr>
                <w:rFonts w:cstheme="minorHAnsi"/>
                <w:sz w:val="24"/>
                <w:szCs w:val="24"/>
              </w:rPr>
              <w:t>3.47</w:t>
            </w:r>
          </w:p>
        </w:tc>
        <w:tc>
          <w:tcPr>
            <w:tcW w:w="1164" w:type="dxa"/>
            <w:noWrap/>
            <w:hideMark/>
          </w:tcPr>
          <w:p w14:paraId="5064A543" w14:textId="77777777" w:rsidR="004365B5" w:rsidRPr="004365B5" w:rsidRDefault="004365B5" w:rsidP="004365B5">
            <w:pPr>
              <w:jc w:val="both"/>
              <w:rPr>
                <w:rFonts w:cstheme="minorHAnsi"/>
                <w:sz w:val="24"/>
                <w:szCs w:val="24"/>
              </w:rPr>
            </w:pPr>
            <w:r w:rsidRPr="004365B5">
              <w:rPr>
                <w:rFonts w:cstheme="minorHAnsi"/>
                <w:sz w:val="24"/>
                <w:szCs w:val="24"/>
              </w:rPr>
              <w:t>0.55</w:t>
            </w:r>
          </w:p>
        </w:tc>
        <w:tc>
          <w:tcPr>
            <w:tcW w:w="981" w:type="dxa"/>
            <w:noWrap/>
            <w:hideMark/>
          </w:tcPr>
          <w:p w14:paraId="4024D481" w14:textId="77777777" w:rsidR="004365B5" w:rsidRPr="004365B5" w:rsidRDefault="004365B5" w:rsidP="004365B5">
            <w:pPr>
              <w:jc w:val="both"/>
              <w:rPr>
                <w:rFonts w:cstheme="minorHAnsi"/>
                <w:sz w:val="24"/>
                <w:szCs w:val="24"/>
              </w:rPr>
            </w:pPr>
            <w:r w:rsidRPr="004365B5">
              <w:rPr>
                <w:rFonts w:cstheme="minorHAnsi"/>
                <w:sz w:val="24"/>
                <w:szCs w:val="24"/>
              </w:rPr>
              <w:t>0.23</w:t>
            </w:r>
          </w:p>
        </w:tc>
        <w:tc>
          <w:tcPr>
            <w:tcW w:w="642" w:type="dxa"/>
            <w:noWrap/>
            <w:hideMark/>
          </w:tcPr>
          <w:p w14:paraId="5FF9388C" w14:textId="77777777" w:rsidR="004365B5" w:rsidRPr="004365B5" w:rsidRDefault="004365B5" w:rsidP="004365B5">
            <w:pPr>
              <w:jc w:val="both"/>
              <w:rPr>
                <w:rFonts w:cstheme="minorHAnsi"/>
                <w:sz w:val="24"/>
                <w:szCs w:val="24"/>
              </w:rPr>
            </w:pPr>
            <w:r w:rsidRPr="004365B5">
              <w:rPr>
                <w:rFonts w:cstheme="minorHAnsi"/>
                <w:sz w:val="24"/>
                <w:szCs w:val="24"/>
              </w:rPr>
              <w:t>1.31</w:t>
            </w:r>
          </w:p>
        </w:tc>
      </w:tr>
      <w:tr w:rsidR="004365B5" w:rsidRPr="004365B5" w14:paraId="3D7378CC" w14:textId="77777777" w:rsidTr="0091146F">
        <w:trPr>
          <w:trHeight w:val="287"/>
        </w:trPr>
        <w:tc>
          <w:tcPr>
            <w:tcW w:w="2925" w:type="dxa"/>
            <w:noWrap/>
            <w:hideMark/>
          </w:tcPr>
          <w:p w14:paraId="1CAC83AD" w14:textId="77777777" w:rsidR="004365B5" w:rsidRPr="004365B5" w:rsidRDefault="004365B5" w:rsidP="004365B5">
            <w:pPr>
              <w:rPr>
                <w:rFonts w:cstheme="minorHAnsi"/>
                <w:sz w:val="24"/>
                <w:szCs w:val="24"/>
              </w:rPr>
            </w:pPr>
            <w:r w:rsidRPr="004365B5">
              <w:rPr>
                <w:rFonts w:cstheme="minorHAnsi"/>
                <w:sz w:val="24"/>
                <w:szCs w:val="24"/>
              </w:rPr>
              <w:t>Female 60 years and above</w:t>
            </w:r>
          </w:p>
        </w:tc>
        <w:tc>
          <w:tcPr>
            <w:tcW w:w="885" w:type="dxa"/>
            <w:noWrap/>
            <w:hideMark/>
          </w:tcPr>
          <w:p w14:paraId="4F7E1813" w14:textId="77777777" w:rsidR="004365B5" w:rsidRPr="004365B5" w:rsidRDefault="004365B5" w:rsidP="004365B5">
            <w:pPr>
              <w:jc w:val="both"/>
              <w:rPr>
                <w:rFonts w:cstheme="minorHAnsi"/>
                <w:sz w:val="24"/>
                <w:szCs w:val="24"/>
              </w:rPr>
            </w:pPr>
            <w:r w:rsidRPr="004365B5">
              <w:rPr>
                <w:rFonts w:cstheme="minorHAnsi"/>
                <w:sz w:val="24"/>
                <w:szCs w:val="24"/>
              </w:rPr>
              <w:t>0.77</w:t>
            </w:r>
          </w:p>
        </w:tc>
        <w:tc>
          <w:tcPr>
            <w:tcW w:w="885" w:type="dxa"/>
            <w:noWrap/>
            <w:hideMark/>
          </w:tcPr>
          <w:p w14:paraId="336E698B" w14:textId="77777777" w:rsidR="004365B5" w:rsidRPr="004365B5" w:rsidRDefault="004365B5" w:rsidP="004365B5">
            <w:pPr>
              <w:jc w:val="both"/>
              <w:rPr>
                <w:rFonts w:cstheme="minorHAnsi"/>
                <w:sz w:val="24"/>
                <w:szCs w:val="24"/>
              </w:rPr>
            </w:pPr>
            <w:r w:rsidRPr="004365B5">
              <w:rPr>
                <w:rFonts w:cstheme="minorHAnsi"/>
                <w:sz w:val="24"/>
                <w:szCs w:val="24"/>
              </w:rPr>
              <w:t>0.23</w:t>
            </w:r>
          </w:p>
        </w:tc>
        <w:tc>
          <w:tcPr>
            <w:tcW w:w="746" w:type="dxa"/>
            <w:noWrap/>
            <w:hideMark/>
          </w:tcPr>
          <w:p w14:paraId="2DD3CEC4" w14:textId="77777777" w:rsidR="004365B5" w:rsidRPr="004365B5" w:rsidRDefault="004365B5" w:rsidP="004365B5">
            <w:pPr>
              <w:jc w:val="both"/>
              <w:rPr>
                <w:rFonts w:cstheme="minorHAnsi"/>
                <w:sz w:val="24"/>
                <w:szCs w:val="24"/>
              </w:rPr>
            </w:pPr>
            <w:r w:rsidRPr="004365B5">
              <w:rPr>
                <w:rFonts w:cstheme="minorHAnsi"/>
                <w:sz w:val="24"/>
                <w:szCs w:val="24"/>
              </w:rPr>
              <w:t>2.57</w:t>
            </w:r>
          </w:p>
        </w:tc>
        <w:tc>
          <w:tcPr>
            <w:tcW w:w="1209" w:type="dxa"/>
            <w:noWrap/>
            <w:hideMark/>
          </w:tcPr>
          <w:p w14:paraId="31B003CE" w14:textId="77777777" w:rsidR="004365B5" w:rsidRPr="004365B5" w:rsidRDefault="004365B5" w:rsidP="004365B5">
            <w:pPr>
              <w:jc w:val="both"/>
              <w:rPr>
                <w:rFonts w:cstheme="minorHAnsi"/>
                <w:sz w:val="24"/>
                <w:szCs w:val="24"/>
              </w:rPr>
            </w:pPr>
            <w:r w:rsidRPr="004365B5">
              <w:rPr>
                <w:rFonts w:cstheme="minorHAnsi"/>
                <w:sz w:val="24"/>
                <w:szCs w:val="24"/>
              </w:rPr>
              <w:t>1.05</w:t>
            </w:r>
          </w:p>
        </w:tc>
        <w:tc>
          <w:tcPr>
            <w:tcW w:w="885" w:type="dxa"/>
            <w:noWrap/>
            <w:hideMark/>
          </w:tcPr>
          <w:p w14:paraId="488EBE11" w14:textId="77777777" w:rsidR="004365B5" w:rsidRPr="004365B5" w:rsidRDefault="004365B5" w:rsidP="004365B5">
            <w:pPr>
              <w:jc w:val="both"/>
              <w:rPr>
                <w:rFonts w:cstheme="minorHAnsi"/>
                <w:sz w:val="24"/>
                <w:szCs w:val="24"/>
              </w:rPr>
            </w:pPr>
            <w:r w:rsidRPr="004365B5">
              <w:rPr>
                <w:rFonts w:cstheme="minorHAnsi"/>
                <w:sz w:val="24"/>
                <w:szCs w:val="24"/>
              </w:rPr>
              <w:t>0.34</w:t>
            </w:r>
          </w:p>
        </w:tc>
        <w:tc>
          <w:tcPr>
            <w:tcW w:w="696" w:type="dxa"/>
            <w:noWrap/>
            <w:hideMark/>
          </w:tcPr>
          <w:p w14:paraId="271E6FEA" w14:textId="77777777" w:rsidR="004365B5" w:rsidRPr="004365B5" w:rsidRDefault="004365B5" w:rsidP="004365B5">
            <w:pPr>
              <w:jc w:val="both"/>
              <w:rPr>
                <w:rFonts w:cstheme="minorHAnsi"/>
                <w:sz w:val="24"/>
                <w:szCs w:val="24"/>
              </w:rPr>
            </w:pPr>
            <w:r w:rsidRPr="004365B5">
              <w:rPr>
                <w:rFonts w:cstheme="minorHAnsi"/>
                <w:sz w:val="24"/>
                <w:szCs w:val="24"/>
              </w:rPr>
              <w:t>4.14</w:t>
            </w:r>
          </w:p>
        </w:tc>
        <w:tc>
          <w:tcPr>
            <w:tcW w:w="1076" w:type="dxa"/>
            <w:noWrap/>
            <w:hideMark/>
          </w:tcPr>
          <w:p w14:paraId="55B82066" w14:textId="77777777" w:rsidR="004365B5" w:rsidRPr="004365B5" w:rsidRDefault="004365B5" w:rsidP="004365B5">
            <w:pPr>
              <w:jc w:val="both"/>
              <w:rPr>
                <w:rFonts w:cstheme="minorHAnsi"/>
                <w:sz w:val="24"/>
                <w:szCs w:val="24"/>
              </w:rPr>
            </w:pPr>
            <w:r w:rsidRPr="004365B5">
              <w:rPr>
                <w:rFonts w:cstheme="minorHAnsi"/>
                <w:sz w:val="24"/>
                <w:szCs w:val="24"/>
              </w:rPr>
              <w:t>0.90</w:t>
            </w:r>
          </w:p>
        </w:tc>
        <w:tc>
          <w:tcPr>
            <w:tcW w:w="885" w:type="dxa"/>
            <w:noWrap/>
            <w:hideMark/>
          </w:tcPr>
          <w:p w14:paraId="13BFD255" w14:textId="77777777" w:rsidR="004365B5" w:rsidRPr="004365B5" w:rsidRDefault="004365B5" w:rsidP="004365B5">
            <w:pPr>
              <w:jc w:val="both"/>
              <w:rPr>
                <w:rFonts w:cstheme="minorHAnsi"/>
                <w:sz w:val="24"/>
                <w:szCs w:val="24"/>
              </w:rPr>
            </w:pPr>
            <w:r w:rsidRPr="004365B5">
              <w:rPr>
                <w:rFonts w:cstheme="minorHAnsi"/>
                <w:sz w:val="24"/>
                <w:szCs w:val="24"/>
              </w:rPr>
              <w:t>0.26</w:t>
            </w:r>
          </w:p>
        </w:tc>
        <w:tc>
          <w:tcPr>
            <w:tcW w:w="649" w:type="dxa"/>
            <w:noWrap/>
            <w:hideMark/>
          </w:tcPr>
          <w:p w14:paraId="40F4C239" w14:textId="77777777" w:rsidR="004365B5" w:rsidRPr="004365B5" w:rsidRDefault="004365B5" w:rsidP="004365B5">
            <w:pPr>
              <w:jc w:val="both"/>
              <w:rPr>
                <w:rFonts w:cstheme="minorHAnsi"/>
                <w:sz w:val="24"/>
                <w:szCs w:val="24"/>
              </w:rPr>
            </w:pPr>
            <w:r w:rsidRPr="004365B5">
              <w:rPr>
                <w:rFonts w:cstheme="minorHAnsi"/>
                <w:sz w:val="24"/>
                <w:szCs w:val="24"/>
              </w:rPr>
              <w:t>3.09</w:t>
            </w:r>
          </w:p>
        </w:tc>
        <w:tc>
          <w:tcPr>
            <w:tcW w:w="1123" w:type="dxa"/>
            <w:noWrap/>
            <w:hideMark/>
          </w:tcPr>
          <w:p w14:paraId="08CBD928" w14:textId="77777777" w:rsidR="004365B5" w:rsidRPr="004365B5" w:rsidRDefault="004365B5" w:rsidP="004365B5">
            <w:pPr>
              <w:jc w:val="both"/>
              <w:rPr>
                <w:rFonts w:cstheme="minorHAnsi"/>
                <w:sz w:val="24"/>
                <w:szCs w:val="24"/>
              </w:rPr>
            </w:pPr>
            <w:r w:rsidRPr="004365B5">
              <w:rPr>
                <w:rFonts w:cstheme="minorHAnsi"/>
                <w:sz w:val="24"/>
                <w:szCs w:val="24"/>
              </w:rPr>
              <w:t>3.43</w:t>
            </w:r>
          </w:p>
        </w:tc>
        <w:tc>
          <w:tcPr>
            <w:tcW w:w="885" w:type="dxa"/>
            <w:noWrap/>
            <w:hideMark/>
          </w:tcPr>
          <w:p w14:paraId="0F567BD9" w14:textId="77777777" w:rsidR="004365B5" w:rsidRPr="004365B5" w:rsidRDefault="004365B5" w:rsidP="004365B5">
            <w:pPr>
              <w:jc w:val="both"/>
              <w:rPr>
                <w:rFonts w:cstheme="minorHAnsi"/>
                <w:sz w:val="24"/>
                <w:szCs w:val="24"/>
              </w:rPr>
            </w:pPr>
            <w:r w:rsidRPr="004365B5">
              <w:rPr>
                <w:rFonts w:cstheme="minorHAnsi"/>
                <w:sz w:val="24"/>
                <w:szCs w:val="24"/>
              </w:rPr>
              <w:t>0.91</w:t>
            </w:r>
          </w:p>
        </w:tc>
        <w:tc>
          <w:tcPr>
            <w:tcW w:w="872" w:type="dxa"/>
            <w:noWrap/>
            <w:hideMark/>
          </w:tcPr>
          <w:p w14:paraId="03D9DCAC" w14:textId="77777777" w:rsidR="004365B5" w:rsidRPr="004365B5" w:rsidRDefault="004365B5" w:rsidP="004365B5">
            <w:pPr>
              <w:jc w:val="both"/>
              <w:rPr>
                <w:rFonts w:cstheme="minorHAnsi"/>
                <w:sz w:val="24"/>
                <w:szCs w:val="24"/>
              </w:rPr>
            </w:pPr>
            <w:r w:rsidRPr="004365B5">
              <w:rPr>
                <w:rFonts w:cstheme="minorHAnsi"/>
                <w:sz w:val="24"/>
                <w:szCs w:val="24"/>
              </w:rPr>
              <w:t>12.80</w:t>
            </w:r>
          </w:p>
        </w:tc>
        <w:tc>
          <w:tcPr>
            <w:tcW w:w="1164" w:type="dxa"/>
            <w:noWrap/>
            <w:hideMark/>
          </w:tcPr>
          <w:p w14:paraId="57F365BC" w14:textId="77777777" w:rsidR="004365B5" w:rsidRPr="004365B5" w:rsidRDefault="004365B5" w:rsidP="004365B5">
            <w:pPr>
              <w:jc w:val="both"/>
              <w:rPr>
                <w:rFonts w:cstheme="minorHAnsi"/>
                <w:sz w:val="24"/>
                <w:szCs w:val="24"/>
              </w:rPr>
            </w:pPr>
            <w:r w:rsidRPr="004365B5">
              <w:rPr>
                <w:rFonts w:cstheme="minorHAnsi"/>
                <w:sz w:val="24"/>
                <w:szCs w:val="24"/>
              </w:rPr>
              <w:t>0.77</w:t>
            </w:r>
          </w:p>
        </w:tc>
        <w:tc>
          <w:tcPr>
            <w:tcW w:w="981" w:type="dxa"/>
            <w:noWrap/>
            <w:hideMark/>
          </w:tcPr>
          <w:p w14:paraId="2F92C06E" w14:textId="77777777" w:rsidR="004365B5" w:rsidRPr="004365B5" w:rsidRDefault="004365B5" w:rsidP="004365B5">
            <w:pPr>
              <w:jc w:val="both"/>
              <w:rPr>
                <w:rFonts w:cstheme="minorHAnsi"/>
                <w:sz w:val="24"/>
                <w:szCs w:val="24"/>
              </w:rPr>
            </w:pPr>
            <w:r w:rsidRPr="004365B5">
              <w:rPr>
                <w:rFonts w:cstheme="minorHAnsi"/>
                <w:sz w:val="24"/>
                <w:szCs w:val="24"/>
              </w:rPr>
              <w:t>0.23</w:t>
            </w:r>
          </w:p>
        </w:tc>
        <w:tc>
          <w:tcPr>
            <w:tcW w:w="642" w:type="dxa"/>
            <w:noWrap/>
            <w:hideMark/>
          </w:tcPr>
          <w:p w14:paraId="2BECFB5A" w14:textId="77777777" w:rsidR="004365B5" w:rsidRPr="004365B5" w:rsidRDefault="004365B5" w:rsidP="004365B5">
            <w:pPr>
              <w:jc w:val="both"/>
              <w:rPr>
                <w:rFonts w:cstheme="minorHAnsi"/>
                <w:sz w:val="24"/>
                <w:szCs w:val="24"/>
              </w:rPr>
            </w:pPr>
            <w:r w:rsidRPr="004365B5">
              <w:rPr>
                <w:rFonts w:cstheme="minorHAnsi"/>
                <w:sz w:val="24"/>
                <w:szCs w:val="24"/>
              </w:rPr>
              <w:t>2.53</w:t>
            </w:r>
          </w:p>
        </w:tc>
      </w:tr>
    </w:tbl>
    <w:p w14:paraId="1C9E6C30" w14:textId="77777777" w:rsidR="0091146F" w:rsidRDefault="0091146F" w:rsidP="0091146F">
      <w:pPr>
        <w:spacing w:after="0"/>
        <w:jc w:val="both"/>
        <w:rPr>
          <w:rFonts w:cstheme="minorHAnsi"/>
          <w:i/>
          <w:iCs/>
          <w:sz w:val="20"/>
          <w:szCs w:val="20"/>
        </w:rPr>
      </w:pPr>
      <w:r w:rsidRPr="00B743DD">
        <w:rPr>
          <w:rFonts w:cstheme="minorHAnsi"/>
          <w:i/>
          <w:iCs/>
          <w:sz w:val="20"/>
          <w:szCs w:val="20"/>
        </w:rPr>
        <w:t xml:space="preserve">Adjusted for age, gender, mechanism of injury, mode of transport, transfer status, heart rate, oxygen saturation, systolic blood pressure, respiratory rate, </w:t>
      </w:r>
      <w:r>
        <w:rPr>
          <w:rFonts w:cstheme="minorHAnsi"/>
          <w:i/>
          <w:iCs/>
          <w:sz w:val="20"/>
          <w:szCs w:val="20"/>
        </w:rPr>
        <w:t xml:space="preserve">type of injury, </w:t>
      </w:r>
      <w:r w:rsidRPr="00B743DD">
        <w:rPr>
          <w:rFonts w:cstheme="minorHAnsi"/>
          <w:i/>
          <w:iCs/>
          <w:sz w:val="20"/>
          <w:szCs w:val="20"/>
        </w:rPr>
        <w:t>and Glasgow Coma Scale</w:t>
      </w:r>
    </w:p>
    <w:p w14:paraId="04A91E12" w14:textId="2FEF1E3A" w:rsidR="0091146F" w:rsidRPr="00DF4DD6" w:rsidRDefault="0091146F" w:rsidP="0091146F">
      <w:pPr>
        <w:spacing w:after="0"/>
        <w:jc w:val="both"/>
        <w:rPr>
          <w:rFonts w:cstheme="minorHAnsi"/>
          <w:i/>
          <w:iCs/>
          <w:sz w:val="20"/>
          <w:szCs w:val="20"/>
        </w:rPr>
      </w:pPr>
      <w:r>
        <w:rPr>
          <w:rFonts w:cstheme="minorHAnsi"/>
          <w:i/>
          <w:iCs/>
          <w:sz w:val="20"/>
          <w:szCs w:val="20"/>
        </w:rPr>
        <w:t xml:space="preserve">OR = odds ratio, CI = Confidence Interval, * statistically significant at 0.05 </w:t>
      </w:r>
    </w:p>
    <w:p w14:paraId="5A0EB917" w14:textId="77777777" w:rsidR="004365B5" w:rsidRDefault="004365B5" w:rsidP="00EC4D15">
      <w:pPr>
        <w:spacing w:after="0"/>
        <w:jc w:val="both"/>
        <w:rPr>
          <w:rFonts w:cstheme="minorHAnsi"/>
          <w:sz w:val="24"/>
          <w:szCs w:val="24"/>
        </w:rPr>
      </w:pPr>
    </w:p>
    <w:p w14:paraId="3AC00C48" w14:textId="2317FDC3" w:rsidR="00D158F7" w:rsidRDefault="00D158F7" w:rsidP="00845A8C">
      <w:pPr>
        <w:spacing w:after="0"/>
        <w:jc w:val="both"/>
        <w:rPr>
          <w:rFonts w:cstheme="minorHAnsi"/>
          <w:sz w:val="24"/>
          <w:szCs w:val="24"/>
        </w:rPr>
      </w:pPr>
    </w:p>
    <w:p w14:paraId="230308DA" w14:textId="77777777" w:rsidR="00C826BC" w:rsidRPr="00C826BC" w:rsidRDefault="00C826BC" w:rsidP="00C826BC">
      <w:pPr>
        <w:spacing w:after="0"/>
        <w:jc w:val="both"/>
        <w:rPr>
          <w:rFonts w:cstheme="minorHAnsi"/>
          <w:b/>
          <w:bCs/>
          <w:sz w:val="24"/>
          <w:szCs w:val="24"/>
        </w:rPr>
      </w:pPr>
      <w:r w:rsidRPr="00C826BC">
        <w:rPr>
          <w:rFonts w:cstheme="minorHAnsi"/>
          <w:b/>
          <w:bCs/>
          <w:sz w:val="24"/>
          <w:szCs w:val="24"/>
        </w:rPr>
        <w:t>Discussion</w:t>
      </w:r>
    </w:p>
    <w:p w14:paraId="0F6C4FE2" w14:textId="77777777" w:rsidR="00E174F4" w:rsidRPr="00E174F4" w:rsidRDefault="00E174F4" w:rsidP="00E174F4">
      <w:pPr>
        <w:spacing w:after="0"/>
        <w:jc w:val="both"/>
        <w:rPr>
          <w:rFonts w:cstheme="minorHAnsi"/>
          <w:sz w:val="24"/>
          <w:szCs w:val="24"/>
        </w:rPr>
      </w:pPr>
      <w:r w:rsidRPr="00E174F4">
        <w:rPr>
          <w:rFonts w:cstheme="minorHAnsi"/>
          <w:sz w:val="24"/>
          <w:szCs w:val="24"/>
        </w:rPr>
        <w:t>This study examined the interaction of age and gender on QOL in trauma patients discharged from four tertiary-care hospital in urban India at 3-months after discharge. We did not find statistically significant differences across all age groups and gender as well as no interaction effect between age and gender in this population. The sub-group analysis showed differences in QOL between males and females across young (18-32 years), middle-aged (33-59), and older (60 years and above) groups. In each of the five EQ5D domains, odds of reporting problems varied between the groups. We found middle-aged males report lower overall QOL scores while middle aged females had the highest odds of reporting problems across almost all the QOL domains.</w:t>
      </w:r>
    </w:p>
    <w:p w14:paraId="494145ED" w14:textId="77777777" w:rsidR="00E174F4" w:rsidRPr="00E174F4" w:rsidRDefault="00E174F4" w:rsidP="00E174F4">
      <w:pPr>
        <w:spacing w:after="0"/>
        <w:jc w:val="both"/>
        <w:rPr>
          <w:rFonts w:cstheme="minorHAnsi"/>
          <w:sz w:val="24"/>
          <w:szCs w:val="24"/>
        </w:rPr>
      </w:pPr>
    </w:p>
    <w:p w14:paraId="5DDB823E" w14:textId="232F7460" w:rsidR="00E174F4" w:rsidRDefault="00E174F4" w:rsidP="00E174F4">
      <w:pPr>
        <w:spacing w:after="0"/>
        <w:jc w:val="both"/>
        <w:rPr>
          <w:rFonts w:cstheme="minorHAnsi"/>
          <w:sz w:val="24"/>
          <w:szCs w:val="24"/>
        </w:rPr>
        <w:sectPr w:rsidR="00E174F4" w:rsidSect="004365B5">
          <w:pgSz w:w="16838" w:h="11906" w:orient="landscape"/>
          <w:pgMar w:top="1440" w:right="1440" w:bottom="1440" w:left="1440" w:header="720" w:footer="720" w:gutter="0"/>
          <w:cols w:space="720"/>
          <w:docGrid w:linePitch="360"/>
        </w:sectPr>
      </w:pPr>
      <w:r w:rsidRPr="00E174F4">
        <w:rPr>
          <w:rFonts w:cstheme="minorHAnsi"/>
          <w:sz w:val="24"/>
          <w:szCs w:val="24"/>
        </w:rPr>
        <w:t xml:space="preserve">The mean EQ5D index score of 81.7 of trauma patients in this study is lower than the general population norm for South Asia of 86 </w:t>
      </w:r>
      <w:r>
        <w:rPr>
          <w:rFonts w:cstheme="minorHAnsi"/>
          <w:sz w:val="24"/>
          <w:szCs w:val="24"/>
        </w:rPr>
        <w:fldChar w:fldCharType="begin" w:fldLock="1"/>
      </w:r>
      <w:r w:rsidR="00373FFE">
        <w:rPr>
          <w:rFonts w:cstheme="minorHAnsi"/>
          <w:sz w:val="24"/>
          <w:szCs w:val="24"/>
        </w:rPr>
        <w:instrText>ADDIN CSL_CITATION {"citationItems":[{"id":"ITEM-1","itemData":{"DOI":"10.1371/journal.pone.0108434","ISSN":"19326203","PMID":"25365171","abstract":"Background: Health Related Quality of Life (HRQoL) is an important outcome measure in health economic evaluation that guides health resource allocations. Population norms for HRQoL are an essential ingredient in health economics and in the evaluation of population health. The aim of this study was to produce EQ-5D-3L-derived population norms for Sri Lanka.\nMethod: A population sample (n = 780) was selected from four districts of Sri Lanka. A stratified cluster sampling approach with probability proportionate to size was employed. Twenty six clusters of 30 participants each were selected; each participant completed the EQ-5D-3L in a face-to-face interview. Utility weights for their EQ-5D-3L health states were assigned using the Sri Lankan EQ-5D-3L algorithm. The population norms are reported by age and socio-economic variables.\nResults: The EQ-5D-3L was completed by 736 people, representing a 94% response rate. Sixty per cent of the sample reported being in full health. The percentage of people responding to any problems in the five EQ-5D-3L dimensions increased with age. The mean EQ-5D-3L weight was 0.85 (SD 0.008; 95%CI 0.84-0.87). The mean EQ-5D-3L weight was significantly associated with age, housing type, disease experience and religiosity. People above 70 years of age were 7.5 times more likely to report mobility problems and 3.7 times more likely to report pain/discomfort than those aged 18-29 years. Those with a tertiary education were five times less likely to report any HRQoL problems than those without a tertiary education. A person living in a shanty was 4.3 more likely to have problems in usual activities than a person living in a single house.\nConclusion: The population norms in Sri Lanka vary with socio-demographic characteristics. The socioeconomically disadvantaged have a lower HRQoL. The trends of population norms observed in this lower middle income country were generally similar to those previously reported in high income countries.","author":[{"dropping-particle":"","family":"Kularatna","given":"Sanjeewa","non-dropping-particle":"","parse-names":false,"suffix":""},{"dropping-particle":"","family":"Whitty","given":"Jennifer A.","non-dropping-particle":"","parse-names":false,"suffix":""},{"dropping-particle":"","family":"Johnson","given":"Newell W.","non-dropping-particle":"","parse-names":false,"suffix":""},{"dropping-particle":"","family":"Jayasinghe","given":"Ruwan","non-dropping-particle":"","parse-names":false,"suffix":""},{"dropping-particle":"","family":"Scuffham","given":"Paul A.","non-dropping-particle":"","parse-names":false,"suffix":""}],"container-title":"PLoS ONE","id":"ITEM-1","issue":"11","issued":{"date-parts":[["2014"]]},"page":"1-12","title":"EQ-5D-3L derived population norms for health related quality of life in Sri Lanka","type":"article-journal","volume":"9"},"uris":["http://www.mendeley.com/documents/?uuid=1d093791-454c-4384-9017-5c159eb65731"]}],"mendeley":{"formattedCitation":"(38)","plainTextFormattedCitation":"(38)","previouslyFormattedCitation":"(39)"},"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(38)</w:t>
      </w:r>
      <w:r>
        <w:rPr>
          <w:rFonts w:cstheme="minorHAnsi"/>
          <w:sz w:val="24"/>
          <w:szCs w:val="24"/>
        </w:rPr>
        <w:fldChar w:fldCharType="end"/>
      </w:r>
      <w:r>
        <w:rPr>
          <w:rFonts w:cstheme="minorHAnsi"/>
          <w:sz w:val="24"/>
          <w:szCs w:val="24"/>
        </w:rPr>
        <w:t>.</w:t>
      </w:r>
      <w:r w:rsidRPr="00E174F4">
        <w:rPr>
          <w:rFonts w:cstheme="minorHAnsi"/>
          <w:sz w:val="24"/>
          <w:szCs w:val="24"/>
        </w:rPr>
        <w:t xml:space="preserve"> A recent study of a similar cohort of trauma patients from north India, reported index scores of around 90 at 3-months post-injury, higher than our findings</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(39)","plainTextFormattedCitation":"(39)","previouslyFormattedCitation":"(40)"},"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(39)</w:t>
      </w:r>
      <w:r>
        <w:rPr>
          <w:rFonts w:cstheme="minorHAnsi"/>
          <w:sz w:val="24"/>
          <w:szCs w:val="24"/>
        </w:rPr>
        <w:fldChar w:fldCharType="end"/>
      </w:r>
      <w:r w:rsidRPr="00E174F4">
        <w:rPr>
          <w:rFonts w:cstheme="minorHAnsi"/>
          <w:sz w:val="24"/>
          <w:szCs w:val="24"/>
        </w:rPr>
        <w:t xml:space="preserve">. This could be because two of the three study sites of that study were secondary-care hospitals, which treat less severe trauma patients. The score is however, higher than other studies from Sweden and Australia which report scores between 48 to 66 for trauma patients </w:t>
      </w:r>
    </w:p>
    <w:p w14:paraId="6824711C" w14:textId="29F3E235" w:rsidR="00E174F4" w:rsidRPr="00E174F4" w:rsidRDefault="00E174F4" w:rsidP="00E174F4">
      <w:pPr>
        <w:spacing w:after="0"/>
        <w:jc w:val="both"/>
        <w:rPr>
          <w:rFonts w:cstheme="minorHAnsi"/>
          <w:sz w:val="24"/>
          <w:szCs w:val="24"/>
        </w:rPr>
      </w:pPr>
      <w:r w:rsidRPr="00E174F4">
        <w:rPr>
          <w:rFonts w:cstheme="minorHAnsi"/>
          <w:sz w:val="24"/>
          <w:szCs w:val="24"/>
        </w:rPr>
        <w:lastRenderedPageBreak/>
        <w:t>at 3-months</w:t>
      </w:r>
      <w:r>
        <w:rPr>
          <w:rFonts w:cstheme="minorHAnsi"/>
          <w:sz w:val="24"/>
          <w:szCs w:val="24"/>
        </w:rPr>
        <w:t xml:space="preserve"> </w:t>
      </w:r>
      <w:bookmarkStart w:id="1" w:name="_Hlk83811325"/>
      <w:r>
        <w:rPr>
          <w:rFonts w:cstheme="minorHAnsi"/>
          <w:sz w:val="24"/>
          <w:szCs w:val="24"/>
        </w:rPr>
        <w:fldChar w:fldCharType="begin" w:fldLock="1"/>
      </w:r>
      <w:r w:rsidR="00373FFE">
        <w:rPr>
          <w:rFonts w:cstheme="minorHAnsi"/>
          <w:sz w:val="24"/>
          <w:szCs w:val="24"/>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(40,41)","plainTextFormattedCitation":"(40,41)","previouslyFormattedCitation":"(41,42)"},"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(40,41)</w:t>
      </w:r>
      <w:r>
        <w:rPr>
          <w:rFonts w:cstheme="minorHAnsi"/>
          <w:sz w:val="24"/>
          <w:szCs w:val="24"/>
        </w:rPr>
        <w:fldChar w:fldCharType="end"/>
      </w:r>
      <w:r>
        <w:rPr>
          <w:rFonts w:cstheme="minorHAnsi"/>
          <w:sz w:val="24"/>
          <w:szCs w:val="24"/>
        </w:rPr>
        <w:t xml:space="preserve">. </w:t>
      </w:r>
      <w:bookmarkEnd w:id="1"/>
      <w:r w:rsidRPr="00E174F4">
        <w:rPr>
          <w:rFonts w:cstheme="minorHAnsi"/>
          <w:sz w:val="24"/>
          <w:szCs w:val="24"/>
        </w:rPr>
        <w:t>This indicates that, even after 3-months since discharge, trauma patients still face limitations to achieve full recovery for a long-time after trauma. Pain and inability to perform usual activities were the main drivers of poor QOL in our study, with nearly two-thirds of participants reporting some form of pain at 3-months. This is consistent with other literature on similar cohorts in other settings</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(40,41)","plainTextFormattedCitation":"(40,41)","previouslyFormattedCitation":"(41,42)"},"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(40,41)</w:t>
      </w:r>
      <w:r>
        <w:rPr>
          <w:rFonts w:cstheme="minorHAnsi"/>
          <w:sz w:val="24"/>
          <w:szCs w:val="24"/>
        </w:rPr>
        <w:fldChar w:fldCharType="end"/>
      </w:r>
      <w:r>
        <w:rPr>
          <w:rFonts w:cstheme="minorHAnsi"/>
          <w:sz w:val="24"/>
          <w:szCs w:val="24"/>
        </w:rPr>
        <w:t xml:space="preserve">. </w:t>
      </w:r>
      <w:r w:rsidRPr="00E174F4">
        <w:rPr>
          <w:rFonts w:cstheme="minorHAnsi"/>
          <w:sz w:val="24"/>
          <w:szCs w:val="24"/>
        </w:rPr>
        <w:t xml:space="preserve"> </w:t>
      </w:r>
    </w:p>
    <w:p w14:paraId="59141B1C" w14:textId="77777777" w:rsidR="00E174F4" w:rsidRPr="00E174F4" w:rsidRDefault="00E174F4" w:rsidP="00E174F4">
      <w:pPr>
        <w:spacing w:after="0"/>
        <w:jc w:val="both"/>
        <w:rPr>
          <w:rFonts w:cstheme="minorHAnsi"/>
          <w:sz w:val="24"/>
          <w:szCs w:val="24"/>
        </w:rPr>
      </w:pPr>
    </w:p>
    <w:p w14:paraId="7360D623" w14:textId="764FE98E" w:rsidR="00E174F4" w:rsidRPr="00E174F4" w:rsidRDefault="00E174F4" w:rsidP="00E174F4">
      <w:pPr>
        <w:spacing w:after="0"/>
        <w:jc w:val="both"/>
        <w:rPr>
          <w:rFonts w:cstheme="minorHAnsi"/>
          <w:sz w:val="24"/>
          <w:szCs w:val="24"/>
        </w:rPr>
      </w:pPr>
      <w:r w:rsidRPr="00E174F4">
        <w:rPr>
          <w:rFonts w:cstheme="minorHAnsi"/>
          <w:sz w:val="24"/>
          <w:szCs w:val="24"/>
        </w:rPr>
        <w:t>In this study females reported slightly better overall QOL than males, which is consistent with the study from North India</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(39)","plainTextFormattedCitation":"(39)","previouslyFormattedCitation":"(40)"},"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(39)</w:t>
      </w:r>
      <w:r>
        <w:rPr>
          <w:rFonts w:cstheme="minorHAnsi"/>
          <w:sz w:val="24"/>
          <w:szCs w:val="24"/>
        </w:rPr>
        <w:fldChar w:fldCharType="end"/>
      </w:r>
      <w:r>
        <w:rPr>
          <w:rFonts w:cstheme="minorHAnsi"/>
          <w:sz w:val="24"/>
          <w:szCs w:val="24"/>
        </w:rPr>
        <w:t xml:space="preserve">. </w:t>
      </w:r>
      <w:r w:rsidRPr="00E174F4">
        <w:rPr>
          <w:rFonts w:cstheme="minorHAnsi"/>
          <w:sz w:val="24"/>
          <w:szCs w:val="24"/>
        </w:rPr>
        <w:t>Evidence on this remains mixed with some studies reporting lower scores for females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Research","id":"ITEM-1","issued":{"date-parts":[["2020"]]},"language":"English","note":"Using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mendeley":{"formattedCitation":"(22)","plainTextFormattedCitation":"(22)","previouslyFormattedCitation":"(22)"},"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(22)</w:t>
      </w:r>
      <w:r>
        <w:rPr>
          <w:rFonts w:cstheme="minorHAnsi"/>
          <w:sz w:val="24"/>
          <w:szCs w:val="24"/>
        </w:rPr>
        <w:fldChar w:fldCharType="end"/>
      </w:r>
      <w:r w:rsidRPr="00E174F4">
        <w:rPr>
          <w:rFonts w:cstheme="minorHAnsi"/>
          <w:sz w:val="24"/>
          <w:szCs w:val="24"/>
        </w:rPr>
        <w:t xml:space="preserve"> while other report lower scores for males </w:t>
      </w:r>
      <w:r>
        <w:rPr>
          <w:rFonts w:cstheme="minorHAnsi"/>
          <w:sz w:val="24"/>
          <w:szCs w:val="24"/>
        </w:rPr>
        <w:fldChar w:fldCharType="begin" w:fldLock="1"/>
      </w:r>
      <w:r w:rsidR="00373FFE">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(39)","plainTextFormattedCitation":"(39)","previouslyFormattedCitation":"(40)"},"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(39)</w:t>
      </w:r>
      <w:r>
        <w:rPr>
          <w:rFonts w:cstheme="minorHAnsi"/>
          <w:sz w:val="24"/>
          <w:szCs w:val="24"/>
        </w:rPr>
        <w:fldChar w:fldCharType="end"/>
      </w:r>
      <w:r>
        <w:rPr>
          <w:rFonts w:cstheme="minorHAnsi"/>
          <w:sz w:val="24"/>
          <w:szCs w:val="24"/>
        </w:rPr>
        <w:t xml:space="preserve">. </w:t>
      </w:r>
      <w:r w:rsidRPr="00E174F4">
        <w:rPr>
          <w:rFonts w:cstheme="minorHAnsi"/>
          <w:sz w:val="24"/>
          <w:szCs w:val="24"/>
        </w:rPr>
        <w:t>Studies that report females having better QOL scores than males also tend to have a smaller proportion of females in their study sample. In this study, the middle-aged cohort, had the highest odds of poor QOL outcomes. The middle-aged males had the lowest EQ-5D index scores than the other groups, followed by middle-aged females (coefficients respectively of −4.86 (95% CI −9.07; −0.65) and −2.01 (95% CI -11.41; 7.37)). Better QOL was reported after 3-months following the injury in younger age adults as well as those over 60 years. This is in contrast with findings from high-income settings where older adults perform worse</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(41,42)","plainTextFormattedCitation":"(41,42)","previouslyFormattedCitation":"(42,43)"},"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(41,42)</w:t>
      </w:r>
      <w:r>
        <w:rPr>
          <w:rFonts w:cstheme="minorHAnsi"/>
          <w:sz w:val="24"/>
          <w:szCs w:val="24"/>
        </w:rPr>
        <w:fldChar w:fldCharType="end"/>
      </w:r>
      <w:r w:rsidRPr="00E174F4">
        <w:rPr>
          <w:rFonts w:cstheme="minorHAnsi"/>
          <w:sz w:val="24"/>
          <w:szCs w:val="24"/>
        </w:rPr>
        <w:t xml:space="preserve"> but similar to the findings from India</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(39)","plainTextFormattedCitation":"(39)","previouslyFormattedCitation":"(40)"},"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(39)</w:t>
      </w:r>
      <w:r>
        <w:rPr>
          <w:rFonts w:cstheme="minorHAnsi"/>
          <w:sz w:val="24"/>
          <w:szCs w:val="24"/>
        </w:rPr>
        <w:fldChar w:fldCharType="end"/>
      </w:r>
      <w:r w:rsidRPr="00E174F4">
        <w:rPr>
          <w:rFonts w:cstheme="minorHAnsi"/>
          <w:sz w:val="24"/>
          <w:szCs w:val="24"/>
        </w:rPr>
        <w:t>. Better scores among the younger and older adults could be due to physiological factors and among the old it could be associated with the cultural context of care by informal caregivers leading to overall better health</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{"citationItems":[{"id":"ITEM-1","itemData":{"DOI":"10.1177/2516602620911835","author":[{"dropping-particle":"","family":"Ghosh","given":"Dona","non-dropping-particle":"","parse-names":false,"suffix":""}],"container-title":"The International Journal of Community and Social Development","id":"ITEM-1","issue":"1","issued":{"date-parts":[["2020"]]},"page":"71-98","title":"Determinants of the Quality of Life Among Elderly : Comparison Between China and India","type":"article-journal","volume":"2"},"uris":["http://www.mendeley.com/documents/?uuid=b887e2eb-d282-44b0-9395-a7dd6e7b3296"]}],"mendeley":{"formattedCitation":"(43)","plainTextFormattedCitation":"(43)","previouslyFormattedCitation":"(44)"},"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(43)</w:t>
      </w:r>
      <w:r>
        <w:rPr>
          <w:rFonts w:cstheme="minorHAnsi"/>
          <w:sz w:val="24"/>
          <w:szCs w:val="24"/>
        </w:rPr>
        <w:fldChar w:fldCharType="end"/>
      </w:r>
      <w:r>
        <w:rPr>
          <w:rFonts w:cstheme="minorHAnsi"/>
          <w:sz w:val="24"/>
          <w:szCs w:val="24"/>
        </w:rPr>
        <w:t>.</w:t>
      </w:r>
      <w:r w:rsidRPr="00E174F4">
        <w:rPr>
          <w:rFonts w:cstheme="minorHAnsi"/>
          <w:sz w:val="24"/>
          <w:szCs w:val="24"/>
        </w:rPr>
        <w:t xml:space="preserve"> </w:t>
      </w:r>
    </w:p>
    <w:p w14:paraId="6503FC2A" w14:textId="77777777" w:rsidR="00E174F4" w:rsidRPr="00E174F4" w:rsidRDefault="00E174F4" w:rsidP="00E174F4">
      <w:pPr>
        <w:spacing w:after="0"/>
        <w:jc w:val="both"/>
        <w:rPr>
          <w:rFonts w:cstheme="minorHAnsi"/>
          <w:sz w:val="24"/>
          <w:szCs w:val="24"/>
        </w:rPr>
      </w:pPr>
    </w:p>
    <w:p w14:paraId="64EDD669" w14:textId="35FFEF0A" w:rsidR="00E174F4" w:rsidRPr="00E174F4" w:rsidRDefault="00E174F4" w:rsidP="00E174F4">
      <w:pPr>
        <w:spacing w:after="0"/>
        <w:jc w:val="both"/>
        <w:rPr>
          <w:rFonts w:cstheme="minorHAnsi"/>
          <w:sz w:val="24"/>
          <w:szCs w:val="24"/>
        </w:rPr>
      </w:pPr>
      <w:r w:rsidRPr="00E174F4">
        <w:rPr>
          <w:rFonts w:cstheme="minorHAnsi"/>
          <w:sz w:val="24"/>
          <w:szCs w:val="24"/>
        </w:rPr>
        <w:t>In this study more females reported pain and barriers to self-care than their male counterparts across all age groups. On the other hand</w:t>
      </w:r>
      <w:r>
        <w:rPr>
          <w:rFonts w:cstheme="minorHAnsi"/>
          <w:sz w:val="24"/>
          <w:szCs w:val="24"/>
        </w:rPr>
        <w:t>,</w:t>
      </w:r>
      <w:r w:rsidRPr="00E174F4">
        <w:rPr>
          <w:rFonts w:cstheme="minorHAnsi"/>
          <w:sz w:val="24"/>
          <w:szCs w:val="24"/>
        </w:rPr>
        <w:t xml:space="preserve"> problems with mobility and usual activities increased with age. These findings are in line with other studies from high-income settings showing that females report more problems in the pain, and usual activities domain than males</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(42)","plainTextFormattedCitation":"(42)","previouslyFormattedCitation":"(43)"},"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(42)</w:t>
      </w:r>
      <w:r>
        <w:rPr>
          <w:rFonts w:cstheme="minorHAnsi"/>
          <w:sz w:val="24"/>
          <w:szCs w:val="24"/>
        </w:rPr>
        <w:fldChar w:fldCharType="end"/>
      </w:r>
      <w:r w:rsidRPr="00E174F4">
        <w:rPr>
          <w:rFonts w:cstheme="minorHAnsi"/>
          <w:sz w:val="24"/>
          <w:szCs w:val="24"/>
        </w:rPr>
        <w:t>. Anxiety and depression also increased with age but after categorizing by gender it was seen that young females reported higher odds than males while older males reported higher odds than females. There is evidence of younger age and female gender being predictive of anxiety and depression after injury in high income settings</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(42)","plainTextFormattedCitation":"(42)","previouslyFormattedCitation":"(43)"},"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(42)</w:t>
      </w:r>
      <w:r>
        <w:rPr>
          <w:rFonts w:cstheme="minorHAnsi"/>
          <w:sz w:val="24"/>
          <w:szCs w:val="24"/>
        </w:rPr>
        <w:fldChar w:fldCharType="end"/>
      </w:r>
      <w:r w:rsidRPr="00E174F4">
        <w:rPr>
          <w:rFonts w:cstheme="minorHAnsi"/>
          <w:sz w:val="24"/>
          <w:szCs w:val="24"/>
        </w:rPr>
        <w:t>. Women having higher prevalence of anxiety and depression has also been observed in the general population in India</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{"citationItems":[{"id":"ITEM-1","itemData":{"DOI":"10.1016/S2215-0366(19)30475-4","ISSN":"22150374","PMID":"31879245","abstract":"Background: Mental disorders are among the leading causes of non-fatal disease burden in India, but a systematic understanding of their prevalence, disease burden, and risk factors is not readily available for each state of India. In this report, we describe the prevalence and disease burden of each mental disorder for the states of India, from 1990 to 2017. Methods: We used all accessible data from multiple sources to estimate the prevalence of mental disorders, years lived with disability (YLDs), and disability-adjusted life-years (DALYs) caused by these disorders for all the states of India from 1990 to 2017, as part of the Global Burden of Diseases, Injuries, and Risk Factors Study. We assessed the heterogeneity and time trends of mental disorders across the states of India. We grouped states on the basis of their Socio-demographic Index (SDI), which is a composite measure of per-capita income, mean education, and fertility rate in women younger than 25 years. We also assessed the association of major mental disorders with suicide deaths. We calculated 95% uncertainty intervals (UIs) for the point estimates. Findings: In 2017, 197·3 million (95% UI 178·4–216·4) people had mental disorders in India, including 45·7 million (42·4–49·8) with depressive disorders and 44·9 million (41·2–48·9) with anxiety disorders. We found a significant, but modest, correlation between the prevalence of depressive disorders and suicide death rate at the state level for females (r2=0·33, p=0·0009) and males (r2=0·19, p=0·015). The contribution of mental disorders to the total DALYs in India increased from 2·5% (2·0–3·1) in 1990 to 4·7% (3·7–5·6) in 2017. In 2017, depressive disorders contributed the most to the total mental disorders DALYs (33·8%, 29·5–38·5), followed by anxiety disorders (19·0%, 15·9–22·4), idiopathic developmental intellectual disability (IDID; 10·8%, 6·3–15·9), schizophrenia (9·8%, 7·7–12·4), bipolar disorder (6·9%, 4·9–9·6), conduct disorder (5·9%, 4·0–8·1), autism spectrum disorders (3·2%, 2·7–3·8), eating disorders (2·2%, 1·7–2·8), and attention-deficit hyperactivity disorder (ADHD; 0·3%, 0·2–0·5); other mental disorders comprised 8·0% (6·1–10·1) of DALYs. Almost all (&gt;99·9%) of these DALYs were made up of YLDs. The DALY rate point estimates of mental disorders with onset predominantly in childhood and adolescence (IDID, conduct disorder, autism spectrum disorders, and ADHD) were higher in low SDI states than in middle SDI and high SDI states in 20…","author":[{"dropping-particle":"","family":"Sagar","given":"Rajesh","non-dropping-particle":"","parse-names":false,"suffix":""},{"dropping-particle":"","family":"Dandona","given":"Rakhi","non-dropping-particle":"","parse-names":false,"suffix":""},{"dropping-particle":"","family":"Gururaj","given":"Gopalkrishna","non-dropping-particle":"","parse-names":false,"suffix":""},{"dropping-particle":"","family":"Dhaliwal","given":"R. S.","non-dropping-particle":"","parse-names":false,"suffix":""},{"dropping-particle":"","family":"Singh","given":"Aditya","non-dropping-particle":"","parse-names":false,"suffix":""},{"dropping-particle":"","family":"Ferrari","given":"Alize","non-dropping-particle":"","parse-names":false,"suffix":""},{"dropping-particle":"","family":"Dua","given":"Tarun","non-dropping-particle":"","parse-names":false,"suffix":""},{"dropping-particle":"","family":"Ganguli","given":"Atreyi","non-dropping-particle":"","parse-names":false,"suffix":""},{"dropping-particle":"","family":"Varghese","given":"Mathew","non-dropping-particle":"","parse-names":false,"suffix":""},{"dropping-particle":"","family":"Chakma","given":"Joy K.","non-dropping-particle":"","parse-names":false,"suffix":""},{"dropping-particle":"","family":"Kumar","given":"G. Anil","non-dropping-particle":"","parse-names":false,"suffix":""},{"dropping-particle":"","family":"Shaji","given":"K. S.","non-dropping-particle":"","parse-names":false,"suffix":""},{"dropping-particle":"","family":"Ambekar","given":"Atul","non-dropping-particle":"","parse-names":false,"suffix":""},{"dropping-particle":"","family":"Rangaswamy","given":"Thara","non-dropping-particle":"","parse-names":false,"suffix":""},{"dropping-particle":"","family":"Vijayakumar","given":"Lakshmi","non-dropping-particle":"","parse-names":false,"suffix":""},{"dropping-particle":"","family":"Agarwal","given":"Vivek","non-dropping-particle":"","parse-names":false,"suffix":""},{"dropping-particle":"","family":"Krishnankutty","given":"Rinu P.","non-dropping-particle":"","parse-names":false,"suffix":""},{"dropping-particle":"","family":"Bhatia","given":"Rohit","non-dropping-particle":"","parse-names":false,"suffix":""},{"dropping-particle":"","family":"Charlson","given":"Fiona","non-dropping-particle":"","parse-names":false,"suffix":""},{"dropping-particle":"","family":"Chowdhary","given":"Neerja","non-dropping-particle":"","parse-names":false,"suffix":""},{"dropping-particle":"","family":"Erskine","given":"Holly E.","non-dropping-particle":"","parse-names":false,"suffix":""},{"dropping-particle":"","family":"Glenn","given":"Scott D.","non-dropping-particle":"","parse-names":false,"suffix":""},{"dropping-particle":"","family":"Krish","given":"Varsha","non-dropping-particle":"","parse-names":false,"suffix":""},{"dropping-particle":"","family":"Mantilla Herrera","given":"Ana M.","non-dropping-particle":"","parse-names":false,"suffix":""},{"dropping-particle":"","family":"Mutreja","given":"Parul","non-dropping-particle":"","parse-names":false,"suffix":""},{"dropping-particle":"","family":"Odell","given":"Christopher M.","non-dropping-particle":"","parse-names":false,"suffix":""},{"dropping-particle":"","family":"Pal","given":"Pramod K.","non-dropping-particle":"","parse-names":false,"suffix":""},{"dropping-particle":"","family":"Prakash","given":"Sanjay","non-dropping-particle":"","parse-names":false,"suffix":""},{"dropping-particle":"","family":"Santomauro","given":"Damian","non-dropping-particle":"","parse-names":false,"suffix":""},{"dropping-particle":"","family":"Shukla","given":"D. K.","non-dropping-particle":"","parse-names":false,"suffix":""},{"dropping-particle":"","family":"Singh","given":"Ravinder","non-dropping-particle":"","parse-names":false,"suffix":""},{"dropping-particle":"","family":"Singh","given":"R. K.Lenin","non-dropping-particle":"","parse-names":false,"suffix":""},{"dropping-particle":"","family":"Thakur","given":"J. S.","non-dropping-particle":"","parse-names":false,"suffix":""},{"dropping-particle":"","family":"ThekkePurakkal","given":"Akhil S.","non-dropping-particle":"","parse-names":false,"suffix":""},{"dropping-particle":"","family":"Varghese","given":"Chris M.","non-dropping-particle":"","parse-names":false,"suffix":""},{"dropping-particle":"","family":"Reddy","given":"K. Srinath","non-dropping-particle":"","parse-names":false,"suffix":""},{"dropping-particle":"","family":"Swaminathan","given":"Soumya","non-dropping-particle":"","parse-names":false,"suffix":""},{"dropping-particle":"","family":"Whiteford","given":"Harvey","non-dropping-particle":"","parse-names":false,"suffix":""},{"dropping-particle":"","family":"Bekedam","given":"Hendrik J.","non-dropping-particle":"","parse-names":false,"suffix":""},{"dropping-particle":"","family":"Murray","given":"Christopher J.L.","non-dropping-particle":"","parse-names":false,"suffix":""},{"dropping-particle":"","family":"Vos","given":"Theo","non-dropping-particle":"","parse-names":false,"suffix":""},{"dropping-particle":"","family":"Dandona","given":"Lalit","non-dropping-particle":"","parse-names":false,"suffix":""}],"container-title":"The Lancet Psychiatry","id":"ITEM-1","issue":"2","issued":{"date-parts":[["2020"]]},"page":"148-161","title":"The burden of mental disorders across the states of India: the Global Burden of Disease Study 1990–2017","type":"article-journal","volume":"7"},"uris":["http://www.mendeley.com/documents/?uuid=329fa296-2b75-4411-9ef7-03c0a072732f"]}],"mendeley":{"formattedCitation":"(44)","plainTextFormattedCitation":"(44)","previouslyFormattedCitation":"(45)"},"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(44)</w:t>
      </w:r>
      <w:r>
        <w:rPr>
          <w:rFonts w:cstheme="minorHAnsi"/>
          <w:sz w:val="24"/>
          <w:szCs w:val="24"/>
        </w:rPr>
        <w:fldChar w:fldCharType="end"/>
      </w:r>
      <w:r w:rsidRPr="00E174F4">
        <w:rPr>
          <w:rFonts w:cstheme="minorHAnsi"/>
          <w:sz w:val="24"/>
          <w:szCs w:val="24"/>
        </w:rPr>
        <w:t>. The reasons for injured middle-aged and older males reporting higher odds for anxiety and depression is unclear and the reasons for this needs to be studied in-depth. However, the proportion of patients reporting anxiety and depression (41%) was almost twice as high as seen in previous studies</w:t>
      </w:r>
      <w:r>
        <w:rPr>
          <w:rFonts w:cstheme="minorHAnsi"/>
          <w:sz w:val="24"/>
          <w:szCs w:val="24"/>
        </w:rPr>
        <w:t xml:space="preserve"> </w:t>
      </w:r>
      <w:r>
        <w:rPr>
          <w:rFonts w:cstheme="minorHAnsi"/>
          <w:sz w:val="24"/>
          <w:szCs w:val="24"/>
        </w:rPr>
        <w:fldChar w:fldCharType="begin" w:fldLock="1"/>
      </w:r>
      <w:r w:rsidR="00373FFE">
        <w:rPr>
          <w:rFonts w:cstheme="minorHAnsi"/>
          <w:sz w:val="24"/>
          <w:szCs w:val="24"/>
        </w:rPr>
        <w:instrText>ADDIN CSL_CITATION {"citationItems":[{"id":"ITEM-1","itemData":{"DOI":"10.1007/s00068-019-01170-w","ISBN":"0123456789","ISSN":"16153146","PMID":"31236642","abstract":"Purpose: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Surgery","id":"ITEM-1","issue":"1","issued":{"date-parts":[["2021"]]},"page":"129-135","publisher":"Springer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life","type":"article-journal","volume":"47"},"uris":["http://www.mendeley.com/documents/?uuid=9ab6e8b3-6b38-4f9f-a843-a984be7dcfba"]},{"id":"ITEM-2","itemData":{"DOI":"10.1136/injuryprev-2019-043143","ISSN":"14755785","PMID":"31273029","abstract":"Introduction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Prevention","id":"ITEM-2","issue":"4","issued":{"date-parts":[["2020"]]},"page":"315-323","title":"Mortality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(39,41)","plainTextFormattedCitation":"(39,41)","previouslyFormattedCitation":"(40,42)"},"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(39,41)</w:t>
      </w:r>
      <w:r>
        <w:rPr>
          <w:rFonts w:cstheme="minorHAnsi"/>
          <w:sz w:val="24"/>
          <w:szCs w:val="24"/>
        </w:rPr>
        <w:fldChar w:fldCharType="end"/>
      </w:r>
      <w:r>
        <w:rPr>
          <w:rFonts w:cstheme="minorHAnsi"/>
          <w:sz w:val="24"/>
          <w:szCs w:val="24"/>
        </w:rPr>
        <w:t xml:space="preserve">. </w:t>
      </w:r>
      <w:r w:rsidRPr="00E174F4">
        <w:rPr>
          <w:rFonts w:cstheme="minorHAnsi"/>
          <w:sz w:val="24"/>
          <w:szCs w:val="24"/>
        </w:rPr>
        <w:t>This underscores the need to account for psychological issues faced by trauma as part of the long-term consequences of trauma in this setting.</w:t>
      </w:r>
    </w:p>
    <w:p w14:paraId="13475D5A" w14:textId="77777777" w:rsidR="00E174F4" w:rsidRPr="00E174F4" w:rsidRDefault="00E174F4" w:rsidP="00E174F4">
      <w:pPr>
        <w:spacing w:after="0"/>
        <w:jc w:val="both"/>
        <w:rPr>
          <w:rFonts w:cstheme="minorHAnsi"/>
          <w:sz w:val="24"/>
          <w:szCs w:val="24"/>
        </w:rPr>
      </w:pPr>
    </w:p>
    <w:p w14:paraId="33D50C0E" w14:textId="79BF91A6" w:rsidR="00E174F4" w:rsidRPr="00E174F4" w:rsidRDefault="00E174F4" w:rsidP="00E174F4">
      <w:pPr>
        <w:spacing w:after="0"/>
        <w:jc w:val="both"/>
        <w:rPr>
          <w:rFonts w:cstheme="minorHAnsi"/>
          <w:sz w:val="24"/>
          <w:szCs w:val="24"/>
        </w:rPr>
      </w:pPr>
      <w:r w:rsidRPr="00E174F4">
        <w:rPr>
          <w:rFonts w:cstheme="minorHAnsi"/>
          <w:sz w:val="24"/>
          <w:szCs w:val="24"/>
        </w:rPr>
        <w:t xml:space="preserve">Our study showed that while middle-aged females had the highest odds of reporting problems in the mobility, self-care, pain, and usual activities than other groups, they did not report lower overall health status. This could be because of the gendered norms influencing healthcare-seeking behavior among women in the Indian settings, where women may not consider their health status as requiring care despite having more health problems </w:t>
      </w:r>
      <w:r>
        <w:rPr>
          <w:rFonts w:cstheme="minorHAnsi"/>
          <w:sz w:val="24"/>
          <w:szCs w:val="24"/>
        </w:rPr>
        <w:fldChar w:fldCharType="begin" w:fldLock="1"/>
      </w:r>
      <w:r w:rsidR="00373FFE">
        <w:rPr>
          <w:rFonts w:cstheme="minorHAnsi"/>
          <w:sz w:val="24"/>
          <w:szCs w:val="24"/>
        </w:rPr>
        <w:instrText>ADDIN CSL_CITATION {"citationItems":[{"id":"ITEM-1","itemData":{"DOI":"10.1371/journal.pone.0094295","ISSN":"19326203","PMID":"24718291","abstract":"In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ONE","id":"ITEM-1","issue":"4","issued":{"date-parts":[["2014"]]},"page":"1-8","title":"Morbidity patterns and health care seeking behavior among older widows in India","type":"article-journal","volume":"9"},"uris":["http://www.mendeley.com/documents/?uuid=85faaa37-7fae-4dd8-af99-797f2907011b"]},{"id":"ITEM-2","itemData":{"DOI":"10.1186/s12939-018-0738-8","ISSN":"14759276","PMID":"29444674","abstract":"Background: Empirical evidence shows that the relationship between health-seeking behaviour and diverse gender elements, such as gendered social status, social control, ideology, gender process, marital status and procreative status, changes across settings. Given the high relevance of social settings, this paper intends to explore how gender elements interact with health-seeking practices among men and women residing in an Indian urban slum, in consideration of the unique socio-cultural context that characterises India's slums. Methods: The study was conducted in Sahid Smriti Colony, a peri-urban slum of Kolkata, India. The referral technique was used for selecting participants, as people in the study area were not very comfortable in discussing their health issues and health-seeking behaviours. The final sample included 66 participants, 34 men and 32 women. Data was collected through individual face-to-face in-depth interviews with a semi-structured questionnaire. Results: The data analysis shows six categories of reasons underlying women's preferences for informal healers, which are presented in the form of the following themes: cultural competency of care, easy communication, gender-induced affordability, avoidance of social stigma and labelling, living with the burden of cultural expectations and geographical and cognitive distance of formal health care. In case of men ease of access, quality of treatment and expected outcome of therapies are the three themes that emerged as the reasons behind their preferences for formal care. Conclusion: Our results suggest that both men and women utilise formal and informal care, but with different motives and expectations, leading to contrasting health-seeking outcomes. These gender-induced contrasts relate to a preference for socio-cultural (women) versus technological (men) therapies and long (women) versus fast (men) treatment, and are linked to their different societal and familial roles. The role of women in following and maintaining socio-cultural norms leads them to focus on care that involves long discussions mixed with socio-cultural traits that help avoid economic and social sanctions, while the role of men as bread earners requires them to look for care that ensures a fast and complete recovery so as to avoid financial pressures.","author":[{"dropping-particle":"","family":"Das","given":"Moumita","non-dropping-particle":"","parse-names":false,"suffix":""},{"dropping-particle":"","family":"Angeli","given":"Federica","non-dropping-particle":"","parse-names":false,"suffix":""},{"dropping-particle":"","family":"Krumeich","given":"Anja J.S.M.","non-dropping-particle":"","parse-names":false,"suffix":""},{"dropping-particle":"","family":"Schayck","given":"Onno C.P.","non-dropping-particle":"Van","parse-names":false,"suffix":""}],"container-title":"International Journal for Equity in Health","id":"ITEM-2","issue":"1","issued":{"date-parts":[["2018"]]},"page":"1-14","publisher":"International Journal for Equity in Health","title":"The gendered experience with respect to health-seeking behaviour in an urban slum of Kolkata, India","type":"article-journal","volume":"17"},"uris":["http://www.mendeley.com/documents/?uuid=d622da45-82b2-409d-b18b-8d41d731d6b3"]},{"id":"ITEM-3","itemData":{"abstract":"8{r{f, S{fiR-Govemment of India €iffir 3il{ or$m-ff ordr-qqa drrfl Ministrv of Statistics and Prosramme Implementation \" {rgrq qfdet sflqrur orftiq National Sample Survey Office E|Er 2015 \\","author":[{"dropping-particle":"","family":"National Sample Survey Office","given":"","non-dropping-particle":"","parse-names":false,"suffix":""}],"container-title":"Ministry of Statistics and Programme Implementation","id":"ITEM-3","issued":{"date-parts":[["2019"]]},"number-of-pages":"1-127","publisher-place":"New Delhi","title":"Key indicators of social consumption in India: Health","type":"report"},"uris":["http://www.mendeley.com/documents/?uuid=46c00bab-c651-4a13-828f-dd2c4ab38a7f"]}],"mendeley":{"formattedCitation":"(24,45,46)","plainTextFormattedCitation":"(24,45,46)","previouslyFormattedCitation":"(24,46,47)"},"properties":{"noteIndex":0},"schema":"https://github.com/citation-style-language/schema/raw/master/csl-citation.json"}</w:instrText>
      </w:r>
      <w:r>
        <w:rPr>
          <w:rFonts w:cstheme="minorHAnsi"/>
          <w:sz w:val="24"/>
          <w:szCs w:val="24"/>
        </w:rPr>
        <w:fldChar w:fldCharType="separate"/>
      </w:r>
      <w:r w:rsidR="00373FFE" w:rsidRPr="00373FFE">
        <w:rPr>
          <w:rFonts w:cstheme="minorHAnsi"/>
          <w:noProof/>
          <w:sz w:val="24"/>
          <w:szCs w:val="24"/>
        </w:rPr>
        <w:t>(24,45,46)</w:t>
      </w:r>
      <w:r>
        <w:rPr>
          <w:rFonts w:cstheme="minorHAnsi"/>
          <w:sz w:val="24"/>
          <w:szCs w:val="24"/>
        </w:rPr>
        <w:fldChar w:fldCharType="end"/>
      </w:r>
      <w:r>
        <w:rPr>
          <w:rFonts w:cstheme="minorHAnsi"/>
          <w:sz w:val="24"/>
          <w:szCs w:val="24"/>
        </w:rPr>
        <w:t>.</w:t>
      </w:r>
      <w:r w:rsidRPr="00E174F4">
        <w:rPr>
          <w:rFonts w:cstheme="minorHAnsi"/>
          <w:sz w:val="24"/>
          <w:szCs w:val="24"/>
        </w:rPr>
        <w:t xml:space="preserve"> This difference in reporting overall health status with respect to individual domains needs to investigated in future studies on trauma from urban India.</w:t>
      </w:r>
    </w:p>
    <w:p w14:paraId="0F3C3E12" w14:textId="77777777" w:rsidR="00E174F4" w:rsidRPr="00E174F4" w:rsidRDefault="00E174F4" w:rsidP="00E174F4">
      <w:pPr>
        <w:spacing w:after="0"/>
        <w:jc w:val="both"/>
        <w:rPr>
          <w:rFonts w:cstheme="minorHAnsi"/>
          <w:sz w:val="24"/>
          <w:szCs w:val="24"/>
        </w:rPr>
      </w:pPr>
    </w:p>
    <w:p w14:paraId="1525E8DF" w14:textId="66A4D3D8" w:rsidR="00E174F4" w:rsidRPr="00E174F4" w:rsidRDefault="00E174F4" w:rsidP="00E174F4">
      <w:pPr>
        <w:spacing w:after="0"/>
        <w:jc w:val="both"/>
        <w:rPr>
          <w:rFonts w:cstheme="minorHAnsi"/>
          <w:sz w:val="24"/>
          <w:szCs w:val="24"/>
        </w:rPr>
      </w:pPr>
      <w:r w:rsidRPr="00E174F4">
        <w:rPr>
          <w:rFonts w:cstheme="minorHAnsi"/>
          <w:sz w:val="24"/>
          <w:szCs w:val="24"/>
        </w:rPr>
        <w:lastRenderedPageBreak/>
        <w:t xml:space="preserve">The findings from our study indicate that males and females do not recover QOL at 3-months post trauma the same way across different age groups in the urban Indian context. The reasons for these differences should be explored in detail in future qualitative studies. Additionally, future research should focus on specific cohorts of trauma such as traumatic brain injury or spinal cord injuries and road traffic injuries or falls to study the differences in QOL outcomes and the reasons for the same. The findings of this study highlight that healthcare providers should consider options for addressing the persistent pain among post-discharge trauma patients. Moreover, it emphasizes the need for providing psychosocial care as part of trauma management to improve overall QOL among trauma patients. Additionally, given the differences between reporting overall health status and health-related problems faced, especially among women, healthcare providers could probe for these problems during post-discharge follow-ups visits.   </w:t>
      </w:r>
    </w:p>
    <w:p w14:paraId="6A636C8E" w14:textId="77777777" w:rsidR="00E174F4" w:rsidRPr="00E174F4" w:rsidRDefault="00E174F4" w:rsidP="00E174F4">
      <w:pPr>
        <w:spacing w:after="0"/>
        <w:jc w:val="both"/>
        <w:rPr>
          <w:rFonts w:cstheme="minorHAnsi"/>
          <w:sz w:val="24"/>
          <w:szCs w:val="24"/>
        </w:rPr>
      </w:pPr>
    </w:p>
    <w:p w14:paraId="0348709C" w14:textId="77777777" w:rsidR="00E174F4" w:rsidRPr="00E174F4" w:rsidRDefault="00E174F4" w:rsidP="00E174F4">
      <w:pPr>
        <w:spacing w:after="0"/>
        <w:jc w:val="both"/>
        <w:rPr>
          <w:rFonts w:cstheme="minorHAnsi"/>
          <w:i/>
          <w:iCs/>
          <w:sz w:val="24"/>
          <w:szCs w:val="24"/>
        </w:rPr>
      </w:pPr>
      <w:r w:rsidRPr="00E174F4">
        <w:rPr>
          <w:rFonts w:cstheme="minorHAnsi"/>
          <w:i/>
          <w:iCs/>
          <w:sz w:val="24"/>
          <w:szCs w:val="24"/>
        </w:rPr>
        <w:t>Limitations</w:t>
      </w:r>
    </w:p>
    <w:p w14:paraId="34B264AB" w14:textId="61A9A12C" w:rsidR="00C826BC" w:rsidRPr="00E174F4" w:rsidRDefault="00E174F4" w:rsidP="00E174F4">
      <w:pPr>
        <w:spacing w:after="0"/>
        <w:jc w:val="both"/>
        <w:rPr>
          <w:rFonts w:cstheme="minorHAnsi"/>
          <w:sz w:val="24"/>
          <w:szCs w:val="24"/>
        </w:rPr>
      </w:pPr>
      <w:r w:rsidRPr="00E174F4">
        <w:rPr>
          <w:rFonts w:cstheme="minorHAnsi"/>
          <w:sz w:val="24"/>
          <w:szCs w:val="24"/>
        </w:rPr>
        <w:t>The EQ5D tool has not been validated for trauma patients in the Indian context and conducting a telephonic interview could have affected the ability of participants to understand the questions and thereby the reported responses. However, the tool has been validated in non-trauma settings and culturally similar populations in South Asia. Additionally, the tool has details on how to collect the information over the telephone. This study only captures those who responded during the follow-up calls, leaving out drop-outs. Another limitation is that using QOL measured at a single point of time does not allow in observing changes in QOL across time between the different age and gender groups. Longitudinal studies from low resource settings would help in understanding patterns and changes over time.</w:t>
      </w:r>
    </w:p>
    <w:p w14:paraId="5F5C38A6" w14:textId="77777777" w:rsidR="00C826BC" w:rsidRDefault="00C826BC" w:rsidP="00C826BC">
      <w:pPr>
        <w:spacing w:after="0"/>
        <w:jc w:val="both"/>
        <w:rPr>
          <w:rFonts w:cstheme="minorHAnsi"/>
          <w:b/>
          <w:bCs/>
          <w:sz w:val="24"/>
          <w:szCs w:val="24"/>
        </w:rPr>
      </w:pPr>
    </w:p>
    <w:p w14:paraId="31F5561E" w14:textId="3ACCD6E1" w:rsidR="00C826BC" w:rsidRPr="00C826BC" w:rsidRDefault="00C826BC" w:rsidP="00C826BC">
      <w:pPr>
        <w:spacing w:after="0"/>
        <w:jc w:val="both"/>
        <w:rPr>
          <w:rFonts w:cstheme="minorHAnsi"/>
          <w:b/>
          <w:bCs/>
          <w:sz w:val="24"/>
          <w:szCs w:val="24"/>
        </w:rPr>
      </w:pPr>
      <w:r w:rsidRPr="00C826BC">
        <w:rPr>
          <w:rFonts w:cstheme="minorHAnsi"/>
          <w:b/>
          <w:bCs/>
          <w:sz w:val="24"/>
          <w:szCs w:val="24"/>
        </w:rPr>
        <w:t>Conclusion</w:t>
      </w:r>
    </w:p>
    <w:p w14:paraId="61003E05" w14:textId="18697F0A" w:rsidR="00C826BC" w:rsidRDefault="00B55B5B" w:rsidP="00845A8C">
      <w:pPr>
        <w:spacing w:after="0"/>
        <w:jc w:val="both"/>
        <w:rPr>
          <w:rFonts w:cstheme="minorHAnsi"/>
          <w:sz w:val="24"/>
          <w:szCs w:val="24"/>
        </w:rPr>
      </w:pPr>
      <w:r>
        <w:rPr>
          <w:rFonts w:cstheme="minorHAnsi"/>
          <w:sz w:val="24"/>
          <w:szCs w:val="24"/>
        </w:rPr>
        <w:t>TBD</w:t>
      </w:r>
    </w:p>
    <w:p w14:paraId="4CD0D207" w14:textId="77777777" w:rsidR="00373FFE" w:rsidRDefault="00373FFE" w:rsidP="00845A8C">
      <w:pPr>
        <w:spacing w:after="0"/>
        <w:jc w:val="both"/>
        <w:rPr>
          <w:rFonts w:ascii="Segoe UI" w:eastAsia="Times New Roman" w:hAnsi="Segoe UI" w:cs="Segoe UI"/>
          <w:color w:val="000000"/>
          <w:sz w:val="24"/>
          <w:szCs w:val="24"/>
          <w:lang w:val="en-IN" w:eastAsia="en-IN"/>
        </w:rPr>
      </w:pPr>
    </w:p>
    <w:p w14:paraId="2B2BA538" w14:textId="474F6B36" w:rsidR="006A7886" w:rsidRDefault="006A7886" w:rsidP="00845A8C">
      <w:pPr>
        <w:spacing w:after="0"/>
        <w:jc w:val="both"/>
        <w:rPr>
          <w:rFonts w:cstheme="minorHAnsi"/>
          <w:b/>
          <w:bCs/>
          <w:sz w:val="24"/>
          <w:szCs w:val="24"/>
        </w:rPr>
      </w:pPr>
      <w:r w:rsidRPr="006A7886">
        <w:rPr>
          <w:rFonts w:cstheme="minorHAnsi"/>
          <w:b/>
          <w:bCs/>
          <w:sz w:val="24"/>
          <w:szCs w:val="24"/>
        </w:rPr>
        <w:t>References</w:t>
      </w:r>
    </w:p>
    <w:p w14:paraId="79F4D540" w14:textId="5472665C" w:rsidR="00373FFE" w:rsidRPr="00373FFE" w:rsidRDefault="006A7886" w:rsidP="00373FFE">
      <w:pPr>
        <w:widowControl w:val="0"/>
        <w:autoSpaceDE w:val="0"/>
        <w:autoSpaceDN w:val="0"/>
        <w:adjustRightInd w:val="0"/>
        <w:spacing w:after="0" w:line="240" w:lineRule="auto"/>
        <w:ind w:left="640" w:hanging="640"/>
        <w:rPr>
          <w:rFonts w:ascii="Calibri" w:hAnsi="Calibri" w:cs="Calibri"/>
          <w:noProof/>
          <w:sz w:val="24"/>
          <w:szCs w:val="24"/>
        </w:rPr>
      </w:pPr>
      <w:r>
        <w:rPr>
          <w:rFonts w:cstheme="minorHAnsi"/>
          <w:b/>
          <w:bCs/>
          <w:sz w:val="24"/>
          <w:szCs w:val="24"/>
        </w:rPr>
        <w:fldChar w:fldCharType="begin" w:fldLock="1"/>
      </w:r>
      <w:r>
        <w:rPr>
          <w:rFonts w:cstheme="minorHAnsi"/>
          <w:b/>
          <w:bCs/>
          <w:sz w:val="24"/>
          <w:szCs w:val="24"/>
        </w:rPr>
        <w:instrText xml:space="preserve">ADDIN Mendeley Bibliography CSL_BIBLIOGRAPHY </w:instrText>
      </w:r>
      <w:r>
        <w:rPr>
          <w:rFonts w:cstheme="minorHAnsi"/>
          <w:b/>
          <w:bCs/>
          <w:sz w:val="24"/>
          <w:szCs w:val="24"/>
        </w:rPr>
        <w:fldChar w:fldCharType="separate"/>
      </w:r>
      <w:r w:rsidR="00373FFE" w:rsidRPr="00373FFE">
        <w:rPr>
          <w:rFonts w:ascii="Calibri" w:hAnsi="Calibri" w:cs="Calibri"/>
          <w:noProof/>
          <w:sz w:val="24"/>
          <w:szCs w:val="24"/>
        </w:rPr>
        <w:t xml:space="preserve">1. </w:t>
      </w:r>
      <w:r w:rsidR="00373FFE" w:rsidRPr="00373FFE">
        <w:rPr>
          <w:rFonts w:ascii="Calibri" w:hAnsi="Calibri" w:cs="Calibri"/>
          <w:noProof/>
          <w:sz w:val="24"/>
          <w:szCs w:val="24"/>
        </w:rPr>
        <w:tab/>
        <w:t xml:space="preserve">GBD 2019 Demographics Collaborators. Global age-sex-specific fertility, mortality, healthy life expectancy (HALE), and population estimates in 204 countries and territories, 1950–2019: a comprehensive demographic analysis for the Global Burden of Disease Study 2019. Lancet. 2020;396(10258):1160–203. </w:t>
      </w:r>
    </w:p>
    <w:p w14:paraId="40A5E306"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 </w:t>
      </w:r>
      <w:r w:rsidRPr="00373FFE">
        <w:rPr>
          <w:rFonts w:ascii="Calibri" w:hAnsi="Calibri" w:cs="Calibri"/>
          <w:noProof/>
          <w:sz w:val="24"/>
          <w:szCs w:val="24"/>
        </w:rPr>
        <w:tab/>
        <w:t>Haagsma J, Bonsel G, de Jongh M, Polinder S. Agreement between retrospectively assessed health-related quality of life collected 1 week and 12 months post-injury: an observational follow-up study. Heal Qual Life Outcomes [Internet]. 2019;17(1):70. Available from: http://ovidsp.ovid.com/ovidweb.cgi?T=JS&amp;CSC=Y&amp;NEWS=N&amp;PAGE=fulltext&amp;D=medl&amp;AN=31014327http://pmt-eu.hosted.exlibrisgroup.com/openurl/46KIB_INST/46KIB_INST_services_page?sid=OVID:medline&amp;id=pmid:31014327&amp;id=doi:10.1186%2Fs12955-019-1139-4&amp;issn=1477-7525&amp;isb</w:t>
      </w:r>
    </w:p>
    <w:p w14:paraId="370330E0"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 </w:t>
      </w:r>
      <w:r w:rsidRPr="00373FFE">
        <w:rPr>
          <w:rFonts w:ascii="Calibri" w:hAnsi="Calibri" w:cs="Calibri"/>
          <w:noProof/>
          <w:sz w:val="24"/>
          <w:szCs w:val="24"/>
        </w:rPr>
        <w:tab/>
        <w:t>Rios-Diaz AJ, Herrera-Escobar JP, Lilley EJ, Appelson JR, Gabbe B, Brasel K, et al. Routine inclusion of long-term functional and patient-reported outcomes into trauma registries: The FORTE project. J Trauma Acute Care Surg [Internet]. 2017;83(1):97–</w:t>
      </w:r>
      <w:r w:rsidRPr="00373FFE">
        <w:rPr>
          <w:rFonts w:ascii="Calibri" w:hAnsi="Calibri" w:cs="Calibri"/>
          <w:noProof/>
          <w:sz w:val="24"/>
          <w:szCs w:val="24"/>
        </w:rPr>
        <w:lastRenderedPageBreak/>
        <w:t>104. Available from: http://ovidsp.ovid.com/ovidweb.cgi?T=JS&amp;CSC=Y&amp;NEWS=N&amp;PAGE=fulltext&amp;D=medc1&amp;AN=28426563http://pmt-eu.hosted.exlibrisgroup.com/openurl/46KIB_INST/46KIB_INST_services_page?sid=OVID:medline&amp;id=pmid:28426563&amp;id=doi:10.1097%2FTA.0000000000001490&amp;issn=2163-0755&amp;</w:t>
      </w:r>
    </w:p>
    <w:p w14:paraId="1076D719"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4. </w:t>
      </w:r>
      <w:r w:rsidRPr="00373FFE">
        <w:rPr>
          <w:rFonts w:ascii="Calibri" w:hAnsi="Calibri" w:cs="Calibri"/>
          <w:noProof/>
          <w:sz w:val="24"/>
          <w:szCs w:val="24"/>
        </w:rPr>
        <w:tab/>
        <w:t>Wisborg T, Manskow US, Jeppesen E. Trauma outcome research – More is needed. Acta Anaesthesiol Scand [Internet]. 2017;61(4):362–4. Available from: https://doi.org/10.1111/aas.12875</w:t>
      </w:r>
    </w:p>
    <w:p w14:paraId="3A2685C4"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5. </w:t>
      </w:r>
      <w:r w:rsidRPr="00373FFE">
        <w:rPr>
          <w:rFonts w:ascii="Calibri" w:hAnsi="Calibri" w:cs="Calibri"/>
          <w:noProof/>
          <w:sz w:val="24"/>
          <w:szCs w:val="24"/>
        </w:rPr>
        <w:tab/>
        <w:t>Kruithof N, de Jongh MAC, de Munter L, Lansink KWW, Polinder S. The effect of socio-economic status on non-fatal outcome after injury: A systematic review. Injury [Internet]. 2017;48(3):578–90. Available from: http://dx.doi.org/10.1016/j.injury.2017.01.013</w:t>
      </w:r>
    </w:p>
    <w:p w14:paraId="72E68611"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6. </w:t>
      </w:r>
      <w:r w:rsidRPr="00373FFE">
        <w:rPr>
          <w:rFonts w:ascii="Calibri" w:hAnsi="Calibri" w:cs="Calibri"/>
          <w:noProof/>
          <w:sz w:val="24"/>
          <w:szCs w:val="24"/>
        </w:rPr>
        <w:tab/>
        <w:t>Ahmed W, Alwe R, Wade D. One-year functional outcomes following major trauma: experience of a UK level 1 major trauma centre. Clin Rehabil [Internet]. 2017;31(12):1646–52. Available from: http://journals.sagepub.com/doi/10.1177/0269215517712044</w:t>
      </w:r>
    </w:p>
    <w:p w14:paraId="10B24087"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7. </w:t>
      </w:r>
      <w:r w:rsidRPr="00373FFE">
        <w:rPr>
          <w:rFonts w:ascii="Calibri" w:hAnsi="Calibri" w:cs="Calibri"/>
          <w:noProof/>
          <w:sz w:val="24"/>
          <w:szCs w:val="24"/>
        </w:rPr>
        <w:tab/>
        <w:t xml:space="preserve">Nguyen H, Ivers R, Jan S, Pham C. Analysis of out-of-pocket costs associated with hospitalised injuries in Vietnam. BMJ Glob Heal. 2017;2(1). </w:t>
      </w:r>
    </w:p>
    <w:p w14:paraId="21622262"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8. </w:t>
      </w:r>
      <w:r w:rsidRPr="00373FFE">
        <w:rPr>
          <w:rFonts w:ascii="Calibri" w:hAnsi="Calibri" w:cs="Calibri"/>
          <w:noProof/>
          <w:sz w:val="24"/>
          <w:szCs w:val="24"/>
        </w:rPr>
        <w:tab/>
        <w:t xml:space="preserve">Hossain MS, Harvey LA, Islam MS, Rahman MA, Liu H, Herbert RD. Loss of work-related income impoverishes people with SCI and their families in Bangladesh. Spinal Cord. 2020;58(4):423–9. </w:t>
      </w:r>
    </w:p>
    <w:p w14:paraId="4CCDCAF0"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9. </w:t>
      </w:r>
      <w:r w:rsidRPr="00373FFE">
        <w:rPr>
          <w:rFonts w:ascii="Calibri" w:hAnsi="Calibri" w:cs="Calibri"/>
          <w:noProof/>
          <w:sz w:val="24"/>
          <w:szCs w:val="24"/>
        </w:rPr>
        <w:tab/>
        <w:t>Jagnoor J, Prinja S, Nguyen H, Gabbe BJ, Peden M, Ivers RQ. Mortality and health-related quality of life following injuries and associated factors: a cohort study in Chandigarh, North India. Inj Prev [Internet]. 2019;04:4. Available from: https://doi.org/10.1136/injuryprev-2019-043143</w:t>
      </w:r>
    </w:p>
    <w:p w14:paraId="0DEF4204"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10. </w:t>
      </w:r>
      <w:r w:rsidRPr="00373FFE">
        <w:rPr>
          <w:rFonts w:ascii="Calibri" w:hAnsi="Calibri" w:cs="Calibri"/>
          <w:noProof/>
          <w:sz w:val="24"/>
          <w:szCs w:val="24"/>
        </w:rPr>
        <w:tab/>
        <w:t xml:space="preserve">Amurwon J, Carr D. ‘It’s Like i Never Had a Child of My Own’: Care and Support for the Elderly in a Changing Socioeconomic Context in Rural Uganda. Journals Gerontol - Ser B Psychol Sci Soc Sci. 2019;74(8):1483–91. </w:t>
      </w:r>
    </w:p>
    <w:p w14:paraId="2EC44B5A"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11. </w:t>
      </w:r>
      <w:r w:rsidRPr="00373FFE">
        <w:rPr>
          <w:rFonts w:ascii="Calibri" w:hAnsi="Calibri" w:cs="Calibri"/>
          <w:noProof/>
          <w:sz w:val="24"/>
          <w:szCs w:val="24"/>
        </w:rPr>
        <w:tab/>
        <w:t>Levasseur M, Généreux M, Bruneau JF, Vanasse A, Chabot É, Beaulac C, et al. Importance of proximity to resources, social support, transportation and neighborhood security for mobility and social participation in older adults: Results from a scoping study. BMC Public Health [Internet]. 2015;15(1):1–19. Available from: http://dx.doi.org/10.1186/s12889-015-1824-0</w:t>
      </w:r>
    </w:p>
    <w:p w14:paraId="3B8B8281"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12. </w:t>
      </w:r>
      <w:r w:rsidRPr="00373FFE">
        <w:rPr>
          <w:rFonts w:ascii="Calibri" w:hAnsi="Calibri" w:cs="Calibri"/>
          <w:noProof/>
          <w:sz w:val="24"/>
          <w:szCs w:val="24"/>
        </w:rPr>
        <w:tab/>
        <w:t>Brinda EM, Attermann J, Gerdtham UG, Enemark U. Socio-economic inequalities in health and health service use among older adults in India : results from the WHO Study on Global AGEing and adult health survey. Public Health [Internet]. 2016;141:32–41. Available from: http://dx.doi.org/10.1016/j.puhe.2016.08.005</w:t>
      </w:r>
    </w:p>
    <w:p w14:paraId="721A5B4A"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13. </w:t>
      </w:r>
      <w:r w:rsidRPr="00373FFE">
        <w:rPr>
          <w:rFonts w:ascii="Calibri" w:hAnsi="Calibri" w:cs="Calibri"/>
          <w:noProof/>
          <w:sz w:val="24"/>
          <w:szCs w:val="24"/>
        </w:rPr>
        <w:tab/>
        <w:t xml:space="preserve">Gupta GR, Oomman N, Grown C, Conn K, Hawkes S, Shawar YR, et al. Gender Equality , Norms , and Health 5 Gender equality and gender norms : framing the opportunities for health. Lancet. 2019;393. </w:t>
      </w:r>
    </w:p>
    <w:p w14:paraId="782D0A35"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14. </w:t>
      </w:r>
      <w:r w:rsidRPr="00373FFE">
        <w:rPr>
          <w:rFonts w:ascii="Calibri" w:hAnsi="Calibri" w:cs="Calibri"/>
          <w:noProof/>
          <w:sz w:val="24"/>
          <w:szCs w:val="24"/>
        </w:rPr>
        <w:tab/>
        <w:t>Kennedy E, Binder G, Humphries-waa K, Tidhar T, Cini K, Comrie-thomson L, et al. Articles Gender inequalities in health and wellbeing across the first two decades of life : an analysis of 40 low-income and middle-income countries in the Asia-Pacific region. Lancet Glob Heal [Internet]. 2020;8(12):1473-e488. Available from: http://dx.doi.org/10.1016/S2214-109X(20)30354-5</w:t>
      </w:r>
    </w:p>
    <w:p w14:paraId="72ED9BD8"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15. </w:t>
      </w:r>
      <w:r w:rsidRPr="00373FFE">
        <w:rPr>
          <w:rFonts w:ascii="Calibri" w:hAnsi="Calibri" w:cs="Calibri"/>
          <w:noProof/>
          <w:sz w:val="24"/>
          <w:szCs w:val="24"/>
        </w:rPr>
        <w:tab/>
        <w:t xml:space="preserve">Waqas A, Turk M, Naveed S, Amin A, Kiwanuka H, Shafique N, et al. Perceived social </w:t>
      </w:r>
      <w:r w:rsidRPr="00373FFE">
        <w:rPr>
          <w:rFonts w:ascii="Calibri" w:hAnsi="Calibri" w:cs="Calibri"/>
          <w:noProof/>
          <w:sz w:val="24"/>
          <w:szCs w:val="24"/>
        </w:rPr>
        <w:lastRenderedPageBreak/>
        <w:t>support among patients with burn injuries: a perspective from the developing world. Burns [Internet]. 2017;(no pagina. Available from: https://www.cochranelibrary.com/central/doi/10.1002/central/CN-01405589/full</w:t>
      </w:r>
    </w:p>
    <w:p w14:paraId="2080B2C5"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16. </w:t>
      </w:r>
      <w:r w:rsidRPr="00373FFE">
        <w:rPr>
          <w:rFonts w:ascii="Calibri" w:hAnsi="Calibri" w:cs="Calibri"/>
          <w:noProof/>
          <w:sz w:val="24"/>
          <w:szCs w:val="24"/>
        </w:rPr>
        <w:tab/>
        <w:t>Awang H, Mansor N. Predicting Employment Status of Injured Workers Following a Case Management Intervention. Saf Health Work [Internet]. 2018;9(3):347–51. Available from: https://doi.org/10.1016/j.shaw.2017.11.001</w:t>
      </w:r>
    </w:p>
    <w:p w14:paraId="0456E871"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17. </w:t>
      </w:r>
      <w:r w:rsidRPr="00373FFE">
        <w:rPr>
          <w:rFonts w:ascii="Calibri" w:hAnsi="Calibri" w:cs="Calibri"/>
          <w:noProof/>
          <w:sz w:val="24"/>
          <w:szCs w:val="24"/>
        </w:rPr>
        <w:tab/>
        <w:t>Quadir MM, Lee YJ, Hoque R, Karim MM, Alamgir H. How are the surviving workers of the Rana Plaza factory collapse in Bangladesh doing: quality of life, participation restriction, income and occupation. Disabil Rehabil [Internet]. 2019;1–7. Available from: http://ovidsp.ovid.com/ovidweb.cgi?T=JS&amp;CSC=Y&amp;NEWS=N&amp;PAGE=fulltext&amp;D=medp&amp;AN=31211925</w:t>
      </w:r>
    </w:p>
    <w:p w14:paraId="151FE55C"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18. </w:t>
      </w:r>
      <w:r w:rsidRPr="00373FFE">
        <w:rPr>
          <w:rFonts w:ascii="Calibri" w:hAnsi="Calibri" w:cs="Calibri"/>
          <w:noProof/>
          <w:sz w:val="24"/>
          <w:szCs w:val="24"/>
        </w:rPr>
        <w:tab/>
        <w:t>Fabricius AM, D’Souza A, Amodio V, Colantonio A, Mollayeva T. Women’s Gendered Experiences of Traumatic Brain Injury. Qual Health Res [Internet]. 2020;30(7):1033–44. Available from: https://doi.org/10.1177/1049732319900163</w:t>
      </w:r>
    </w:p>
    <w:p w14:paraId="03AEB7A4"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19. </w:t>
      </w:r>
      <w:r w:rsidRPr="00373FFE">
        <w:rPr>
          <w:rFonts w:ascii="Calibri" w:hAnsi="Calibri" w:cs="Calibri"/>
          <w:noProof/>
          <w:sz w:val="24"/>
          <w:szCs w:val="24"/>
        </w:rPr>
        <w:tab/>
        <w:t>Gopinath B, Jagnoor J, Harris IA, Nicholas M, Casey P, Blyth F, et al. Health-related quality of life 24 months after sustaining a minor musculoskeletal injury in a road traffic crash: A prospective cohort study. Traffic Inj Prev [Internet]. 2017;18(3):251–6. Available from: http://ovidsp.ovid.com/ovidweb.cgi?T=JS&amp;CSC=Y&amp;NEWS=N&amp;PAGE=fulltext&amp;D=med13&amp;AN=27736156http://pmt-eu.hosted.exlibrisgroup.com/openurl/46KIB_INST/46KIB_INST_services_page?sid=OVID:medline&amp;id=pmid:27736156&amp;id=doi:10.1080%2F15389588.2016.1244335&amp;issn=1538-958</w:t>
      </w:r>
    </w:p>
    <w:p w14:paraId="60C7D16A"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20. </w:t>
      </w:r>
      <w:r w:rsidRPr="00373FFE">
        <w:rPr>
          <w:rFonts w:ascii="Calibri" w:hAnsi="Calibri" w:cs="Calibri"/>
          <w:noProof/>
          <w:sz w:val="24"/>
          <w:szCs w:val="24"/>
        </w:rPr>
        <w:tab/>
        <w:t>Brown K, Cameron ID, Keay L, Coxon K, Ivers R. Functioning and health-related quality of life following injury in older people: a systematic review. Inj Prev [Internet]. 2017;23(6):403–11. Available from: https://doi.org/10.1136/injuryprev-2016-042192</w:t>
      </w:r>
    </w:p>
    <w:p w14:paraId="6CB9AA3E"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21. </w:t>
      </w:r>
      <w:r w:rsidRPr="00373FFE">
        <w:rPr>
          <w:rFonts w:ascii="Calibri" w:hAnsi="Calibri" w:cs="Calibri"/>
          <w:noProof/>
          <w:sz w:val="24"/>
          <w:szCs w:val="24"/>
        </w:rPr>
        <w:tab/>
        <w:t>Mollayeva T, Mollayeva S, Colantonio A. Traumatic brain injury: sex, gender and intersecting vulnerabilities [Internet]. Vol. 14, Nature Reviews Neurology. 2018. p. 711–22. Available from: https://doi.org/10.1038/s41582-018-0091-y</w:t>
      </w:r>
    </w:p>
    <w:p w14:paraId="29C50B74"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B37CD0">
        <w:rPr>
          <w:rFonts w:ascii="Calibri" w:hAnsi="Calibri" w:cs="Calibri"/>
          <w:noProof/>
          <w:sz w:val="24"/>
          <w:szCs w:val="24"/>
          <w:lang w:val="sv-SE"/>
        </w:rPr>
        <w:t xml:space="preserve">22. </w:t>
      </w:r>
      <w:r w:rsidRPr="00B37CD0">
        <w:rPr>
          <w:rFonts w:ascii="Calibri" w:hAnsi="Calibri" w:cs="Calibri"/>
          <w:noProof/>
          <w:sz w:val="24"/>
          <w:szCs w:val="24"/>
          <w:lang w:val="sv-SE"/>
        </w:rPr>
        <w:tab/>
        <w:t xml:space="preserve">Rissanen R, Ifver J, Hasselberg M, Berg HY. </w:t>
      </w:r>
      <w:r w:rsidRPr="00373FFE">
        <w:rPr>
          <w:rFonts w:ascii="Calibri" w:hAnsi="Calibri" w:cs="Calibri"/>
          <w:noProof/>
          <w:sz w:val="24"/>
          <w:szCs w:val="24"/>
        </w:rPr>
        <w:t>Quality of life following road traffic injury: the impact of age and gender. Qual Life Res [Internet]. 2020;20:20. Available from: http://ovidsp.ovid.com/ovidweb.cgi?T=JS&amp;CSC=Y&amp;NEWS=N&amp;PAGE=fulltext&amp;D=medp&amp;AN=31960212</w:t>
      </w:r>
    </w:p>
    <w:p w14:paraId="07552F98"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23. </w:t>
      </w:r>
      <w:r w:rsidRPr="00373FFE">
        <w:rPr>
          <w:rFonts w:ascii="Calibri" w:hAnsi="Calibri" w:cs="Calibri"/>
          <w:noProof/>
          <w:sz w:val="24"/>
          <w:szCs w:val="24"/>
        </w:rPr>
        <w:tab/>
        <w:t xml:space="preserve">Carmel S. Health and Well-Being in Late Life : Gender Differences Worldwide. Front Med. 2019;6(October):3–6. </w:t>
      </w:r>
    </w:p>
    <w:p w14:paraId="6A0F9483"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24. </w:t>
      </w:r>
      <w:r w:rsidRPr="00373FFE">
        <w:rPr>
          <w:rFonts w:ascii="Calibri" w:hAnsi="Calibri" w:cs="Calibri"/>
          <w:noProof/>
          <w:sz w:val="24"/>
          <w:szCs w:val="24"/>
        </w:rPr>
        <w:tab/>
        <w:t xml:space="preserve">Agrawal G, Keshri K. Morbidity patterns and health care seeking behavior among older widows in India. PLoS One. 2014;9(4):1–8. </w:t>
      </w:r>
    </w:p>
    <w:p w14:paraId="72C14B91"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25. </w:t>
      </w:r>
      <w:r w:rsidRPr="00373FFE">
        <w:rPr>
          <w:rFonts w:ascii="Calibri" w:hAnsi="Calibri" w:cs="Calibri"/>
          <w:noProof/>
          <w:sz w:val="24"/>
          <w:szCs w:val="24"/>
        </w:rPr>
        <w:tab/>
        <w:t>Bauer GR. Incorporating intersectionality theory into population health research methodology: Challenges and the potential to advance health equity. Soc Sci Med [Internet]. 2014;110:10–7. Available from: http://dx.doi.org/10.1016/j.socscimed.2014.03.022</w:t>
      </w:r>
    </w:p>
    <w:p w14:paraId="7C7CDBAE"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26. </w:t>
      </w:r>
      <w:r w:rsidRPr="00373FFE">
        <w:rPr>
          <w:rFonts w:ascii="Calibri" w:hAnsi="Calibri" w:cs="Calibri"/>
          <w:noProof/>
          <w:sz w:val="24"/>
          <w:szCs w:val="24"/>
        </w:rPr>
        <w:tab/>
        <w:t>Richardson LJ, Brown TH. (En)gendering racial disparities in health trajectories: A life course and intersectional analysis. SSM - Popul Heal [Internet]. 2016;2:425–35. Available from: http://dx.doi.org/10.1016/j.ssmph.2016.04.011</w:t>
      </w:r>
    </w:p>
    <w:p w14:paraId="5D049287"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27. </w:t>
      </w:r>
      <w:r w:rsidRPr="00373FFE">
        <w:rPr>
          <w:rFonts w:ascii="Calibri" w:hAnsi="Calibri" w:cs="Calibri"/>
          <w:noProof/>
          <w:sz w:val="24"/>
          <w:szCs w:val="24"/>
        </w:rPr>
        <w:tab/>
        <w:t xml:space="preserve">Meara JG, Leather AJM, Hagander L, Alkire BC, Alonso N, Ameh EA, et al. Global Surgery 2030: Evidence and solutions for achieving health, welfare, and economic </w:t>
      </w:r>
      <w:r w:rsidRPr="00373FFE">
        <w:rPr>
          <w:rFonts w:ascii="Calibri" w:hAnsi="Calibri" w:cs="Calibri"/>
          <w:noProof/>
          <w:sz w:val="24"/>
          <w:szCs w:val="24"/>
        </w:rPr>
        <w:lastRenderedPageBreak/>
        <w:t xml:space="preserve">development. Lancet. 2015;386(9993):569–624. </w:t>
      </w:r>
    </w:p>
    <w:p w14:paraId="137629AD"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28. </w:t>
      </w:r>
      <w:r w:rsidRPr="00373FFE">
        <w:rPr>
          <w:rFonts w:ascii="Calibri" w:hAnsi="Calibri" w:cs="Calibri"/>
          <w:noProof/>
          <w:sz w:val="24"/>
          <w:szCs w:val="24"/>
        </w:rPr>
        <w:tab/>
        <w:t>Babhulkar S, Apte A, Barick D, Hoogervorst P, Tian Y, Wang Y. Trauma care systems in India and China. OTA Int Open Access J Orthop Trauma [Internet]. 2019 Mar [cited 2021 May 26];2(S1):e017. Available from: https://journals.lww.com/otainternational/Fulltext/2019/03011/Trauma_care_systems_in_India_and_China__A_grim.5.aspx</w:t>
      </w:r>
    </w:p>
    <w:p w14:paraId="37298327"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B37CD0">
        <w:rPr>
          <w:rFonts w:ascii="Calibri" w:hAnsi="Calibri" w:cs="Calibri"/>
          <w:noProof/>
          <w:sz w:val="24"/>
          <w:szCs w:val="24"/>
          <w:lang w:val="sv-SE"/>
        </w:rPr>
        <w:t xml:space="preserve">29. </w:t>
      </w:r>
      <w:r w:rsidRPr="00B37CD0">
        <w:rPr>
          <w:rFonts w:ascii="Calibri" w:hAnsi="Calibri" w:cs="Calibri"/>
          <w:noProof/>
          <w:sz w:val="24"/>
          <w:szCs w:val="24"/>
          <w:lang w:val="sv-SE"/>
        </w:rPr>
        <w:tab/>
        <w:t xml:space="preserve">Menon GR, Singh L, Sharma P, Yadav P, Sharma S, Kalaskar S, et al. </w:t>
      </w:r>
      <w:r w:rsidRPr="00373FFE">
        <w:rPr>
          <w:rFonts w:ascii="Calibri" w:hAnsi="Calibri" w:cs="Calibri"/>
          <w:noProof/>
          <w:sz w:val="24"/>
          <w:szCs w:val="24"/>
        </w:rPr>
        <w:t>National Burden Estimates of healthy life lost in India, 2017: an analysis using direct mortality data and indirect disability data. Lancet Glob Heal [Internet]. 2019;7(12):e1675–84. Available from: http://dx.doi.org/10.1016/S2214-109X(19)30451-6</w:t>
      </w:r>
    </w:p>
    <w:p w14:paraId="4E993693"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30. </w:t>
      </w:r>
      <w:r w:rsidRPr="00373FFE">
        <w:rPr>
          <w:rFonts w:ascii="Calibri" w:hAnsi="Calibri" w:cs="Calibri"/>
          <w:noProof/>
          <w:sz w:val="24"/>
          <w:szCs w:val="24"/>
        </w:rPr>
        <w:tab/>
        <w:t>ClinicalTrials.gov. Identifier: NCT03235388 The Trauma Audit Filters Trial (TAFT) [Internet]. 2017 [cited 2019 Apr 20]. Available from: https://clinicaltrials.gov/ct2/show/NCT03235388</w:t>
      </w:r>
    </w:p>
    <w:p w14:paraId="66CF8336"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31. </w:t>
      </w:r>
      <w:r w:rsidRPr="00373FFE">
        <w:rPr>
          <w:rFonts w:ascii="Calibri" w:hAnsi="Calibri" w:cs="Calibri"/>
          <w:noProof/>
          <w:sz w:val="24"/>
          <w:szCs w:val="24"/>
        </w:rPr>
        <w:tab/>
        <w:t xml:space="preserve">Indian Council of Medical Research. Ethical Guidelines for on Human Participants Indian Council of Medical Research. Biomed Res. 2006;1–120. </w:t>
      </w:r>
    </w:p>
    <w:p w14:paraId="41E99857"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32. </w:t>
      </w:r>
      <w:r w:rsidRPr="00373FFE">
        <w:rPr>
          <w:rFonts w:ascii="Calibri" w:hAnsi="Calibri" w:cs="Calibri"/>
          <w:noProof/>
          <w:sz w:val="24"/>
          <w:szCs w:val="24"/>
        </w:rPr>
        <w:tab/>
        <w:t>Word Health Organization. International Statistical Classification of Diseases and Related Health Problems 10th Revision (ICD-10)-WHO Version for2016 [Internet]. 2016. Available from: http://apps.who.int/classifications/icd10/browse/2016/en#/XX</w:t>
      </w:r>
    </w:p>
    <w:p w14:paraId="398626C2"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33. </w:t>
      </w:r>
      <w:r w:rsidRPr="00373FFE">
        <w:rPr>
          <w:rFonts w:ascii="Calibri" w:hAnsi="Calibri" w:cs="Calibri"/>
          <w:noProof/>
          <w:sz w:val="24"/>
          <w:szCs w:val="24"/>
        </w:rPr>
        <w:tab/>
        <w:t>EuroQol Group. EQ-5D Instruments | About EQ-5D [Internet]. [cited 2018 May 7]. Available from: https://euroqol.org/eq-5d-instruments/</w:t>
      </w:r>
    </w:p>
    <w:p w14:paraId="6A89C28E"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34. </w:t>
      </w:r>
      <w:r w:rsidRPr="00373FFE">
        <w:rPr>
          <w:rFonts w:ascii="Calibri" w:hAnsi="Calibri" w:cs="Calibri"/>
          <w:noProof/>
          <w:sz w:val="24"/>
          <w:szCs w:val="24"/>
        </w:rPr>
        <w:tab/>
        <w:t>Carey G. Quantitative Methods In Neuroscience [Internet]. Boulder, CO, USA: Department of Psychology and Neuroscience, University of Colorado; 2013. Available from: http://psych.colorado.edu/~carey/qmin/QMIN_2013_03_17.pdf</w:t>
      </w:r>
    </w:p>
    <w:p w14:paraId="41F9B8DF"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35. </w:t>
      </w:r>
      <w:r w:rsidRPr="00373FFE">
        <w:rPr>
          <w:rFonts w:ascii="Calibri" w:hAnsi="Calibri" w:cs="Calibri"/>
          <w:noProof/>
          <w:sz w:val="24"/>
          <w:szCs w:val="24"/>
        </w:rPr>
        <w:tab/>
        <w:t>R Core Team. R: A language and environment for statistical computing [Internet]. Vienna, Austria: R Foundation for Statistical Computing; 2018. Available from: https://www.r-project.org/.</w:t>
      </w:r>
    </w:p>
    <w:p w14:paraId="24362372"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36. </w:t>
      </w:r>
      <w:r w:rsidRPr="00373FFE">
        <w:rPr>
          <w:rFonts w:ascii="Calibri" w:hAnsi="Calibri" w:cs="Calibri"/>
          <w:noProof/>
          <w:sz w:val="24"/>
          <w:szCs w:val="24"/>
        </w:rPr>
        <w:tab/>
        <w:t xml:space="preserve">Courvoisier DS, Combescure C, Agoritsas T, Gayet-Ageron A, Perneger T V. Performance of logistic regression modeling: Beyond the number of events per variable, the role of data structure. J Clin Epidemiol. 2011;64(9):993–1000. </w:t>
      </w:r>
    </w:p>
    <w:p w14:paraId="4BFA9D7C"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37. </w:t>
      </w:r>
      <w:r w:rsidRPr="00373FFE">
        <w:rPr>
          <w:rFonts w:ascii="Calibri" w:hAnsi="Calibri" w:cs="Calibri"/>
          <w:noProof/>
          <w:sz w:val="24"/>
          <w:szCs w:val="24"/>
        </w:rPr>
        <w:tab/>
        <w:t>Austin PC, Steyerberg EW. The number of subjects per variable required in linear regression analyses. J Clin Epidemiol [Internet]. 2015;68(6):627–36. Available from: http://dx.doi.org/10.1016/j.jclinepi.2014.12.014</w:t>
      </w:r>
    </w:p>
    <w:p w14:paraId="68788C6A"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38. </w:t>
      </w:r>
      <w:r w:rsidRPr="00373FFE">
        <w:rPr>
          <w:rFonts w:ascii="Calibri" w:hAnsi="Calibri" w:cs="Calibri"/>
          <w:noProof/>
          <w:sz w:val="24"/>
          <w:szCs w:val="24"/>
        </w:rPr>
        <w:tab/>
        <w:t xml:space="preserve">Kularatna S, Whitty JA, Johnson NW, Jayasinghe R, Scuffham PA. EQ-5D-3L derived population norms for health related quality of life in Sri Lanka. PLoS One. 2014;9(11):1–12. </w:t>
      </w:r>
    </w:p>
    <w:p w14:paraId="73AFADB3" w14:textId="77777777" w:rsidR="00373FFE" w:rsidRPr="00B37CD0" w:rsidRDefault="00373FFE" w:rsidP="00373FFE">
      <w:pPr>
        <w:widowControl w:val="0"/>
        <w:autoSpaceDE w:val="0"/>
        <w:autoSpaceDN w:val="0"/>
        <w:adjustRightInd w:val="0"/>
        <w:spacing w:after="0" w:line="240" w:lineRule="auto"/>
        <w:ind w:left="640" w:hanging="640"/>
        <w:rPr>
          <w:rFonts w:ascii="Calibri" w:hAnsi="Calibri" w:cs="Calibri"/>
          <w:noProof/>
          <w:sz w:val="24"/>
          <w:szCs w:val="24"/>
          <w:lang w:val="sv-SE"/>
        </w:rPr>
      </w:pPr>
      <w:r w:rsidRPr="00373FFE">
        <w:rPr>
          <w:rFonts w:ascii="Calibri" w:hAnsi="Calibri" w:cs="Calibri"/>
          <w:noProof/>
          <w:sz w:val="24"/>
          <w:szCs w:val="24"/>
        </w:rPr>
        <w:t xml:space="preserve">39. </w:t>
      </w:r>
      <w:r w:rsidRPr="00373FFE">
        <w:rPr>
          <w:rFonts w:ascii="Calibri" w:hAnsi="Calibri" w:cs="Calibri"/>
          <w:noProof/>
          <w:sz w:val="24"/>
          <w:szCs w:val="24"/>
        </w:rPr>
        <w:tab/>
        <w:t xml:space="preserve">Jagnoor J, Prinja S, Nguyen H, Gabbe BJ, Peden M, Ivers RQ. Mortality and health-related quality of life following injuries and associated factors: A cohort study in Chandigarh, North India. </w:t>
      </w:r>
      <w:r w:rsidRPr="00B37CD0">
        <w:rPr>
          <w:rFonts w:ascii="Calibri" w:hAnsi="Calibri" w:cs="Calibri"/>
          <w:noProof/>
          <w:sz w:val="24"/>
          <w:szCs w:val="24"/>
          <w:lang w:val="sv-SE"/>
        </w:rPr>
        <w:t xml:space="preserve">Inj Prev. 2020;26(4):315–23. </w:t>
      </w:r>
    </w:p>
    <w:p w14:paraId="35A79B26"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B37CD0">
        <w:rPr>
          <w:rFonts w:ascii="Calibri" w:hAnsi="Calibri" w:cs="Calibri"/>
          <w:noProof/>
          <w:sz w:val="24"/>
          <w:szCs w:val="24"/>
          <w:lang w:val="sv-SE"/>
        </w:rPr>
        <w:t xml:space="preserve">40. </w:t>
      </w:r>
      <w:r w:rsidRPr="00B37CD0">
        <w:rPr>
          <w:rFonts w:ascii="Calibri" w:hAnsi="Calibri" w:cs="Calibri"/>
          <w:noProof/>
          <w:sz w:val="24"/>
          <w:szCs w:val="24"/>
          <w:lang w:val="sv-SE"/>
        </w:rPr>
        <w:tab/>
        <w:t xml:space="preserve">Geraerds AJLM, Bonsel GJ, Janssen MF, de Jongh MA, Spronk I, Polinder S, et al. </w:t>
      </w:r>
      <w:r w:rsidRPr="00373FFE">
        <w:rPr>
          <w:rFonts w:ascii="Calibri" w:hAnsi="Calibri" w:cs="Calibri"/>
          <w:noProof/>
          <w:sz w:val="24"/>
          <w:szCs w:val="24"/>
        </w:rPr>
        <w:t>The added value of the EQ-5D with a cognition dimension in injury patients with and without traumatic brain injury. Qual Life Res [Internet]. 2019;28(7):1931–9. Available from: http://dx.doi.org/10.1007/s11136-019-02144-6</w:t>
      </w:r>
    </w:p>
    <w:p w14:paraId="79F7C2AA"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41. </w:t>
      </w:r>
      <w:r w:rsidRPr="00373FFE">
        <w:rPr>
          <w:rFonts w:ascii="Calibri" w:hAnsi="Calibri" w:cs="Calibri"/>
          <w:noProof/>
          <w:sz w:val="24"/>
          <w:szCs w:val="24"/>
        </w:rPr>
        <w:tab/>
        <w:t>Wihlke G, Strömmer L, Troëng T, Brattström O. Long-term follow-up of patients treated for traumatic injury regarding physical and psychological function and health-related quality of life. Eur J Trauma Emerg Surg [Internet]. 2021;47(1):129–35. Available from: https://doi.org/10.1007/s00068-019-01170-w</w:t>
      </w:r>
    </w:p>
    <w:p w14:paraId="30F3E700"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42. </w:t>
      </w:r>
      <w:r w:rsidRPr="00373FFE">
        <w:rPr>
          <w:rFonts w:ascii="Calibri" w:hAnsi="Calibri" w:cs="Calibri"/>
          <w:noProof/>
          <w:sz w:val="24"/>
          <w:szCs w:val="24"/>
        </w:rPr>
        <w:tab/>
        <w:t xml:space="preserve">Gabbe BJ, Simpson PM, Cameron PA, Ponsford J, Lyons RA, Collie A, et al. Long-term </w:t>
      </w:r>
      <w:r w:rsidRPr="00373FFE">
        <w:rPr>
          <w:rFonts w:ascii="Calibri" w:hAnsi="Calibri" w:cs="Calibri"/>
          <w:noProof/>
          <w:sz w:val="24"/>
          <w:szCs w:val="24"/>
        </w:rPr>
        <w:lastRenderedPageBreak/>
        <w:t>health status and trajectories of seriously injured patients: A population-based longitudinal study. PLoS Med / Public Libr Sci [Internet]. 2017;14(7):e1002322. Available from: http://ovidsp.ovid.com/ovidweb.cgi?T=JS&amp;CSC=Y&amp;NEWS=N&amp;PAGE=fulltext&amp;D=med13&amp;AN=28678814http://pmt-eu.hosted.exlibrisgroup.com/openurl/46KIB_INST/46KIB_INST_services_page?sid=OVID:medline&amp;id=pmid:28678814&amp;id=doi:10.1371%2Fjournal.pmed.1002322&amp;issn=1549-1277</w:t>
      </w:r>
    </w:p>
    <w:p w14:paraId="17F1AC91"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43. </w:t>
      </w:r>
      <w:r w:rsidRPr="00373FFE">
        <w:rPr>
          <w:rFonts w:ascii="Calibri" w:hAnsi="Calibri" w:cs="Calibri"/>
          <w:noProof/>
          <w:sz w:val="24"/>
          <w:szCs w:val="24"/>
        </w:rPr>
        <w:tab/>
        <w:t xml:space="preserve">Ghosh D. Determinants of the Quality of Life Among Elderly : Comparison Between China and India. Int J Community Soc Dev. 2020;2(1):71–98. </w:t>
      </w:r>
    </w:p>
    <w:p w14:paraId="2D75E7AE"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44. </w:t>
      </w:r>
      <w:r w:rsidRPr="00373FFE">
        <w:rPr>
          <w:rFonts w:ascii="Calibri" w:hAnsi="Calibri" w:cs="Calibri"/>
          <w:noProof/>
          <w:sz w:val="24"/>
          <w:szCs w:val="24"/>
        </w:rPr>
        <w:tab/>
        <w:t xml:space="preserve">Sagar R, Dandona R, Gururaj G, Dhaliwal RS, Singh A, Ferrari A, et al. The burden of mental disorders across the states of India: the Global Burden of Disease Study 1990–2017. The Lancet Psychiatry. 2020;7(2):148–61. </w:t>
      </w:r>
    </w:p>
    <w:p w14:paraId="1F45D01C"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szCs w:val="24"/>
        </w:rPr>
      </w:pPr>
      <w:r w:rsidRPr="00373FFE">
        <w:rPr>
          <w:rFonts w:ascii="Calibri" w:hAnsi="Calibri" w:cs="Calibri"/>
          <w:noProof/>
          <w:sz w:val="24"/>
          <w:szCs w:val="24"/>
        </w:rPr>
        <w:t xml:space="preserve">45. </w:t>
      </w:r>
      <w:r w:rsidRPr="00373FFE">
        <w:rPr>
          <w:rFonts w:ascii="Calibri" w:hAnsi="Calibri" w:cs="Calibri"/>
          <w:noProof/>
          <w:sz w:val="24"/>
          <w:szCs w:val="24"/>
        </w:rPr>
        <w:tab/>
        <w:t xml:space="preserve">Das M, Angeli F, Krumeich AJSM, Van Schayck OCP. The gendered experience with respect to health-seeking behaviour in an urban slum of Kolkata, India. Int J Equity Health. 2018;17(1):1–14. </w:t>
      </w:r>
    </w:p>
    <w:p w14:paraId="544D8A1A" w14:textId="77777777" w:rsidR="00373FFE" w:rsidRPr="00373FFE" w:rsidRDefault="00373FFE" w:rsidP="00373FFE">
      <w:pPr>
        <w:widowControl w:val="0"/>
        <w:autoSpaceDE w:val="0"/>
        <w:autoSpaceDN w:val="0"/>
        <w:adjustRightInd w:val="0"/>
        <w:spacing w:after="0" w:line="240" w:lineRule="auto"/>
        <w:ind w:left="640" w:hanging="640"/>
        <w:rPr>
          <w:rFonts w:ascii="Calibri" w:hAnsi="Calibri" w:cs="Calibri"/>
          <w:noProof/>
          <w:sz w:val="24"/>
        </w:rPr>
      </w:pPr>
      <w:r w:rsidRPr="00373FFE">
        <w:rPr>
          <w:rFonts w:ascii="Calibri" w:hAnsi="Calibri" w:cs="Calibri"/>
          <w:noProof/>
          <w:sz w:val="24"/>
          <w:szCs w:val="24"/>
        </w:rPr>
        <w:t xml:space="preserve">46. </w:t>
      </w:r>
      <w:r w:rsidRPr="00373FFE">
        <w:rPr>
          <w:rFonts w:ascii="Calibri" w:hAnsi="Calibri" w:cs="Calibri"/>
          <w:noProof/>
          <w:sz w:val="24"/>
          <w:szCs w:val="24"/>
        </w:rPr>
        <w:tab/>
        <w:t>National Sample Survey Office. Key indicators of social consumption in India: Health [Internet]. Ministry of Statistics and Programme Implementation. New Delhi; 2019. Available from: http://mail.mospi.gov.in/index.php/catalog/161/download/1949</w:t>
      </w:r>
    </w:p>
    <w:p w14:paraId="6CE73AE4" w14:textId="35B8B5C5" w:rsidR="006A7886" w:rsidRPr="006A7886" w:rsidRDefault="006A7886" w:rsidP="00845A8C">
      <w:pPr>
        <w:spacing w:after="0"/>
        <w:jc w:val="both"/>
        <w:rPr>
          <w:rFonts w:cstheme="minorHAnsi"/>
          <w:b/>
          <w:bCs/>
          <w:sz w:val="24"/>
          <w:szCs w:val="24"/>
        </w:rPr>
      </w:pPr>
      <w:r>
        <w:rPr>
          <w:rFonts w:cstheme="minorHAnsi"/>
          <w:b/>
          <w:bCs/>
          <w:sz w:val="24"/>
          <w:szCs w:val="24"/>
        </w:rPr>
        <w:fldChar w:fldCharType="end"/>
      </w:r>
    </w:p>
    <w:p w14:paraId="4726C9A1" w14:textId="6FF61A02" w:rsidR="006A7886" w:rsidRPr="00845A8C" w:rsidRDefault="006A7886" w:rsidP="00845A8C">
      <w:pPr>
        <w:spacing w:after="0"/>
        <w:jc w:val="both"/>
        <w:rPr>
          <w:rFonts w:cstheme="minorHAnsi"/>
          <w:sz w:val="24"/>
          <w:szCs w:val="24"/>
        </w:rPr>
      </w:pPr>
    </w:p>
    <w:sectPr w:rsidR="006A7886" w:rsidRPr="00845A8C" w:rsidSect="00E174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2D"/>
    <w:rsid w:val="00071069"/>
    <w:rsid w:val="0017592D"/>
    <w:rsid w:val="001A66DB"/>
    <w:rsid w:val="001B64AD"/>
    <w:rsid w:val="002C11E8"/>
    <w:rsid w:val="00373FFE"/>
    <w:rsid w:val="003858F7"/>
    <w:rsid w:val="003941D0"/>
    <w:rsid w:val="003B41A1"/>
    <w:rsid w:val="004365B5"/>
    <w:rsid w:val="0045461C"/>
    <w:rsid w:val="0054502A"/>
    <w:rsid w:val="005866DC"/>
    <w:rsid w:val="005B62DB"/>
    <w:rsid w:val="005D464D"/>
    <w:rsid w:val="00624BB9"/>
    <w:rsid w:val="0064792F"/>
    <w:rsid w:val="00663E9B"/>
    <w:rsid w:val="00694676"/>
    <w:rsid w:val="006A7886"/>
    <w:rsid w:val="006F3DD1"/>
    <w:rsid w:val="00724D7C"/>
    <w:rsid w:val="00745013"/>
    <w:rsid w:val="00771898"/>
    <w:rsid w:val="007B129C"/>
    <w:rsid w:val="00811312"/>
    <w:rsid w:val="00833354"/>
    <w:rsid w:val="00845A8C"/>
    <w:rsid w:val="008B12E6"/>
    <w:rsid w:val="0091146F"/>
    <w:rsid w:val="00927688"/>
    <w:rsid w:val="00A172A7"/>
    <w:rsid w:val="00A7281C"/>
    <w:rsid w:val="00A83616"/>
    <w:rsid w:val="00B37CD0"/>
    <w:rsid w:val="00B55B5B"/>
    <w:rsid w:val="00B743DD"/>
    <w:rsid w:val="00C02295"/>
    <w:rsid w:val="00C27913"/>
    <w:rsid w:val="00C826BC"/>
    <w:rsid w:val="00CB1D41"/>
    <w:rsid w:val="00CB33BE"/>
    <w:rsid w:val="00D158F7"/>
    <w:rsid w:val="00D443CB"/>
    <w:rsid w:val="00D759C2"/>
    <w:rsid w:val="00D94351"/>
    <w:rsid w:val="00DF4DD6"/>
    <w:rsid w:val="00DF7601"/>
    <w:rsid w:val="00E143FE"/>
    <w:rsid w:val="00E174F4"/>
    <w:rsid w:val="00E51563"/>
    <w:rsid w:val="00EC4D15"/>
    <w:rsid w:val="00EC7424"/>
    <w:rsid w:val="00ED5B99"/>
    <w:rsid w:val="00FC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4F4C"/>
  <w15:chartTrackingRefBased/>
  <w15:docId w15:val="{CCEBD329-E92F-45DD-BD46-262A4717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759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6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6553">
      <w:bodyDiv w:val="1"/>
      <w:marLeft w:val="0"/>
      <w:marRight w:val="0"/>
      <w:marTop w:val="0"/>
      <w:marBottom w:val="0"/>
      <w:divBdr>
        <w:top w:val="none" w:sz="0" w:space="0" w:color="auto"/>
        <w:left w:val="none" w:sz="0" w:space="0" w:color="auto"/>
        <w:bottom w:val="none" w:sz="0" w:space="0" w:color="auto"/>
        <w:right w:val="none" w:sz="0" w:space="0" w:color="auto"/>
      </w:divBdr>
    </w:div>
    <w:div w:id="563642214">
      <w:bodyDiv w:val="1"/>
      <w:marLeft w:val="0"/>
      <w:marRight w:val="0"/>
      <w:marTop w:val="0"/>
      <w:marBottom w:val="0"/>
      <w:divBdr>
        <w:top w:val="none" w:sz="0" w:space="0" w:color="auto"/>
        <w:left w:val="none" w:sz="0" w:space="0" w:color="auto"/>
        <w:bottom w:val="none" w:sz="0" w:space="0" w:color="auto"/>
        <w:right w:val="none" w:sz="0" w:space="0" w:color="auto"/>
      </w:divBdr>
    </w:div>
    <w:div w:id="649406135">
      <w:bodyDiv w:val="1"/>
      <w:marLeft w:val="0"/>
      <w:marRight w:val="0"/>
      <w:marTop w:val="0"/>
      <w:marBottom w:val="0"/>
      <w:divBdr>
        <w:top w:val="none" w:sz="0" w:space="0" w:color="auto"/>
        <w:left w:val="none" w:sz="0" w:space="0" w:color="auto"/>
        <w:bottom w:val="none" w:sz="0" w:space="0" w:color="auto"/>
        <w:right w:val="none" w:sz="0" w:space="0" w:color="auto"/>
      </w:divBdr>
      <w:divsChild>
        <w:div w:id="469632292">
          <w:marLeft w:val="0"/>
          <w:marRight w:val="0"/>
          <w:marTop w:val="0"/>
          <w:marBottom w:val="0"/>
          <w:divBdr>
            <w:top w:val="none" w:sz="0" w:space="0" w:color="auto"/>
            <w:left w:val="none" w:sz="0" w:space="0" w:color="auto"/>
            <w:bottom w:val="none" w:sz="0" w:space="0" w:color="auto"/>
            <w:right w:val="none" w:sz="0" w:space="0" w:color="auto"/>
          </w:divBdr>
        </w:div>
        <w:div w:id="1124344373">
          <w:marLeft w:val="0"/>
          <w:marRight w:val="0"/>
          <w:marTop w:val="0"/>
          <w:marBottom w:val="0"/>
          <w:divBdr>
            <w:top w:val="none" w:sz="0" w:space="0" w:color="auto"/>
            <w:left w:val="none" w:sz="0" w:space="0" w:color="auto"/>
            <w:bottom w:val="none" w:sz="0" w:space="0" w:color="auto"/>
            <w:right w:val="none" w:sz="0" w:space="0" w:color="auto"/>
          </w:divBdr>
        </w:div>
        <w:div w:id="1306089059">
          <w:marLeft w:val="0"/>
          <w:marRight w:val="0"/>
          <w:marTop w:val="0"/>
          <w:marBottom w:val="0"/>
          <w:divBdr>
            <w:top w:val="none" w:sz="0" w:space="0" w:color="auto"/>
            <w:left w:val="none" w:sz="0" w:space="0" w:color="auto"/>
            <w:bottom w:val="none" w:sz="0" w:space="0" w:color="auto"/>
            <w:right w:val="none" w:sz="0" w:space="0" w:color="auto"/>
          </w:divBdr>
        </w:div>
        <w:div w:id="661592468">
          <w:marLeft w:val="0"/>
          <w:marRight w:val="0"/>
          <w:marTop w:val="0"/>
          <w:marBottom w:val="0"/>
          <w:divBdr>
            <w:top w:val="none" w:sz="0" w:space="0" w:color="auto"/>
            <w:left w:val="none" w:sz="0" w:space="0" w:color="auto"/>
            <w:bottom w:val="none" w:sz="0" w:space="0" w:color="auto"/>
            <w:right w:val="none" w:sz="0" w:space="0" w:color="auto"/>
          </w:divBdr>
        </w:div>
        <w:div w:id="1449159015">
          <w:marLeft w:val="0"/>
          <w:marRight w:val="0"/>
          <w:marTop w:val="0"/>
          <w:marBottom w:val="0"/>
          <w:divBdr>
            <w:top w:val="none" w:sz="0" w:space="0" w:color="auto"/>
            <w:left w:val="none" w:sz="0" w:space="0" w:color="auto"/>
            <w:bottom w:val="none" w:sz="0" w:space="0" w:color="auto"/>
            <w:right w:val="none" w:sz="0" w:space="0" w:color="auto"/>
          </w:divBdr>
        </w:div>
        <w:div w:id="2143184831">
          <w:marLeft w:val="0"/>
          <w:marRight w:val="0"/>
          <w:marTop w:val="0"/>
          <w:marBottom w:val="0"/>
          <w:divBdr>
            <w:top w:val="none" w:sz="0" w:space="0" w:color="auto"/>
            <w:left w:val="none" w:sz="0" w:space="0" w:color="auto"/>
            <w:bottom w:val="none" w:sz="0" w:space="0" w:color="auto"/>
            <w:right w:val="none" w:sz="0" w:space="0" w:color="auto"/>
          </w:divBdr>
          <w:divsChild>
            <w:div w:id="1174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292">
      <w:bodyDiv w:val="1"/>
      <w:marLeft w:val="0"/>
      <w:marRight w:val="0"/>
      <w:marTop w:val="0"/>
      <w:marBottom w:val="0"/>
      <w:divBdr>
        <w:top w:val="none" w:sz="0" w:space="0" w:color="auto"/>
        <w:left w:val="none" w:sz="0" w:space="0" w:color="auto"/>
        <w:bottom w:val="none" w:sz="0" w:space="0" w:color="auto"/>
        <w:right w:val="none" w:sz="0" w:space="0" w:color="auto"/>
      </w:divBdr>
    </w:div>
    <w:div w:id="786242660">
      <w:bodyDiv w:val="1"/>
      <w:marLeft w:val="0"/>
      <w:marRight w:val="0"/>
      <w:marTop w:val="0"/>
      <w:marBottom w:val="0"/>
      <w:divBdr>
        <w:top w:val="none" w:sz="0" w:space="0" w:color="auto"/>
        <w:left w:val="none" w:sz="0" w:space="0" w:color="auto"/>
        <w:bottom w:val="none" w:sz="0" w:space="0" w:color="auto"/>
        <w:right w:val="none" w:sz="0" w:space="0" w:color="auto"/>
      </w:divBdr>
    </w:div>
    <w:div w:id="892035991">
      <w:bodyDiv w:val="1"/>
      <w:marLeft w:val="0"/>
      <w:marRight w:val="0"/>
      <w:marTop w:val="0"/>
      <w:marBottom w:val="0"/>
      <w:divBdr>
        <w:top w:val="none" w:sz="0" w:space="0" w:color="auto"/>
        <w:left w:val="none" w:sz="0" w:space="0" w:color="auto"/>
        <w:bottom w:val="none" w:sz="0" w:space="0" w:color="auto"/>
        <w:right w:val="none" w:sz="0" w:space="0" w:color="auto"/>
      </w:divBdr>
    </w:div>
    <w:div w:id="970398897">
      <w:bodyDiv w:val="1"/>
      <w:marLeft w:val="0"/>
      <w:marRight w:val="0"/>
      <w:marTop w:val="0"/>
      <w:marBottom w:val="0"/>
      <w:divBdr>
        <w:top w:val="none" w:sz="0" w:space="0" w:color="auto"/>
        <w:left w:val="none" w:sz="0" w:space="0" w:color="auto"/>
        <w:bottom w:val="none" w:sz="0" w:space="0" w:color="auto"/>
        <w:right w:val="none" w:sz="0" w:space="0" w:color="auto"/>
      </w:divBdr>
    </w:div>
    <w:div w:id="1105886610">
      <w:bodyDiv w:val="1"/>
      <w:marLeft w:val="0"/>
      <w:marRight w:val="0"/>
      <w:marTop w:val="0"/>
      <w:marBottom w:val="0"/>
      <w:divBdr>
        <w:top w:val="none" w:sz="0" w:space="0" w:color="auto"/>
        <w:left w:val="none" w:sz="0" w:space="0" w:color="auto"/>
        <w:bottom w:val="none" w:sz="0" w:space="0" w:color="auto"/>
        <w:right w:val="none" w:sz="0" w:space="0" w:color="auto"/>
      </w:divBdr>
    </w:div>
    <w:div w:id="1253586184">
      <w:bodyDiv w:val="1"/>
      <w:marLeft w:val="0"/>
      <w:marRight w:val="0"/>
      <w:marTop w:val="0"/>
      <w:marBottom w:val="0"/>
      <w:divBdr>
        <w:top w:val="none" w:sz="0" w:space="0" w:color="auto"/>
        <w:left w:val="none" w:sz="0" w:space="0" w:color="auto"/>
        <w:bottom w:val="none" w:sz="0" w:space="0" w:color="auto"/>
        <w:right w:val="none" w:sz="0" w:space="0" w:color="auto"/>
      </w:divBdr>
    </w:div>
    <w:div w:id="1428767214">
      <w:bodyDiv w:val="1"/>
      <w:marLeft w:val="0"/>
      <w:marRight w:val="0"/>
      <w:marTop w:val="0"/>
      <w:marBottom w:val="0"/>
      <w:divBdr>
        <w:top w:val="none" w:sz="0" w:space="0" w:color="auto"/>
        <w:left w:val="none" w:sz="0" w:space="0" w:color="auto"/>
        <w:bottom w:val="none" w:sz="0" w:space="0" w:color="auto"/>
        <w:right w:val="none" w:sz="0" w:space="0" w:color="auto"/>
      </w:divBdr>
    </w:div>
    <w:div w:id="1456414351">
      <w:bodyDiv w:val="1"/>
      <w:marLeft w:val="0"/>
      <w:marRight w:val="0"/>
      <w:marTop w:val="0"/>
      <w:marBottom w:val="0"/>
      <w:divBdr>
        <w:top w:val="none" w:sz="0" w:space="0" w:color="auto"/>
        <w:left w:val="none" w:sz="0" w:space="0" w:color="auto"/>
        <w:bottom w:val="none" w:sz="0" w:space="0" w:color="auto"/>
        <w:right w:val="none" w:sz="0" w:space="0" w:color="auto"/>
      </w:divBdr>
    </w:div>
    <w:div w:id="1664892427">
      <w:bodyDiv w:val="1"/>
      <w:marLeft w:val="0"/>
      <w:marRight w:val="0"/>
      <w:marTop w:val="0"/>
      <w:marBottom w:val="0"/>
      <w:divBdr>
        <w:top w:val="none" w:sz="0" w:space="0" w:color="auto"/>
        <w:left w:val="none" w:sz="0" w:space="0" w:color="auto"/>
        <w:bottom w:val="none" w:sz="0" w:space="0" w:color="auto"/>
        <w:right w:val="none" w:sz="0" w:space="0" w:color="auto"/>
      </w:divBdr>
    </w:div>
    <w:div w:id="1867021201">
      <w:bodyDiv w:val="1"/>
      <w:marLeft w:val="0"/>
      <w:marRight w:val="0"/>
      <w:marTop w:val="0"/>
      <w:marBottom w:val="0"/>
      <w:divBdr>
        <w:top w:val="none" w:sz="0" w:space="0" w:color="auto"/>
        <w:left w:val="none" w:sz="0" w:space="0" w:color="auto"/>
        <w:bottom w:val="none" w:sz="0" w:space="0" w:color="auto"/>
        <w:right w:val="none" w:sz="0" w:space="0" w:color="auto"/>
      </w:divBdr>
    </w:div>
    <w:div w:id="1867057815">
      <w:bodyDiv w:val="1"/>
      <w:marLeft w:val="0"/>
      <w:marRight w:val="0"/>
      <w:marTop w:val="0"/>
      <w:marBottom w:val="0"/>
      <w:divBdr>
        <w:top w:val="none" w:sz="0" w:space="0" w:color="auto"/>
        <w:left w:val="none" w:sz="0" w:space="0" w:color="auto"/>
        <w:bottom w:val="none" w:sz="0" w:space="0" w:color="auto"/>
        <w:right w:val="none" w:sz="0" w:space="0" w:color="auto"/>
      </w:divBdr>
    </w:div>
    <w:div w:id="196715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9CDF-36A8-465D-BFDC-D7EDC00B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31372</Words>
  <Characters>178827</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7</cp:revision>
  <dcterms:created xsi:type="dcterms:W3CDTF">2021-10-29T07:44:00Z</dcterms:created>
  <dcterms:modified xsi:type="dcterms:W3CDTF">2021-10-29T08:19:00Z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http://www.zotero.org/styles/bmj-open</vt:lpwstr>
  </property>
  <property fmtid="{D5CDD505-2E9C-101B-9397-08002B2CF9AE}" pid="9" name="Mendeley Recent Style Name 3_1">
    <vt:lpwstr>BMJ Open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http://www.zotero.org/styles/springer-socpsych-brackets</vt:lpwstr>
  </property>
  <property fmtid="{D5CDD505-2E9C-101B-9397-08002B2CF9AE}" pid="19" name="Mendeley Recent Style Name 8_1">
    <vt:lpwstr>Springer - SocPsych (numeric,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