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3.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at least 4320 patients.</w:t>
      </w:r>
    </w:p>
    <w:p>
      <w:pPr>
        <w:pStyle w:val="BodyText"/>
      </w:pPr>
      <w:r>
        <w:rPr>
          <w:bCs/>
          <w:b/>
        </w:rPr>
        <w:t xml:space="preserve">Eligibility Criteria</w:t>
      </w:r>
    </w:p>
    <w:p>
      <w:pPr>
        <w:pStyle w:val="BodyText"/>
      </w:pPr>
      <w:r>
        <w:rPr>
          <w:iCs/>
          <w:i/>
        </w:rPr>
        <w:t xml:space="preserve">Hospitals</w:t>
      </w:r>
      <w:r>
        <w:t xml:space="preserve"> </w:t>
      </w:r>
      <w:r>
        <w:t xml:space="preserve">are secondary or tertiary hospitals in India that admit or refer/transfer for admission at least 400 patients with trauma per year.</w:t>
      </w:r>
    </w:p>
    <w:p>
      <w:pPr>
        <w:pStyle w:val="BodyText"/>
      </w:pPr>
      <w:r>
        <w:rPr>
          <w:iCs/>
          <w:i/>
        </w:rPr>
        <w:t xml:space="preserve">Clusters</w:t>
      </w:r>
      <w:r>
        <w:t xml:space="preserve"> </w:t>
      </w:r>
      <w:r>
        <w:t xml:space="preserve">are one or more units of physicians providing initial trauma care in the emergency department of tertiary hospitals in India.</w:t>
      </w:r>
    </w:p>
    <w:p>
      <w:pPr>
        <w:pStyle w:val="BodyText"/>
      </w:pPr>
      <w:r>
        <w:rPr>
          <w:iCs/>
          <w:i/>
        </w:rPr>
        <w:t xml:space="preserve">Patients 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4"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bookmarkEnd w:id="42"/>
    <w:bookmarkStart w:id="43" w:name="potential-amendments"/>
    <w:p>
      <w:pPr>
        <w:pStyle w:val="Heading2"/>
      </w:pPr>
      <w:r>
        <w:t xml:space="preserve">3.2 Potential amendments</w:t>
      </w:r>
    </w:p>
    <w:p>
      <w:pPr>
        <w:pStyle w:val="FirstParagraph"/>
      </w:pPr>
      <w:r>
        <w:t xml:space="preserve">There are ongoing discussions about re-framing the trial as a hybrid effectiveness-implementation trial and include a cost-effectiveness analysis. This would involve adding additional data collection to assess the implementation and costs of the intervention. This would involve additional funding and amended ethical approvals.</w:t>
      </w:r>
    </w:p>
    <w:p>
      <w:r>
        <w:br w:type="page"/>
      </w:r>
    </w:p>
    <w:bookmarkEnd w:id="43"/>
    <w:bookmarkEnd w:id="44"/>
    <w:bookmarkStart w:id="45" w:name="statistical-analysis"/>
    <w:p>
      <w:pPr>
        <w:pStyle w:val="Heading1"/>
      </w:pPr>
      <w:r>
        <w:t xml:space="preserve">4. Statistical analysis</w:t>
      </w:r>
    </w:p>
    <w:bookmarkEnd w:id="45"/>
    <w:bookmarkStart w:id="117" w:name="aim-and-objectives"/>
    <w:p>
      <w:pPr>
        <w:pStyle w:val="Heading1"/>
      </w:pPr>
      <w:r>
        <w:t xml:space="preserve">5. Aim and objectives</w:t>
      </w:r>
    </w:p>
    <w:bookmarkStart w:id="46" w:name="aim"/>
    <w:p>
      <w:pPr>
        <w:pStyle w:val="Heading2"/>
      </w:pPr>
      <w:r>
        <w:t xml:space="preserve">5.1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6"/>
    <w:bookmarkStart w:id="47" w:name="objectives"/>
    <w:p>
      <w:pPr>
        <w:pStyle w:val="Heading2"/>
      </w:pPr>
      <w:r>
        <w:t xml:space="preserve">5.2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7"/>
    <w:bookmarkStart w:id="56" w:name="design"/>
    <w:p>
      <w:pPr>
        <w:pStyle w:val="Heading2"/>
      </w:pPr>
      <w:r>
        <w:t xml:space="preserve">5.3 Design</w:t>
      </w:r>
    </w:p>
    <w:p>
      <w:pPr>
        <w:pStyle w:val="FirstParagraph"/>
      </w:pPr>
      <w:r>
        <w:t xml:space="preserve">This is a batched stepped-wedge cluster randomised trial, including a total of 30 (see</w:t>
      </w:r>
      <w:r>
        <w:t xml:space="preserve"> </w:t>
      </w:r>
      <w:hyperlink w:anchor="fig-trial-design">
        <w:r>
          <w:rPr>
            <w:rStyle w:val="Hyperlink"/>
          </w:rPr>
          <w:t xml:space="preserve">Figure 1</w:t>
        </w:r>
      </w:hyperlink>
      <w:r>
        <w:t xml:space="preserve">). The trial will be composed of 6 batches of identical 12-period 5-sequence design,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ook w:firstRow="0" w:lastRow="0" w:firstColumn="0" w:lastColumn="0" w:noHBand="0" w:noVBand="0" w:val="0000"/>
        <w:jc w:val="start"/>
      </w:tblPr>
      <w:tblGrid>
        <w:gridCol w:w="7920"/>
      </w:tblGrid>
      <w:tr>
        <w:tc>
          <w:tcPr/>
          <w:bookmarkStart w:id="51" w:name="fig-trial-design"/>
          <w:p>
            <w:pPr>
              <w:jc w:val="center"/>
            </w:pPr>
            <w:r>
              <w:drawing>
                <wp:inline>
                  <wp:extent cx="5334000" cy="3198592"/>
                  <wp:effectExtent b="0" l="0" r="0" t="0"/>
                  <wp:docPr descr="" title="" id="49" name="Picture"/>
                  <a:graphic>
                    <a:graphicData uri="http://schemas.openxmlformats.org/drawingml/2006/picture">
                      <pic:pic>
                        <pic:nvPicPr>
                          <pic:cNvPr descr="trial-design-figure-30-clusters-5-sequences-6-batches-6-batches-overlap-4-min-standard-care-4-min-intervention-1-transition-months-0-transition-overlap.0-staircase-months.png" id="50" name="Picture"/>
                          <pic:cNvPicPr>
                            <a:picLocks noChangeArrowheads="1" noChangeAspect="1"/>
                          </pic:cNvPicPr>
                        </pic:nvPicPr>
                        <pic:blipFill>
                          <a:blip r:embed="rId48"/>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1"/>
        </w:tc>
      </w:tr>
    </w:tbl>
    <w:p>
      <w:pPr>
        <w:pStyle w:val="BodyText"/>
      </w:pPr>
      <w:r>
        <w:t xml:space="preserve">Within the main stepped-wedge design, we will nest a staircase design to measure a range of secondary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5" w:name="fig-nested-staircase-design"/>
          <w:p>
            <w:pPr>
              <w:jc w:val="center"/>
            </w:pPr>
            <w:r>
              <w:drawing>
                <wp:inline>
                  <wp:extent cx="5334000" cy="3198592"/>
                  <wp:effectExtent b="0" l="0" r="0" t="0"/>
                  <wp:docPr descr="" title="" id="53" name="Picture"/>
                  <a:graphic>
                    <a:graphicData uri="http://schemas.openxmlformats.org/drawingml/2006/picture">
                      <pic:pic>
                        <pic:nvPicPr>
                          <pic:cNvPr descr="trial-design-figure-30-clusters-5-sequences-6-batches-6-batches-overlap-4-min-standard-care-4-min-intervention-1-transition-months-0-transition-overlap.3-staircase-months.png" id="54" name="Picture"/>
                          <pic:cNvPicPr>
                            <a:picLocks noChangeArrowheads="1" noChangeAspect="1"/>
                          </pic:cNvPicPr>
                        </pic:nvPicPr>
                        <pic:blipFill>
                          <a:blip r:embed="rId52"/>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5"/>
        </w:tc>
      </w:tr>
    </w:tbl>
    <w:bookmarkEnd w:id="56"/>
    <w:bookmarkStart w:id="58" w:name="randomisation-of-clusters"/>
    <w:p>
      <w:pPr>
        <w:pStyle w:val="Heading2"/>
      </w:pPr>
      <w:r>
        <w:t xml:space="preserve">5.4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alloted to each batch to the different intervention implementation sequences within that batch</w:t>
      </w:r>
      <w:r>
        <w:rPr>
          <w:rStyle w:val="FootnoteReference"/>
        </w:rPr>
        <w:footnoteReference w:id="57"/>
      </w:r>
      <w:r>
        <w:t xml:space="preserve">.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bookmarkEnd w:id="58"/>
    <w:bookmarkStart w:id="63" w:name="outcomes"/>
    <w:p>
      <w:pPr>
        <w:pStyle w:val="Heading2"/>
      </w:pPr>
      <w:r>
        <w:t xml:space="preserve">5.5 Outcomes</w:t>
      </w:r>
    </w:p>
    <w:bookmarkStart w:id="59" w:name="primary-outcome"/>
    <w:p>
      <w:pPr>
        <w:pStyle w:val="Heading3"/>
      </w:pPr>
      <w:r>
        <w:t xml:space="preserve">5.5.1 Primary outcome</w:t>
      </w:r>
    </w:p>
    <w:p>
      <w:pPr>
        <w:pStyle w:val="FirstParagraph"/>
      </w:pPr>
      <w:r>
        <w:t xml:space="preserve">The primary outcome will be in-hospital mortality within 30 days of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9"/>
    <w:bookmarkStart w:id="62" w:name="secondary-outcomes"/>
    <w:p>
      <w:pPr>
        <w:pStyle w:val="Heading3"/>
      </w:pPr>
      <w:r>
        <w:t xml:space="preserve">5.5.2 Secondary outcomes</w:t>
      </w:r>
    </w:p>
    <w:bookmarkStart w:id="60" w:name="Xdb0e69ac2f6fc09a45efb162c3cc667f9413bd2"/>
    <w:p>
      <w:pPr>
        <w:pStyle w:val="Heading4"/>
      </w:pPr>
      <w:r>
        <w:t xml:space="preserve">Collected using the main stepped-wedge design</w:t>
      </w:r>
    </w:p>
    <w:p>
      <w:pPr>
        <w:numPr>
          <w:ilvl w:val="0"/>
          <w:numId w:val="1003"/>
        </w:numPr>
        <w:pStyle w:val="Compact"/>
      </w:pPr>
      <w:r>
        <w:t xml:space="preserve">All cause mortality within 24 hours, 30 days and three months of arrival at the emergency department.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60"/>
    <w:bookmarkStart w:id="61" w:name="Xac098b8b976789377f406b0c926b7e67113ef4f"/>
    <w:p>
      <w:pPr>
        <w:pStyle w:val="Heading4"/>
      </w:pPr>
      <w:r>
        <w:t xml:space="preserve">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Data on this outcome will be collected in person if the patient is still in hospital, or by phone if the patient has been discharged. This data will also be collected using a nested staircase design.</w:t>
      </w:r>
    </w:p>
    <w:bookmarkEnd w:id="61"/>
    <w:bookmarkEnd w:id="62"/>
    <w:bookmarkEnd w:id="63"/>
    <w:bookmarkStart w:id="64" w:name="statistical-hypotheses"/>
    <w:p>
      <w:pPr>
        <w:pStyle w:val="Heading2"/>
      </w:pPr>
      <w:r>
        <w:t xml:space="preserve">5.6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4"/>
    <w:bookmarkStart w:id="71" w:name="sample-size-calculations"/>
    <w:p>
      <w:pPr>
        <w:pStyle w:val="Heading2"/>
      </w:pPr>
      <w:r>
        <w:t xml:space="preserve">5.7 Sample size calculations</w:t>
      </w:r>
    </w:p>
    <w:bookmarkStart w:id="69" w:name="Xba08c803f10f7c8cd9a777b53b902d2761b3046"/>
    <w:p>
      <w:pPr>
        <w:pStyle w:val="Heading4"/>
      </w:pPr>
      <w:r>
        <w:t xml:space="preserve">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 4</w:t>
      </w:r>
      <w:r>
        <w:t xml:space="preserve">. This effect is a conservative estimate and the reduction equals a risk ratio of 0.75, which would be clinically important while also being consistent with our pilot study and updated systematic review.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5–8</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8" w:name="fig-power-curves"/>
          <w:p>
            <w:pPr>
              <w:jc w:val="center"/>
            </w:pPr>
            <w:r>
              <w:drawing>
                <wp:inline>
                  <wp:extent cx="5334000" cy="2369551"/>
                  <wp:effectExtent b="0" l="0" r="0" t="0"/>
                  <wp:docPr descr="" title="" id="66" name="Picture"/>
                  <a:graphic>
                    <a:graphicData uri="http://schemas.openxmlformats.org/drawingml/2006/picture">
                      <pic:pic>
                        <pic:nvPicPr>
                          <pic:cNvPr descr="./combined-power-curves.png" id="67" name="Picture"/>
                          <pic:cNvPicPr>
                            <a:picLocks noChangeArrowheads="1" noChangeAspect="1"/>
                          </pic:cNvPicPr>
                        </pic:nvPicPr>
                        <pic:blipFill>
                          <a:blip r:embed="rId65"/>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8"/>
        </w:tc>
      </w:tr>
    </w:tbl>
    <w:bookmarkEnd w:id="69"/>
    <w:bookmarkStart w:id="70" w:name="X37fc7b5fe6b5980542d53d3e88dadde59566406"/>
    <w:p>
      <w:pPr>
        <w:pStyle w:val="Heading4"/>
      </w:pPr>
      <w:r>
        <w:t xml:space="preserve">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9</w:t>
      </w:r>
      <w:r>
        <w:t xml:space="preserve">, an increase in EQ5D5L health status from 70 during care to 75 after training</w:t>
      </w:r>
      <w:r>
        <w:rPr>
          <w:vertAlign w:val="superscript"/>
        </w:rPr>
        <w:t xml:space="preserve">10</w:t>
      </w:r>
      <w:r>
        <w:t xml:space="preserve">, and finally a decrease in disability from a baseline value of 25 during standard care to 22.5 after training</w:t>
      </w:r>
      <w:r>
        <w:rPr>
          <w:vertAlign w:val="superscript"/>
        </w:rPr>
        <w:t xml:space="preserve">11</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an these effects by including four patients in each cluster in each period. Accounting for loss to follow-up, we will include at least six patients per cluster per month. These patients will be a random subset of patients included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0"/>
    <w:bookmarkEnd w:id="71"/>
    <w:bookmarkStart w:id="74" w:name="statistical-principles"/>
    <w:p>
      <w:pPr>
        <w:pStyle w:val="Heading2"/>
      </w:pPr>
      <w:r>
        <w:t xml:space="preserve">5.8 Statistical principles</w:t>
      </w:r>
    </w:p>
    <w:bookmarkStart w:id="72" w:name="statistical-software"/>
    <w:p>
      <w:pPr>
        <w:pStyle w:val="Heading3"/>
      </w:pPr>
      <w:r>
        <w:t xml:space="preserve">5.8.1 Statistical software</w:t>
      </w:r>
    </w:p>
    <w:p>
      <w:pPr>
        <w:pStyle w:val="FirstParagraph"/>
      </w:pPr>
      <w:r>
        <w:t xml:space="preserve">We will use the R Statistical Software for all analyses</w:t>
      </w:r>
      <w:r>
        <w:rPr>
          <w:vertAlign w:val="superscript"/>
        </w:rPr>
        <w:t xml:space="preserve">12</w:t>
      </w:r>
      <w:r>
        <w:t xml:space="preserve">.</w:t>
      </w:r>
    </w:p>
    <w:bookmarkEnd w:id="72"/>
    <w:bookmarkStart w:id="73" w:name="Xb3701c3e4f516f3436ab2f14fbfd68958c11744"/>
    <w:p>
      <w:pPr>
        <w:pStyle w:val="Heading3"/>
      </w:pPr>
      <w:r>
        <w:t xml:space="preserve">5.8.2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3"/>
    <w:bookmarkEnd w:id="74"/>
    <w:bookmarkStart w:id="75" w:name="analysis-populations"/>
    <w:p>
      <w:pPr>
        <w:pStyle w:val="Heading2"/>
      </w:pPr>
      <w:r>
        <w:t xml:space="preserve">5.9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13</w:t>
      </w:r>
      <w:r>
        <w:t xml:space="preserve">.</w:t>
      </w:r>
    </w:p>
    <w:bookmarkEnd w:id="75"/>
    <w:bookmarkStart w:id="78" w:name="baseline-analyses"/>
    <w:p>
      <w:pPr>
        <w:pStyle w:val="Heading2"/>
      </w:pPr>
      <w:r>
        <w:t xml:space="preserve">5.10 Baseline analyses</w:t>
      </w:r>
    </w:p>
    <w:bookmarkStart w:id="76" w:name="cluster-characteristics"/>
    <w:p>
      <w:pPr>
        <w:pStyle w:val="Heading3"/>
      </w:pPr>
      <w:r>
        <w:t xml:space="preserve">5.10.1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6"/>
    <w:bookmarkStart w:id="77" w:name="patient-characteristics"/>
    <w:p>
      <w:pPr>
        <w:pStyle w:val="Heading3"/>
      </w:pPr>
      <w:r>
        <w:t xml:space="preserve">5.10.2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7"/>
    <w:bookmarkEnd w:id="78"/>
    <w:bookmarkStart w:id="79" w:name="interim-analysis"/>
    <w:p>
      <w:pPr>
        <w:pStyle w:val="Heading2"/>
      </w:pPr>
      <w:r>
        <w:t xml:space="preserve">5.11 Interim analysis</w:t>
      </w:r>
    </w:p>
    <w:p>
      <w:pPr>
        <w:pStyle w:val="FirstParagraph"/>
      </w:pPr>
      <w:r>
        <w:t xml:space="preserve">There will be one interim analyses after half of the batches have completed the trial. The interim analyses will be assessed by the joint Trial Steering and Data Monitoring Committee. The interim analysis will include the baseline analyses including the frequencies and proportions of the primary outcome in the intervention and control arms. We will not perform any formal hypothesis testing as part of our planned interim analyses.</w:t>
      </w:r>
    </w:p>
    <w:bookmarkEnd w:id="79"/>
    <w:bookmarkStart w:id="103" w:name="analysis-of-the-primary-outcome"/>
    <w:p>
      <w:pPr>
        <w:pStyle w:val="Heading2"/>
      </w:pPr>
      <w:r>
        <w:t xml:space="preserve">5.12 Analysis of the primary outcome</w:t>
      </w:r>
    </w:p>
    <w:p>
      <w:pPr>
        <w:pStyle w:val="FirstParagraph"/>
      </w:pPr>
      <w:r>
        <w:t xml:space="preserve">The primary outcomes is in-hospital mortality within 30 days of arrival at the emergency department and will be analysed as a dichotomous variable. We will estimate the primary intervention effect as the OR of death between the ATLS</w:t>
      </w:r>
      <w:r>
        <w:rPr>
          <w:vertAlign w:val="superscript"/>
        </w:rPr>
        <w:t xml:space="preserve">®</w:t>
      </w:r>
      <w:r>
        <w:t xml:space="preserve"> </w:t>
      </w:r>
      <w:r>
        <w:t xml:space="preserve">and standard care arms, with an OR &lt; 1 indicating lower odds of death in the ATLS</w:t>
      </w:r>
      <w:r>
        <w:rPr>
          <w:vertAlign w:val="superscript"/>
        </w:rPr>
        <w:t xml:space="preserve">®</w:t>
      </w:r>
      <w:r>
        <w:t xml:space="preserve"> </w:t>
      </w:r>
      <w:r>
        <w:t xml:space="preserve">arm compared to the standard care arm and vice versa.</w:t>
      </w:r>
    </w:p>
    <w:bookmarkStart w:id="87" w:name="main-analyses"/>
    <w:p>
      <w:pPr>
        <w:pStyle w:val="Heading3"/>
      </w:pPr>
      <w:r>
        <w:t xml:space="preserve">5.12.1 Main analyses</w:t>
      </w:r>
    </w:p>
    <w:bookmarkStart w:id="84" w:name="Xdc460f49967aff9b7dad1a3addeafc33b74ab95"/>
    <w:p>
      <w:pPr>
        <w:pStyle w:val="Heading4"/>
      </w:pPr>
      <w:r>
        <w:t xml:space="preserve">Mixed effects binomial model with logit link</w:t>
      </w:r>
    </w:p>
    <w:p>
      <w:pPr>
        <w:pStyle w:val="FirstParagraph"/>
      </w:pPr>
      <w:r>
        <w:t xml:space="preserve">We will use a mixed effects binomial model with a logit link to estimate the OR. We will include fixed effects for period as a categorical variable and a fixed effect for intervention exposure</w:t>
      </w:r>
      <w:r>
        <w:rPr>
          <w:rStyle w:val="FootnoteReference"/>
        </w:rPr>
        <w:footnoteReference w:id="80"/>
      </w:r>
      <w:r>
        <w:t xml:space="preserve">. The primary analysis will allow for clustering as a random cluster and random cluster by period effect</w:t>
      </w:r>
      <w:r>
        <w:rPr>
          <w:rStyle w:val="FootnoteReference"/>
        </w:rPr>
        <w:footnoteReference w:id="81"/>
      </w:r>
      <w:r>
        <w:t xml:space="preserve">, both assumed to follow a normal distribution. The full model is specified in</w:t>
      </w:r>
      <w:r>
        <w:t xml:space="preserve"> </w:t>
      </w:r>
      <w:hyperlink w:anchor="eq-logit-model">
        <w:r>
          <w:rPr>
            <w:rStyle w:val="Hyperlink"/>
          </w:rPr>
          <w:t xml:space="preserve">Equation 1</w:t>
        </w:r>
      </w:hyperlink>
      <w:r>
        <w:t xml:space="preserve">. To correct the potential inflation of the type I error rate due to small number of clusters, a correction for a small number of clusters will be applied, but the correction that will be selected will be based on the best available evidence available closer to the time, and it may differ for the outcomes collected via the complete and incomplete designs. This model will be fitted using residual pseudo-likelihood estimation based on linearization with subject-specific expansion (RSPL).</w:t>
      </w:r>
    </w:p>
    <w:p>
      <w:pPr>
        <w:pStyle w:val="BodyText"/>
      </w:pPr>
      <w:bookmarkStart w:id="82" w:name="eq-logit-model"/>
      <m:oMathPara>
        <m:oMathParaPr>
          <m:jc m:val="center"/>
        </m:oMathParaPr>
        <m:oMath>
          <m:r>
            <m:rPr>
              <m:nor/>
              <m:sty m:val="p"/>
            </m:rPr>
            <m:t>logit</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m:t>
              </m:r>
            </m:e>
          </m:d>
        </m:oMath>
      </m:oMathPara>
      <w:bookmarkEnd w:id="82"/>
    </w:p>
    <w:p>
      <w:pPr>
        <w:pStyle w:val="FirstParagraph"/>
      </w:pPr>
      <w:r>
        <w:t xml:space="preserve">Where:</w:t>
      </w:r>
    </w:p>
    <w:p>
      <w:pPr>
        <w:numPr>
          <w:ilvl w:val="0"/>
          <w:numId w:val="1006"/>
        </w:numPr>
        <w:pStyle w:val="Compact"/>
      </w:pPr>
      <m:oMath>
        <m:r>
          <m:rPr>
            <m:no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numPr>
          <w:ilvl w:val="0"/>
          <w:numId w:val="1006"/>
        </w:numPr>
        <w:pStyle w:val="Compact"/>
      </w:pPr>
      <m:oMath>
        <m:r>
          <m:t>μ</m:t>
        </m:r>
      </m:oMath>
      <w:r>
        <w:t xml:space="preserve">: the intercept, representing the baseline log-odds of the outcome when all predictors are set to 1.</w:t>
      </w:r>
    </w:p>
    <w:p>
      <w:pPr>
        <w:numPr>
          <w:ilvl w:val="0"/>
          <w:numId w:val="1006"/>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so that there is a total of 72 period effects.</w:t>
      </w:r>
      <w:r>
        <w:rPr>
          <w:rStyle w:val="FootnoteReference"/>
        </w:rPr>
        <w:footnoteReference w:id="83"/>
      </w:r>
    </w:p>
    <w:p>
      <w:pPr>
        <w:numPr>
          <w:ilvl w:val="0"/>
          <w:numId w:val="1006"/>
        </w:numPr>
        <w:pStyle w:val="Compact"/>
      </w:pPr>
      <m:oMath>
        <m:r>
          <m:t>θ</m:t>
        </m:r>
      </m:oMath>
      <w:r>
        <w:t xml:space="preserve">: the fixed effect of intervention exposure, representing the effect of ATLS® exposure on the probability of death.</w:t>
      </w:r>
    </w:p>
    <w:p>
      <w:pPr>
        <w:numPr>
          <w:ilvl w:val="0"/>
          <w:numId w:val="1006"/>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w:t>
      </w:r>
      <w:r>
        <w:rPr>
          <w:vertAlign w:val="superscript"/>
        </w:rPr>
        <w:t xml:space="preserve">®</w:t>
      </w:r>
      <w:r>
        <w:t xml:space="preserve"> </w:t>
      </w:r>
      <w:r>
        <w:t xml:space="preserve">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06"/>
        </w:numPr>
        <w:pStyle w:val="Compact"/>
      </w:pPr>
      <m:oMath>
        <m:sSub>
          <m:e>
            <m:r>
              <m:t>α</m:t>
            </m:r>
          </m:e>
          <m:sub>
            <m:r>
              <m:t>b</m:t>
            </m:r>
            <m:r>
              <m:t>k</m:t>
            </m:r>
          </m:sub>
        </m:sSub>
      </m:oMath>
      <w:r>
        <w:t xml:space="preserve">: the random effect of cluster</w:t>
      </w:r>
      <w:r>
        <w:t xml:space="preserve"> </w:t>
      </w:r>
      <m:oMath>
        <m:r>
          <m:t>k</m:t>
        </m:r>
      </m:oMath>
      <w:r>
        <w:t xml:space="preserve"> </w:t>
      </w:r>
      <w:r>
        <w:t xml:space="preserve">in batch</w:t>
      </w:r>
      <w:r>
        <w:t xml:space="preserve"> </w:t>
      </w:r>
      <m:oMath>
        <m:r>
          <m:t>b</m:t>
        </m:r>
      </m:oMath>
      <w:r>
        <w:t xml:space="preserve">, representing the variability in outcomes between different clusters (hospitals) across batches.</w:t>
      </w:r>
    </w:p>
    <w:p>
      <w:pPr>
        <w:numPr>
          <w:ilvl w:val="0"/>
          <w:numId w:val="1006"/>
        </w:numPr>
        <w:pStyle w:val="Compact"/>
      </w:pPr>
      <m:oMath>
        <m:sSub>
          <m:e>
            <m:r>
              <m:t>γ</m:t>
            </m:r>
          </m:e>
          <m:sub>
            <m:r>
              <m:t>b</m:t>
            </m:r>
            <m:r>
              <m:t>k</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accounting for the random variation within clusters across periods and batches, including potential interaction effects between clusters and time.</w:t>
      </w:r>
    </w:p>
    <w:p>
      <w:pPr>
        <w:pStyle w:val="FirstParagraph"/>
      </w:pPr>
      <w:r>
        <w:t xml:space="preserve">We will present the effect of ATLS</w:t>
      </w:r>
      <w:r>
        <w:rPr>
          <w:vertAlign w:val="superscript"/>
        </w:rPr>
        <w:t xml:space="preserve">®</w:t>
      </w:r>
      <w:r>
        <w:t xml:space="preserve"> </w:t>
      </w:r>
      <w:r>
        <w:t xml:space="preserve">exposure as an odds ratio (OR) for mortality with an associated 95% CI, using the standard care arm as the reference. Additionally, we will present the risk difference with a 95% CI. The randomization within each batch will be balanced based on cluster size, defined as the expected monthly volume of eligible patient participants. Therefore, no further adjustment for cluster size will be made in the main analysis.</w:t>
      </w:r>
    </w:p>
    <w:bookmarkEnd w:id="84"/>
    <w:bookmarkStart w:id="86" w:name="model-with-identify-link"/>
    <w:p>
      <w:pPr>
        <w:pStyle w:val="Heading4"/>
      </w:pPr>
      <w:r>
        <w:t xml:space="preserve">Model with identify link</w:t>
      </w:r>
    </w:p>
    <w:p>
      <w:pPr>
        <w:pStyle w:val="FirstParagraph"/>
      </w:pPr>
      <w:r>
        <w:t xml:space="preserve">We will use an identity link used to estimate the risk difference, meaning that the coefficient will be interpreted as the difference in the probability of death between the ATLS</w:t>
      </w:r>
      <w:r>
        <w:rPr>
          <w:vertAlign w:val="superscript"/>
        </w:rPr>
        <w:t xml:space="preserve">®</w:t>
      </w:r>
      <w:r>
        <w:t xml:space="preserve"> </w:t>
      </w:r>
      <w:r>
        <w:t xml:space="preserve">and standard care arms, as an alternative to the OR. We will present the risk difference with a 95% CI. This model is specified in</w:t>
      </w:r>
      <w:r>
        <w:t xml:space="preserve"> </w:t>
      </w:r>
      <w:hyperlink w:anchor="eq-identity-model">
        <w:r>
          <w:rPr>
            <w:rStyle w:val="Hyperlink"/>
          </w:rPr>
          <w:t xml:space="preserve">Equation 2</w:t>
        </w:r>
      </w:hyperlink>
      <w:r>
        <w:t xml:space="preserve"> </w:t>
      </w:r>
      <w:r>
        <w:t xml:space="preserve">and will also be fitted using RSPL. If the binomial model with the identity link does not converge then only a odds ratio will be reported.</w:t>
      </w:r>
    </w:p>
    <w:p>
      <w:pPr>
        <w:pStyle w:val="BodyText"/>
      </w:pPr>
      <w:bookmarkStart w:id="85" w:name="eq-identity-model"/>
      <m:oMathPara>
        <m:oMathParaPr>
          <m:jc m:val="center"/>
        </m:oMathParaPr>
        <m:oMath>
          <m:r>
            <m:rPr>
              <m:nor/>
              <m:sty m:val="p"/>
            </m:rPr>
            <m:t>Pr</m:t>
          </m:r>
          <m:d>
            <m:dPr>
              <m:begChr m:val="("/>
              <m:endChr m:val=")"/>
              <m:sepChr m:val=""/>
              <m:grow/>
            </m:dPr>
            <m:e>
              <m:sSub>
                <m:e>
                  <m:r>
                    <m:t>Y</m:t>
                  </m:r>
                </m:e>
                <m:sub>
                  <m:r>
                    <m:t>b</m:t>
                  </m:r>
                  <m:r>
                    <m:t>k</m:t>
                  </m:r>
                  <m:r>
                    <m:t>t</m:t>
                  </m:r>
                  <m:r>
                    <m:t>i</m:t>
                  </m:r>
                </m:sub>
              </m:sSub>
              <m:r>
                <m:rPr>
                  <m:sty m:val="p"/>
                </m:rPr>
                <m:t>=</m:t>
              </m:r>
              <m:r>
                <m:t>1</m:t>
              </m:r>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2</m:t>
              </m:r>
            </m:e>
          </m:d>
        </m:oMath>
      </m:oMathPara>
      <w:bookmarkEnd w:id="85"/>
    </w:p>
    <w:p>
      <w:pPr>
        <w:pStyle w:val="FirstParagraph"/>
      </w:pPr>
      <w:r>
        <w:t xml:space="preserve">Where:</w:t>
      </w:r>
    </w:p>
    <w:p>
      <w:pPr>
        <w:numPr>
          <w:ilvl w:val="0"/>
          <w:numId w:val="1007"/>
        </w:numPr>
        <w:pStyle w:val="Compact"/>
      </w:pPr>
      <m:oMath>
        <m:r>
          <m:t>μ</m:t>
        </m:r>
      </m:oMath>
      <w:r>
        <w:t xml:space="preserve">: the intercept, representing the baseline probability of the outcome when all predictors are zero.</w:t>
      </w:r>
    </w:p>
    <w:bookmarkEnd w:id="86"/>
    <w:bookmarkEnd w:id="87"/>
    <w:bookmarkStart w:id="97" w:name="sensitivity-analyses"/>
    <w:p>
      <w:pPr>
        <w:pStyle w:val="Heading3"/>
      </w:pPr>
      <w:r>
        <w:t xml:space="preserve">5.12.2 Sensitivity analyses</w:t>
      </w:r>
    </w:p>
    <w:p>
      <w:pPr>
        <w:pStyle w:val="FirstParagraph"/>
      </w:pPr>
      <w:r>
        <w:t xml:space="preserve">The sensitivity analyses will be conducted to assess the robustness of the main analysis results to different model specifications. We will first model the primary outcome using an identity link function to estimate the risk difference instead of the OR. Henceforth, each additional sensitivity analyses will be operationalised using two separate models, one with the logit link and one with the identity link. We will first explore more complex correlation structures. We will then model time using a spline function. Finally, we will conduct a fully adjusted covariate analysis.</w:t>
      </w:r>
    </w:p>
    <w:bookmarkStart w:id="90" w:name="X34badd1093e9e7c7bfe97980565489a18ac7362"/>
    <w:p>
      <w:pPr>
        <w:pStyle w:val="Heading4"/>
      </w:pPr>
      <w:r>
        <w:t xml:space="preserve">Models with different correlation structure</w:t>
      </w:r>
    </w:p>
    <w:p>
      <w:pPr>
        <w:pStyle w:val="FirstParagraph"/>
      </w:pPr>
      <w:r>
        <w:t xml:space="preserve">We will explore if models with more complicated correlation structures are a better fit to the data. These models are not being used as our primary analysis models as there is limited understanding as to when such models will converge and how to choose between the various different correlation structures which might be plausible. First, we will include a discrete time decay correlation structure including a random cluster effect with auto-regressive structure (AR(1)), described in</w:t>
      </w:r>
      <w:r>
        <w:t xml:space="preserve"> </w:t>
      </w:r>
      <w:hyperlink w:anchor="eq-ar1">
        <w:r>
          <w:rPr>
            <w:rStyle w:val="Hyperlink"/>
          </w:rPr>
          <w:t xml:space="preserve">Equation 3</w:t>
        </w:r>
      </w:hyperlink>
      <w:r>
        <w:t xml:space="preserve">.</w:t>
      </w:r>
    </w:p>
    <w:p>
      <w:pPr>
        <w:pStyle w:val="BodyText"/>
      </w:pPr>
      <w:bookmarkStart w:id="8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3</m:t>
              </m:r>
            </m:e>
          </m:d>
        </m:oMath>
      </m:oMathPara>
      <w:bookmarkEnd w:id="88"/>
    </w:p>
    <w:p>
      <w:pPr>
        <w:pStyle w:val="FirstParagraph"/>
      </w:pPr>
      <w:r>
        <w:t xml:space="preserve">Where:</w:t>
      </w:r>
    </w:p>
    <w:p>
      <w:pPr>
        <w:numPr>
          <w:ilvl w:val="0"/>
          <w:numId w:val="1008"/>
        </w:numPr>
        <w:pStyle w:val="Compact"/>
      </w:pPr>
      <m:oMath>
        <m:r>
          <m:t>ρ</m:t>
        </m:r>
      </m:oMath>
      <w:r>
        <w:t xml:space="preserve">: the correlation between the random effects of two consecutive periods, the period</w:t>
      </w:r>
      <w:r>
        <w:t xml:space="preserve"> </w:t>
      </w:r>
      <m:oMath>
        <m:r>
          <m:t>t</m:t>
        </m:r>
      </m:oMath>
      <w:r>
        <w:t xml:space="preserve"> </w:t>
      </w:r>
      <w:r>
        <w:t xml:space="preserve">and the period</w:t>
      </w:r>
      <w:r>
        <w:t xml:space="preserve"> </w:t>
      </w:r>
      <m:oMath>
        <m:r>
          <m:t>t</m:t>
        </m:r>
        <m:r>
          <m:rPr>
            <m:sty m:val="p"/>
          </m:rPr>
          <m:t>−</m:t>
        </m:r>
        <m:r>
          <m:t>1</m:t>
        </m:r>
      </m:oMath>
      <w:r>
        <w:t xml:space="preserve">, reflecting how outcomes in one period are correlated with outcomes in the previous period within the same cluster.</w:t>
      </w:r>
    </w:p>
    <w:p>
      <w:pPr>
        <w:numPr>
          <w:ilvl w:val="0"/>
          <w:numId w:val="1008"/>
        </w:numPr>
        <w:pStyle w:val="Compact"/>
      </w:pPr>
      <m:oMath>
        <m:sSub>
          <m:e>
            <m:r>
              <m:t>α</m:t>
            </m:r>
          </m:e>
          <m:sub>
            <m:r>
              <m:t>b</m:t>
            </m:r>
            <m:r>
              <m:t>k</m:t>
            </m:r>
            <m:r>
              <m:rPr>
                <m:sty m:val="p"/>
              </m:rPr>
              <m:t>,</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This represents the variation in the outcome that is specific to each cluster and period, accounting for time-related effects.</w:t>
      </w:r>
    </w:p>
    <w:p>
      <w:pPr>
        <w:numPr>
          <w:ilvl w:val="0"/>
          <w:numId w:val="1008"/>
        </w:numPr>
        <w:pStyle w:val="Compact"/>
      </w:pPr>
      <m:oMath>
        <m:sSub>
          <m:e>
            <m:r>
              <m:t>ϵ</m:t>
            </m:r>
          </m:e>
          <m:sub>
            <m:r>
              <m:t>t</m:t>
            </m:r>
          </m:sub>
        </m:sSub>
      </m:oMath>
      <w:r>
        <w:t xml:space="preserve"> </w:t>
      </w:r>
      <w:r>
        <w:t xml:space="preserve">is the error term for period</w:t>
      </w:r>
      <w:r>
        <w:t xml:space="preserve"> </w:t>
      </w:r>
      <m:oMath>
        <m:r>
          <m:t>t</m:t>
        </m:r>
      </m:oMath>
      <w:r>
        <w:t xml:space="preserve">, which is assumed to be normally distributed with mean 0 and variance</w:t>
      </w:r>
      <w:r>
        <w:t xml:space="preserve"> </w:t>
      </w:r>
      <m:oMath>
        <m:sSubSup>
          <m:e>
            <m:r>
              <m:t>σ</m:t>
            </m:r>
          </m:e>
          <m:sub>
            <m:r>
              <m:t>α</m:t>
            </m:r>
          </m:sub>
          <m:sup>
            <m:r>
              <m:t>2</m:t>
            </m:r>
          </m:sup>
        </m:sSubSup>
      </m:oMath>
      <w:r>
        <w:t xml:space="preserve">.</w:t>
      </w:r>
    </w:p>
    <w:p>
      <w:pPr>
        <w:pStyle w:val="FirstParagraph"/>
      </w:pPr>
      <w:r>
        <w:t xml:space="preserve">To allow for the randomisation by batches, we will also include a different secular trend for each batch as a random effect interaction term between batch and period. The full model is specified in</w:t>
      </w:r>
      <w:r>
        <w:t xml:space="preserve"> </w:t>
      </w:r>
      <w:hyperlink w:anchor="eq-logit-ar1">
        <w:r>
          <w:rPr>
            <w:rStyle w:val="Hyperlink"/>
          </w:rPr>
          <w:t xml:space="preserve">Equation 4</w:t>
        </w:r>
      </w:hyperlink>
      <w:r>
        <w:t xml:space="preserve">.</w:t>
      </w:r>
    </w:p>
    <w:p>
      <w:pPr>
        <w:pStyle w:val="BodyText"/>
      </w:pPr>
      <w:bookmarkStart w:id="89" w:name="eq-logit-ar1"/>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r>
                <m:rPr>
                  <m:sty m:val="p"/>
                </m:rPr>
                <m:t>,</m:t>
              </m:r>
              <m:r>
                <m:t>t</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4</m:t>
              </m:r>
            </m:e>
          </m:d>
        </m:oMath>
      </m:oMathPara>
      <w:bookmarkEnd w:id="89"/>
    </w:p>
    <w:p>
      <w:pPr>
        <w:pStyle w:val="FirstParagraph"/>
      </w:pPr>
      <w:r>
        <w:t xml:space="preserve">Where:</w:t>
      </w:r>
    </w:p>
    <w:p>
      <w:pPr>
        <w:numPr>
          <w:ilvl w:val="0"/>
          <w:numId w:val="1009"/>
        </w:numPr>
        <w:pStyle w:val="Compact"/>
      </w:pPr>
      <m:oMath>
        <m:r>
          <m:t>g</m:t>
        </m:r>
        <m:d>
          <m:dPr>
            <m:begChr m:val="("/>
            <m:endChr m:val=")"/>
            <m:sepChr m:val=""/>
            <m:grow/>
          </m:dPr>
          <m:e>
            <m:r>
              <m:rPr>
                <m:sty m:val="p"/>
              </m:rPr>
              <m:t>⋅</m:t>
            </m:r>
          </m:e>
        </m:d>
      </m:oMath>
      <w:r>
        <w:t xml:space="preserve">: the link function.</w:t>
      </w:r>
    </w:p>
    <w:p>
      <w:pPr>
        <w:numPr>
          <w:ilvl w:val="0"/>
          <w:numId w:val="1009"/>
        </w:numPr>
        <w:pStyle w:val="Compact"/>
      </w:pPr>
      <m:oMath>
        <m:sSub>
          <m:e>
            <m:r>
              <m:t>α</m:t>
            </m:r>
          </m:e>
          <m:sub>
            <m:r>
              <m:t>b</m:t>
            </m:r>
            <m:r>
              <m:t>k</m:t>
            </m:r>
            <m:r>
              <m:rPr>
                <m:sty m:val="p"/>
              </m:rPr>
              <m:t>,</m:t>
            </m:r>
            <m:r>
              <m:t>t</m:t>
            </m:r>
          </m:sub>
        </m:sSub>
      </m:oMath>
      <w:r>
        <w:t xml:space="preserve">: the updated random effect of cluster</w:t>
      </w:r>
      <w:r>
        <w:t xml:space="preserve"> </w:t>
      </w:r>
      <m:oMath>
        <m:r>
          <m:t>k</m:t>
        </m:r>
      </m:oMath>
      <w:r>
        <w:t xml:space="preserve"> </w:t>
      </w:r>
      <w:r>
        <w:t xml:space="preserve">in batch</w:t>
      </w:r>
      <w:r>
        <w:t xml:space="preserve"> </w:t>
      </w:r>
      <m:oMath>
        <m:r>
          <m:t>b</m:t>
        </m:r>
      </m:oMath>
      <w:r>
        <w:t xml:space="preserve"> </w:t>
      </w:r>
      <w:r>
        <w:t xml:space="preserve">during period</w:t>
      </w:r>
      <w:r>
        <w:t xml:space="preserve"> </w:t>
      </w:r>
      <m:oMath>
        <m:r>
          <m:t>t</m:t>
        </m:r>
      </m:oMath>
      <w:r>
        <w:t xml:space="preserve"> </w:t>
      </w:r>
      <w:r>
        <w:t xml:space="preserve">with the AR(1) correlation structure. This accounts for correlation between adjacent periods in the same cluster.</w:t>
      </w:r>
    </w:p>
    <w:p>
      <w:pPr>
        <w:numPr>
          <w:ilvl w:val="0"/>
          <w:numId w:val="1009"/>
        </w:numPr>
        <w:pStyle w:val="Compact"/>
      </w:pPr>
      <m:oMath>
        <m:sSub>
          <m:e>
            <m:r>
              <m:t>δ</m:t>
            </m:r>
          </m:e>
          <m:sub>
            <m:r>
              <m:t>b</m:t>
            </m:r>
            <m:r>
              <m:t>t</m:t>
            </m:r>
          </m:sub>
        </m:sSub>
      </m:oMath>
      <w:r>
        <w:t xml:space="preserve">: the random effect of batch</w:t>
      </w:r>
      <w:r>
        <w:t xml:space="preserve"> </w:t>
      </w:r>
      <m:oMath>
        <m:r>
          <m:t>b</m:t>
        </m:r>
      </m:oMath>
      <w:r>
        <w:t xml:space="preserve"> </w:t>
      </w:r>
      <w:r>
        <w:t xml:space="preserve">during period</w:t>
      </w:r>
      <w:r>
        <w:t xml:space="preserve"> </w:t>
      </w:r>
      <m:oMath>
        <m:r>
          <m:t>t</m:t>
        </m:r>
      </m:oMath>
      <w:r>
        <w:t xml:space="preserve">, which captures any variability across different batches over time.</w:t>
      </w:r>
    </w:p>
    <w:bookmarkEnd w:id="90"/>
    <w:bookmarkStart w:id="92" w:name="X831bc7e780a434f5c3512e5d33d43284b7d37ce"/>
    <w:p>
      <w:pPr>
        <w:pStyle w:val="Heading4"/>
      </w:pPr>
      <w:r>
        <w:t xml:space="preserve">Models with random cluster by intervention effects</w:t>
      </w:r>
    </w:p>
    <w:p>
      <w:pPr>
        <w:pStyle w:val="FirstParagraph"/>
      </w:pPr>
      <w:r>
        <w:t xml:space="preserve">Models will also be extended to include random cluster by intervention effects (with a non-zero covariance term) to examine if results are sensitive to the assumption of no intervention by cluster interaction. The model is specified in</w:t>
      </w:r>
      <w:r>
        <w:t xml:space="preserve"> </w:t>
      </w:r>
      <w:hyperlink w:anchor="eq-logit-random-cluster-intervention">
        <w:r>
          <w:rPr>
            <w:rStyle w:val="Hyperlink"/>
          </w:rPr>
          <w:t xml:space="preserve">Equation 5</w:t>
        </w:r>
      </w:hyperlink>
      <w:r>
        <w:t xml:space="preserve">.</w:t>
      </w:r>
    </w:p>
    <w:p>
      <w:pPr>
        <w:pStyle w:val="BodyText"/>
      </w:pPr>
      <w:bookmarkStart w:id="91" w:name="eq-logit-random-cluster-intervention"/>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r>
            <m:rPr>
              <m:sty m:val="p"/>
            </m:rPr>
            <m:t>×</m:t>
          </m:r>
          <m:sSub>
            <m:e>
              <m:r>
                <m:t>X</m:t>
              </m:r>
            </m:e>
            <m:sub>
              <m:r>
                <m:t>b</m:t>
              </m:r>
              <m:r>
                <m:t>k</m:t>
              </m:r>
              <m:r>
                <m:t>t</m:t>
              </m:r>
            </m:sub>
          </m:sSub>
          <m:r>
            <m:t>  </m:t>
          </m:r>
          <m:d>
            <m:dPr>
              <m:begChr m:val="("/>
              <m:endChr m:val=")"/>
              <m:sepChr m:val=""/>
              <m:grow/>
            </m:dPr>
            <m:e>
              <m:r>
                <m:t>5</m:t>
              </m:r>
            </m:e>
          </m:d>
        </m:oMath>
      </m:oMathPara>
      <w:bookmarkEnd w:id="91"/>
    </w:p>
    <w:p>
      <w:pPr>
        <w:pStyle w:val="FirstParagraph"/>
      </w:pPr>
      <w:r>
        <w:t xml:space="preserve">Where:</w:t>
      </w:r>
    </w:p>
    <w:p>
      <w:pPr>
        <w:numPr>
          <w:ilvl w:val="0"/>
          <w:numId w:val="1010"/>
        </w:numPr>
        <w:pStyle w:val="Compact"/>
      </w:pPr>
      <m:oMath>
        <m:sSub>
          <m:e>
            <m:r>
              <m:t>u</m:t>
            </m:r>
          </m:e>
          <m:sub>
            <m:r>
              <m:t>b</m:t>
            </m:r>
            <m:r>
              <m:t>k</m:t>
            </m:r>
          </m:sub>
        </m:sSub>
      </m:oMath>
      <w:r>
        <w:t xml:space="preserve">: the random effect of cluster</w:t>
      </w:r>
      <w:r>
        <w:t xml:space="preserve"> </w:t>
      </w:r>
      <m:oMath>
        <m:r>
          <m:t>k</m:t>
        </m:r>
      </m:oMath>
      <w:r>
        <w:t xml:space="preserve"> </w:t>
      </w:r>
      <w:r>
        <w:t xml:space="preserve">by intervention interaction.</w:t>
      </w:r>
    </w:p>
    <w:p>
      <w:pPr>
        <w:numPr>
          <w:ilvl w:val="0"/>
          <w:numId w:val="1010"/>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w:t>
      </w:r>
    </w:p>
    <w:p>
      <w:pPr>
        <w:numPr>
          <w:ilvl w:val="0"/>
          <w:numId w:val="1010"/>
        </w:numPr>
        <w:pStyle w:val="Compact"/>
      </w:pPr>
      <w:r>
        <w:t xml:space="preserve">$u_{bk} \times X_{bkt} $: the random interaction effect between the intervention and cluster</w:t>
      </w:r>
      <w:r>
        <w:t xml:space="preserve"> </w:t>
      </w:r>
      <m:oMath>
        <m:r>
          <m:t>k</m:t>
        </m:r>
      </m:oMath>
      <w:r>
        <w:t xml:space="preserve">.</w:t>
      </w:r>
    </w:p>
    <w:bookmarkEnd w:id="92"/>
    <w:bookmarkStart w:id="94" w:name="Xb7b1d3ff7c24f0b8dca2081a41dd1947ef59e07"/>
    <w:p>
      <w:pPr>
        <w:pStyle w:val="Heading4"/>
      </w:pPr>
      <w:r>
        <w:t xml:space="preserve">Models with time modelled with a spline function</w:t>
      </w:r>
    </w:p>
    <w:p>
      <w:pPr>
        <w:pStyle w:val="FirstParagraph"/>
      </w:pPr>
      <w:r>
        <w:t xml:space="preserve">We will further explore the potential for a time-varying treatment effect</w:t>
      </w:r>
      <w:r>
        <w:rPr>
          <w:vertAlign w:val="superscript"/>
        </w:rPr>
        <w:t xml:space="preserve">14</w:t>
      </w:r>
      <w:r>
        <w:t xml:space="preserve">. To explore if the fixed period effect is both parsimonious and adequate to represent the extent of any underlying secular trend, we will model the time effect using natural cubic splines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6</w:t>
        </w:r>
      </w:hyperlink>
      <w:r>
        <w:t xml:space="preserve">.</w:t>
      </w:r>
    </w:p>
    <w:p>
      <w:pPr>
        <w:pStyle w:val="BodyText"/>
      </w:pPr>
      <w:bookmarkStart w:id="93" w:name="eq-spline-model"/>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6</m:t>
              </m:r>
            </m:e>
          </m:d>
        </m:oMath>
      </m:oMathPara>
      <w:bookmarkEnd w:id="93"/>
    </w:p>
    <w:p>
      <w:pPr>
        <w:pStyle w:val="FirstParagraph"/>
      </w:pPr>
      <w:r>
        <w:t xml:space="preserve">Where:</w:t>
      </w:r>
    </w:p>
    <w:p>
      <w:pPr>
        <w:numPr>
          <w:ilvl w:val="0"/>
          <w:numId w:val="1011"/>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the natural cubic spline basis functions with knots placed at times 3, 6 and 9.</w:t>
      </w:r>
    </w:p>
    <w:p>
      <w:pPr>
        <w:numPr>
          <w:ilvl w:val="0"/>
          <w:numId w:val="1011"/>
        </w:numPr>
        <w:pStyle w:val="Compact"/>
      </w:pPr>
      <m:oMath>
        <m:sSub>
          <m:e>
            <m:r>
              <m:t>β</m:t>
            </m:r>
          </m:e>
          <m:sub>
            <m:r>
              <m:t>j</m:t>
            </m:r>
          </m:sub>
        </m:sSub>
      </m:oMath>
      <w:r>
        <w:t xml:space="preserve">: the coefficient for the</w:t>
      </w:r>
      <w:r>
        <w:t xml:space="preserve"> </w:t>
      </w:r>
      <m:oMath>
        <m:r>
          <m:t>j</m:t>
        </m:r>
      </m:oMath>
      <w:r>
        <w:t xml:space="preserve">-th spline basis function.</w:t>
      </w:r>
    </w:p>
    <w:bookmarkEnd w:id="94"/>
    <w:bookmarkStart w:id="96" w:name="models-exploring-lag-and-weaning-effects"/>
    <w:p>
      <w:pPr>
        <w:pStyle w:val="Heading4"/>
      </w:pPr>
      <w:r>
        <w:t xml:space="preserve">Models exploring lag and weaning effects</w:t>
      </w:r>
    </w:p>
    <w:p>
      <w:pPr>
        <w:pStyle w:val="FirstParagraph"/>
      </w:pPr>
      <w:r>
        <w:t xml:space="preserve">Models will also be extended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7</w:t>
        </w:r>
      </w:hyperlink>
      <w:r>
        <w:t xml:space="preserve">.</w:t>
      </w:r>
    </w:p>
    <w:p>
      <w:pPr>
        <w:pStyle w:val="BodyText"/>
      </w:pPr>
      <w:bookmarkStart w:id="95" w:name="eq-lag-weaning-model"/>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7</m:t>
              </m:r>
            </m:e>
          </m:d>
        </m:oMath>
      </m:oMathPara>
      <w:bookmarkEnd w:id="95"/>
    </w:p>
    <w:p>
      <w:pPr>
        <w:pStyle w:val="FirstParagraph"/>
      </w:pPr>
      <w:r>
        <w:t xml:space="preserve">Where:</w:t>
      </w:r>
    </w:p>
    <w:p>
      <w:pPr>
        <w:numPr>
          <w:ilvl w:val="0"/>
          <w:numId w:val="1012"/>
        </w:numPr>
        <w:pStyle w:val="Compact"/>
      </w:pPr>
      <m:oMath>
        <m:sSub>
          <m:e>
            <m:r>
              <m:t>θ</m:t>
            </m:r>
          </m:e>
          <m:sub>
            <m:r>
              <m:rPr>
                <m:nor/>
                <m:sty m:val="p"/>
              </m:rPr>
              <m:t>int</m:t>
            </m:r>
          </m:sub>
        </m:sSub>
      </m:oMath>
      <w:r>
        <w:t xml:space="preserve"> </w:t>
      </w:r>
      <w:r>
        <w:t xml:space="preserve">is the coefficient for the interaction between treatment and time since first treated.</w:t>
      </w:r>
    </w:p>
    <w:p>
      <w:pPr>
        <w:numPr>
          <w:ilvl w:val="0"/>
          <w:numId w:val="1012"/>
        </w:numPr>
        <w:pStyle w:val="Compact"/>
      </w:pPr>
      <m:oMath>
        <m:sSub>
          <m:e>
            <m:r>
              <m:t>T</m:t>
            </m:r>
          </m:e>
          <m:sub>
            <m:r>
              <m:t>b</m:t>
            </m:r>
            <m:r>
              <m:t>k</m:t>
            </m:r>
            <m:r>
              <m:t>t</m:t>
            </m:r>
          </m:sub>
        </m:sSub>
      </m:oMath>
      <w:r>
        <w:t xml:space="preserve"> </w:t>
      </w:r>
      <w:r>
        <w:t xml:space="preserve">is the number of periods since first treated.</w:t>
      </w:r>
    </w:p>
    <w:bookmarkEnd w:id="96"/>
    <w:bookmarkEnd w:id="97"/>
    <w:bookmarkStart w:id="99" w:name="adjusted-analyses"/>
    <w:p>
      <w:pPr>
        <w:pStyle w:val="Heading3"/>
      </w:pPr>
      <w:r>
        <w:t xml:space="preserve">5.12.3 Adjusted analyses</w:t>
      </w:r>
    </w:p>
    <w:p>
      <w:pPr>
        <w:pStyle w:val="FirstParagraph"/>
      </w:pPr>
      <w:r>
        <w:t xml:space="preserve">Fully adjusted covariate analysis will additionally adjust for</w:t>
      </w:r>
      <w:r>
        <w:rPr>
          <w:rStyle w:val="FootnoteReference"/>
        </w:rPr>
        <w:footnoteReference w:id="98"/>
      </w:r>
      <w:r>
        <w:t xml:space="preserve"> </w:t>
      </w:r>
      <w:r>
        <w:t xml:space="preserve">(expected % missing data in parentheses):</w:t>
      </w:r>
    </w:p>
    <w:p>
      <w:pPr>
        <w:numPr>
          <w:ilvl w:val="0"/>
          <w:numId w:val="1013"/>
        </w:numPr>
        <w:pStyle w:val="Compact"/>
      </w:pPr>
      <w:r>
        <w:t xml:space="preserve">Age (&lt;5%)</w:t>
      </w:r>
    </w:p>
    <w:p>
      <w:pPr>
        <w:numPr>
          <w:ilvl w:val="0"/>
          <w:numId w:val="1013"/>
        </w:numPr>
        <w:pStyle w:val="Compact"/>
      </w:pPr>
      <w:r>
        <w:t xml:space="preserve">Sex (&lt;5%)</w:t>
      </w:r>
    </w:p>
    <w:p>
      <w:pPr>
        <w:numPr>
          <w:ilvl w:val="0"/>
          <w:numId w:val="1013"/>
        </w:numPr>
        <w:pStyle w:val="Compact"/>
      </w:pPr>
      <w:r>
        <w:t xml:space="preserve">Systolic blood pressure (25%)</w:t>
      </w:r>
    </w:p>
    <w:p>
      <w:pPr>
        <w:numPr>
          <w:ilvl w:val="0"/>
          <w:numId w:val="1013"/>
        </w:numPr>
        <w:pStyle w:val="Compact"/>
      </w:pPr>
      <w:r>
        <w:t xml:space="preserve">Glasgow Coma Scale (25%)</w:t>
      </w:r>
    </w:p>
    <w:p>
      <w:pPr>
        <w:numPr>
          <w:ilvl w:val="0"/>
          <w:numId w:val="1013"/>
        </w:numPr>
        <w:pStyle w:val="Compact"/>
      </w:pPr>
      <w:r>
        <w:t xml:space="preserve">Injury Severity Score (10%)</w:t>
      </w:r>
    </w:p>
    <w:p>
      <w:pPr>
        <w:numPr>
          <w:ilvl w:val="0"/>
          <w:numId w:val="1013"/>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logit-model">
        <w:r>
          <w:rPr>
            <w:rStyle w:val="Hyperlink"/>
          </w:rPr>
          <w:t xml:space="preserve">Equation 1</w:t>
        </w:r>
      </w:hyperlink>
      <w:r>
        <w:t xml:space="preserve"> </w:t>
      </w:r>
      <w:r>
        <w:t xml:space="preserve">and</w:t>
      </w:r>
      <w:r>
        <w:t xml:space="preserve"> </w:t>
      </w:r>
      <w:hyperlink w:anchor="eq-identity-model">
        <w:r>
          <w:rPr>
            <w:rStyle w:val="Hyperlink"/>
          </w:rPr>
          <w:t xml:space="preserve">Equation 2</w:t>
        </w:r>
      </w:hyperlink>
      <w:r>
        <w:t xml:space="preserve"> </w:t>
      </w:r>
      <w:r>
        <w:t xml:space="preserve">as fixed effects. We will model the continuous covariates assuming linear effects.</w:t>
      </w:r>
    </w:p>
    <w:bookmarkEnd w:id="99"/>
    <w:bookmarkStart w:id="101" w:name="subgroup-analyses"/>
    <w:p>
      <w:pPr>
        <w:pStyle w:val="Heading3"/>
      </w:pPr>
      <w:r>
        <w:t xml:space="preserve">5.12.4 Subgroup analyses</w:t>
      </w:r>
    </w:p>
    <w:p>
      <w:pPr>
        <w:pStyle w:val="FirstParagraph"/>
      </w:pPr>
      <w:r>
        <w:t xml:space="preserve">We will perform the following subgroup analyses</w:t>
      </w:r>
      <w:r>
        <w:rPr>
          <w:rStyle w:val="FootnoteReference"/>
        </w:rPr>
        <w:footnoteReference w:id="100"/>
      </w:r>
      <w:r>
        <w:t xml:space="preserve">:</w:t>
      </w:r>
    </w:p>
    <w:p>
      <w:pPr>
        <w:numPr>
          <w:ilvl w:val="0"/>
          <w:numId w:val="1014"/>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4"/>
        </w:numPr>
        <w:pStyle w:val="Compact"/>
      </w:pPr>
      <w:r>
        <w:t xml:space="preserve">age groups, defined as older adolescents (15-19 years), young adults (20-24 years), adults (25-59 years), and older adults (60 years and older) [</w:t>
      </w:r>
      <w:r>
        <w:rPr>
          <w:vertAlign w:val="superscript"/>
        </w:rPr>
        <w:t xml:space="preserve">15</w:t>
      </w:r>
      <w:r>
        <w:t xml:space="preserve">;</w:t>
      </w:r>
    </w:p>
    <w:p>
      <w:pPr>
        <w:numPr>
          <w:ilvl w:val="0"/>
          <w:numId w:val="1014"/>
        </w:numPr>
        <w:pStyle w:val="Compact"/>
      </w:pPr>
      <w:r>
        <w:t xml:space="preserve">sex, using the levels male and female;</w:t>
      </w:r>
    </w:p>
    <w:p>
      <w:pPr>
        <w:numPr>
          <w:ilvl w:val="0"/>
          <w:numId w:val="1014"/>
        </w:numPr>
        <w:pStyle w:val="Compact"/>
      </w:pPr>
      <w:r>
        <w:t xml:space="preserve">clinical cohorts, defined as blunt multisystem trauma, penetrating trauma, and severe isolated traumatic brain injury, with modification to avoid overlap between the cohorts; and</w:t>
      </w:r>
    </w:p>
    <w:p>
      <w:pPr>
        <w:numPr>
          <w:ilvl w:val="0"/>
          <w:numId w:val="1014"/>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logit-model">
        <w:r>
          <w:rPr>
            <w:rStyle w:val="Hyperlink"/>
          </w:rPr>
          <w:t xml:space="preserve">Equation 1</w:t>
        </w:r>
      </w:hyperlink>
      <w:r>
        <w:t xml:space="preserve"> </w:t>
      </w:r>
      <w:r>
        <w:t xml:space="preserve">and</w:t>
      </w:r>
      <w:r>
        <w:t xml:space="preserve"> </w:t>
      </w:r>
      <w:hyperlink w:anchor="eq-identity-model">
        <w:r>
          <w:rPr>
            <w:rStyle w:val="Hyperlink"/>
          </w:rPr>
          <w:t xml:space="preserve">Equation 2</w:t>
        </w:r>
      </w:hyperlink>
      <w:r>
        <w:t xml:space="preserve">.</w:t>
      </w:r>
    </w:p>
    <w:bookmarkEnd w:id="101"/>
    <w:bookmarkStart w:id="102" w:name="treatment-of-missing-data"/>
    <w:p>
      <w:pPr>
        <w:pStyle w:val="Heading3"/>
      </w:pPr>
      <w:r>
        <w:t xml:space="preserve">5.12.5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bookmarkEnd w:id="102"/>
    <w:bookmarkEnd w:id="103"/>
    <w:bookmarkStart w:id="116" w:name="analysis-of-secondary-outcomes"/>
    <w:p>
      <w:pPr>
        <w:pStyle w:val="Heading2"/>
      </w:pPr>
      <w:r>
        <w:t xml:space="preserve">5.13 Analysis of secondary outcomes</w:t>
      </w:r>
    </w:p>
    <w:bookmarkStart w:id="104" w:name="Xf8ad26412ad98b449304d4475d81963b294c2ae"/>
    <w:p>
      <w:pPr>
        <w:pStyle w:val="Heading3"/>
      </w:pPr>
      <w:r>
        <w:t xml:space="preserve">5.13.1 All cause mortality within 24 hours, 30 days and three months of arrival at the emergency department</w:t>
      </w:r>
    </w:p>
    <w:p>
      <w:pPr>
        <w:pStyle w:val="FirstParagraph"/>
      </w:pPr>
      <w:r>
        <w:t xml:space="preserve">We will use the model with the logit link specified in</w:t>
      </w:r>
      <w:r>
        <w:t xml:space="preserve"> </w:t>
      </w:r>
      <w:hyperlink w:anchor="eq-logit-model">
        <w:r>
          <w:rPr>
            <w:rStyle w:val="Hyperlink"/>
          </w:rPr>
          <w:t xml:space="preserve">Equation 1</w:t>
        </w:r>
      </w:hyperlink>
      <w:r>
        <w:t xml:space="preserve"> </w:t>
      </w:r>
      <w:r>
        <w:t xml:space="preserve">and the model with the identity link specified in</w:t>
      </w:r>
      <w:r>
        <w:t xml:space="preserve"> </w:t>
      </w:r>
      <w:hyperlink w:anchor="eq-identity-model">
        <w:r>
          <w:rPr>
            <w:rStyle w:val="Hyperlink"/>
          </w:rPr>
          <w:t xml:space="preserve">Equation 2</w:t>
        </w:r>
      </w:hyperlink>
      <w:r>
        <w:t xml:space="preserve"> </w:t>
      </w:r>
      <w:r>
        <w:t xml:space="preserve">to estimate the OR and risk difference for these mortality outcomes.</w:t>
      </w:r>
    </w:p>
    <w:bookmarkEnd w:id="104"/>
    <w:bookmarkStart w:id="107" w:name="X0b80a436631c0e8dbb0ed0909088c219e6e4981"/>
    <w:p>
      <w:pPr>
        <w:pStyle w:val="Heading3"/>
      </w:pPr>
      <w:r>
        <w:t xml:space="preserve">5.13.2 Quality of life within seven days of discharge, and at 30 days and three months of arrival at the emergency department</w:t>
      </w:r>
    </w:p>
    <w:p>
      <w:pPr>
        <w:pStyle w:val="FirstParagraph"/>
      </w:pPr>
      <w:r>
        <w:t xml:space="preserve">Quality of life will be measured by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for self-rated quality of life, ranging from 0 to 100. For each of the five dimensions we will use a mixed effects ordinal model as specified in</w:t>
      </w:r>
      <w:r>
        <w:t xml:space="preserve"> </w:t>
      </w:r>
      <w:hyperlink w:anchor="eq-ordinal-model">
        <w:r>
          <w:rPr>
            <w:rStyle w:val="Hyperlink"/>
          </w:rPr>
          <w:t xml:space="preserve">Equation 8</w:t>
        </w:r>
      </w:hyperlink>
      <w:r>
        <w:t xml:space="preserve">.</w:t>
      </w:r>
    </w:p>
    <w:p>
      <w:pPr>
        <w:pStyle w:val="BodyText"/>
      </w:pPr>
      <w:bookmarkStart w:id="105" w:name="eq-ordinal-model"/>
      <m:oMathPara>
        <m:oMathParaPr>
          <m:jc m:val="center"/>
        </m:oMathParaPr>
        <m:oMath>
          <m:r>
            <m:rPr>
              <m:nor/>
              <m:sty m:val="p"/>
            </m:rPr>
            <m:t>logit</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j</m:t>
                  </m:r>
                </m:e>
              </m:d>
            </m:e>
          </m:d>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8</m:t>
              </m:r>
            </m:e>
          </m:d>
        </m:oMath>
      </m:oMathPara>
      <w:bookmarkEnd w:id="105"/>
    </w:p>
    <w:p>
      <w:pPr>
        <w:pStyle w:val="FirstParagraph"/>
      </w:pPr>
      <w:r>
        <w:t xml:space="preserve">Where:</w:t>
      </w:r>
    </w:p>
    <w:p>
      <w:pPr>
        <w:numPr>
          <w:ilvl w:val="0"/>
          <w:numId w:val="1015"/>
        </w:numPr>
        <w:pStyle w:val="Compact"/>
      </w:pPr>
      <m:oMath>
        <m:sSub>
          <m:e>
            <m:r>
              <m:t>μ</m:t>
            </m:r>
          </m:e>
          <m:sub>
            <m:r>
              <m:t>j</m:t>
            </m:r>
          </m:sub>
        </m:sSub>
      </m:oMath>
      <w:r>
        <w:t xml:space="preserve">: the intercept for the</w:t>
      </w:r>
      <w:r>
        <w:t xml:space="preserve"> </w:t>
      </w:r>
      <m:oMath>
        <m:r>
          <m:t>j</m:t>
        </m:r>
      </m:oMath>
      <w:r>
        <w:t xml:space="preserve">-th category of the EQ5D dimension (</w:t>
      </w:r>
      <m:oMath>
        <m:r>
          <m:t>j</m:t>
        </m:r>
      </m:oMath>
      <w:r>
        <w:t xml:space="preserve"> </w:t>
      </w:r>
      <w:r>
        <w:t xml:space="preserve">= 1, 2, 3, 4, 5).</w:t>
      </w:r>
    </w:p>
    <w:p>
      <w:pPr>
        <w:pStyle w:val="FirstParagraph"/>
      </w:pPr>
      <w:r>
        <w:t xml:space="preserve">The VAS will be analysed using a linear mixed effects model as specified in</w:t>
      </w:r>
      <w:r>
        <w:t xml:space="preserve"> </w:t>
      </w:r>
      <w:hyperlink w:anchor="eq-linear-model">
        <w:r>
          <w:rPr>
            <w:rStyle w:val="Hyperlink"/>
          </w:rPr>
          <w:t xml:space="preserve">Equation 9</w:t>
        </w:r>
      </w:hyperlink>
      <w:r>
        <w:t xml:space="preserve">.</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t>N</m:t>
          </m:r>
          <m:d>
            <m:dPr>
              <m:begChr m:val="("/>
              <m:endChr m:val=")"/>
              <m:sepChr m:val=""/>
              <m:grow/>
            </m:dPr>
            <m:e>
              <m:r>
                <m:t>0</m:t>
              </m:r>
              <m:r>
                <m:rPr>
                  <m:sty m:val="p"/>
                </m:rPr>
                <m:t>,</m:t>
              </m:r>
              <m:sSup>
                <m:e>
                  <m:r>
                    <m:t>σ</m:t>
                  </m:r>
                </m:e>
                <m:sup>
                  <m:r>
                    <m:t>2</m:t>
                  </m:r>
                </m:sup>
              </m:sSup>
            </m:e>
          </m:d>
          <m:r>
            <m:t>  </m:t>
          </m:r>
          <m:d>
            <m:dPr>
              <m:begChr m:val="("/>
              <m:endChr m:val=")"/>
              <m:sepChr m:val=""/>
              <m:grow/>
            </m:dPr>
            <m:e>
              <m:r>
                <m:t>9</m:t>
              </m:r>
            </m:e>
          </m:d>
        </m:oMath>
      </m:oMathPara>
      <w:bookmarkEnd w:id="106"/>
    </w:p>
    <w:p>
      <w:pPr>
        <w:pStyle w:val="FirstParagraph"/>
      </w:pPr>
      <w:r>
        <w:t xml:space="preserve">Where:</w:t>
      </w:r>
    </w:p>
    <w:p>
      <w:pPr>
        <w:numPr>
          <w:ilvl w:val="0"/>
          <w:numId w:val="1016"/>
        </w:numPr>
        <w:pStyle w:val="Compact"/>
      </w:pPr>
      <m:oMath>
        <m:sSub>
          <m:e>
            <m:r>
              <m:t>ϵ</m:t>
            </m:r>
          </m:e>
          <m:sub>
            <m:r>
              <m:t>b</m:t>
            </m:r>
            <m:r>
              <m:t>k</m:t>
            </m:r>
            <m:r>
              <m:t>t</m:t>
            </m:r>
            <m:r>
              <m:t>i</m:t>
            </m:r>
          </m:sub>
        </m:sSub>
      </m:oMath>
      <w:r>
        <w:t xml:space="preserve">: the error term for patient</w:t>
      </w:r>
      <w:r>
        <w:t xml:space="preserve"> </w:t>
      </w:r>
      <m:oMath>
        <m:r>
          <m:t>i</m:t>
        </m:r>
      </m:oMath>
      <w:r>
        <w:t xml:space="preserve"> </w:t>
      </w:r>
      <w:r>
        <w:t xml:space="preserve">in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assumed to be normally distributed with mean 0 and variance</w:t>
      </w:r>
      <w:r>
        <w:t xml:space="preserve"> </w:t>
      </w:r>
      <m:oMath>
        <m:sSup>
          <m:e>
            <m:r>
              <m:t>σ</m:t>
            </m:r>
          </m:e>
          <m:sup>
            <m:r>
              <m:t>2</m:t>
            </m:r>
          </m:sup>
        </m:sSup>
      </m:oMath>
      <w:r>
        <w:t xml:space="preserve">.</w:t>
      </w:r>
    </w:p>
    <w:bookmarkEnd w:id="107"/>
    <w:bookmarkStart w:id="108" w:name="X0bcba944ddc1979254204023a08bf4a2ef66934"/>
    <w:p>
      <w:pPr>
        <w:pStyle w:val="Heading3"/>
      </w:pPr>
      <w:r>
        <w:t xml:space="preserve">5.13.3 Disability within seven days of discharge, and at 30 days and three months of arrival at the emergency department</w:t>
      </w:r>
    </w:p>
    <w:p>
      <w:pPr>
        <w:pStyle w:val="FirstParagraph"/>
      </w:pPr>
      <w:r>
        <w:t xml:space="preserve">We will measure disability using the WHO Disability Assessment Schedule 2.0 (WHODAS 2.0)</w:t>
      </w:r>
      <w:r>
        <w:rPr>
          <w:vertAlign w:val="superscript"/>
        </w:rPr>
        <w:t xml:space="preserve">16</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8</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9</w:t>
        </w:r>
      </w:hyperlink>
      <w:r>
        <w:t xml:space="preserve">.</w:t>
      </w:r>
    </w:p>
    <w:bookmarkEnd w:id="108"/>
    <w:bookmarkStart w:id="109" w:name="X2a1569eaad9d2eee0f76ad0c198a1d7129f9ea3"/>
    <w:p>
      <w:pPr>
        <w:pStyle w:val="Heading3"/>
      </w:pPr>
      <w:r>
        <w:t xml:space="preserve">5.13.4 Return to work at 30 days and three months after arrival at the emergency department</w:t>
      </w:r>
    </w:p>
    <w:p>
      <w:pPr>
        <w:pStyle w:val="FirstParagraph"/>
      </w:pPr>
      <w:r>
        <w:t xml:space="preserve">We will analyse return to work as a dichotomous variable using a mixed effects binomial model with a logit link as specified in</w:t>
      </w:r>
      <w:r>
        <w:t xml:space="preserve"> </w:t>
      </w:r>
      <w:hyperlink w:anchor="eq-logit-model">
        <w:r>
          <w:rPr>
            <w:rStyle w:val="Hyperlink"/>
          </w:rPr>
          <w:t xml:space="preserve">Equation 1</w:t>
        </w:r>
      </w:hyperlink>
      <w:r>
        <w:t xml:space="preserve">.</w:t>
      </w:r>
    </w:p>
    <w:bookmarkEnd w:id="109"/>
    <w:bookmarkStart w:id="110" w:name="length-of-emergency-department-stay"/>
    <w:p>
      <w:pPr>
        <w:pStyle w:val="Heading3"/>
      </w:pPr>
      <w:r>
        <w:t xml:space="preserve">5.13.5 Length of emergency department stay</w:t>
      </w:r>
    </w:p>
    <w:p>
      <w:pPr>
        <w:pStyle w:val="FirstParagraph"/>
      </w:pPr>
      <w:r>
        <w:t xml:space="preserve">We will analyse length of emergency department stay as a continuous variable using a linear mixed effects model as specified in</w:t>
      </w:r>
      <w:r>
        <w:t xml:space="preserve"> </w:t>
      </w:r>
      <w:hyperlink w:anchor="eq-linear-model">
        <w:r>
          <w:rPr>
            <w:rStyle w:val="Hyperlink"/>
          </w:rPr>
          <w:t xml:space="preserve">Equation 9</w:t>
        </w:r>
      </w:hyperlink>
      <w:r>
        <w:t xml:space="preserve">.</w:t>
      </w:r>
    </w:p>
    <w:bookmarkEnd w:id="110"/>
    <w:bookmarkStart w:id="111" w:name="length-of-hospital-stay"/>
    <w:p>
      <w:pPr>
        <w:pStyle w:val="Heading3"/>
      </w:pPr>
      <w:r>
        <w:t xml:space="preserve">5.13.6 Length of hospital stay</w:t>
      </w:r>
    </w:p>
    <w:p>
      <w:pPr>
        <w:pStyle w:val="FirstParagraph"/>
      </w:pPr>
      <w:r>
        <w:t xml:space="preserve">We will analyse length of hospital stay as a continuous variable using a linear mixed effects model as specified in</w:t>
      </w:r>
      <w:r>
        <w:t xml:space="preserve"> </w:t>
      </w:r>
      <w:hyperlink w:anchor="eq-linear-model">
        <w:r>
          <w:rPr>
            <w:rStyle w:val="Hyperlink"/>
          </w:rPr>
          <w:t xml:space="preserve">Equation 9</w:t>
        </w:r>
      </w:hyperlink>
      <w:r>
        <w:t xml:space="preserve">.</w:t>
      </w:r>
    </w:p>
    <w:bookmarkEnd w:id="111"/>
    <w:bookmarkStart w:id="112" w:name="intensive-care-unit-admission"/>
    <w:p>
      <w:pPr>
        <w:pStyle w:val="Heading3"/>
      </w:pPr>
      <w:r>
        <w:t xml:space="preserve">5.13.7 Intensive care unit admission</w:t>
      </w:r>
    </w:p>
    <w:p>
      <w:pPr>
        <w:pStyle w:val="FirstParagraph"/>
      </w:pPr>
      <w:r>
        <w:t xml:space="preserve">We will analyse intensive care unit admission as a dichotomous variable using a mixed effects binomial model with a logit link as specified in</w:t>
      </w:r>
      <w:r>
        <w:t xml:space="preserve"> </w:t>
      </w:r>
      <w:hyperlink w:anchor="eq-logit-model">
        <w:r>
          <w:rPr>
            <w:rStyle w:val="Hyperlink"/>
          </w:rPr>
          <w:t xml:space="preserve">Equation 1</w:t>
        </w:r>
      </w:hyperlink>
      <w:r>
        <w:t xml:space="preserve">.</w:t>
      </w:r>
    </w:p>
    <w:bookmarkEnd w:id="112"/>
    <w:bookmarkStart w:id="113" w:name="length-of-intensive-care-unit-stay"/>
    <w:p>
      <w:pPr>
        <w:pStyle w:val="Heading3"/>
      </w:pPr>
      <w:r>
        <w:t xml:space="preserve">5.13.8 Length of intensive care unit stay</w:t>
      </w:r>
    </w:p>
    <w:p>
      <w:pPr>
        <w:pStyle w:val="FirstParagraph"/>
      </w:pPr>
      <w:r>
        <w:t xml:space="preserve">We will analyse length of intensive care unit stay as a continuous variable using a linear mixed effects model as specified in</w:t>
      </w:r>
      <w:r>
        <w:t xml:space="preserve"> </w:t>
      </w:r>
      <w:hyperlink w:anchor="eq-linear-model">
        <w:r>
          <w:rPr>
            <w:rStyle w:val="Hyperlink"/>
          </w:rPr>
          <w:t xml:space="preserve">Equation 9</w:t>
        </w:r>
      </w:hyperlink>
      <w:r>
        <w:t xml:space="preserve">.</w:t>
      </w:r>
    </w:p>
    <w:bookmarkEnd w:id="113"/>
    <w:bookmarkStart w:id="115" w:name="X5037a1d47abaf80439915bb3ba5c524d444c7d7"/>
    <w:p>
      <w:pPr>
        <w:pStyle w:val="Heading3"/>
      </w:pPr>
      <w:r>
        <w:t xml:space="preserve">5.13.9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steps completed, with 100% adherence defined as completing all 14 steps. We will analyse adherence using a mixed-effects beta regression model with a logit link as specified in</w:t>
      </w:r>
      <w:r>
        <w:t xml:space="preserve"> </w:t>
      </w:r>
      <w:hyperlink w:anchor="eq-beta-model">
        <w:r>
          <w:rPr>
            <w:rStyle w:val="Hyperlink"/>
          </w:rPr>
          <w:t xml:space="preserve">Equation 10</w:t>
        </w:r>
      </w:hyperlink>
      <w:r>
        <w:t xml:space="preserve">.</w:t>
      </w:r>
    </w:p>
    <w:p>
      <w:pPr>
        <w:pStyle w:val="BodyText"/>
      </w:pPr>
      <w:bookmarkStart w:id="114" w:name="eq-beta-model"/>
      <m:oMathPara>
        <m:oMathParaPr>
          <m:jc m:val="center"/>
        </m:oMathParaPr>
        <m:oMath>
          <m:r>
            <m:rPr>
              <m:nor/>
              <m:sty m:val="p"/>
            </m:rPr>
            <m:t>logit</m:t>
          </m:r>
          <m:d>
            <m:dPr>
              <m:begChr m:val="("/>
              <m:endChr m:val=")"/>
              <m:sepChr m:val=""/>
              <m:grow/>
            </m:dPr>
            <m:e>
              <m:r>
                <m:rPr>
                  <m:nor/>
                  <m:sty m:val="p"/>
                </m:rPr>
                <m:t>E</m:t>
              </m:r>
              <m:d>
                <m:dPr>
                  <m:begChr m:val="("/>
                  <m:endChr m:val=")"/>
                  <m:sepChr m:val=""/>
                  <m:grow/>
                </m:dPr>
                <m:e>
                  <m:sSub>
                    <m:e>
                      <m:r>
                        <m:t>Y</m:t>
                      </m:r>
                    </m:e>
                    <m:sub>
                      <m:r>
                        <m:t>b</m:t>
                      </m:r>
                      <m:r>
                        <m:t>k</m:t>
                      </m:r>
                      <m:r>
                        <m:t>t</m:t>
                      </m:r>
                      <m:r>
                        <m:t>i</m:t>
                      </m:r>
                    </m:sub>
                  </m:sSub>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114"/>
    </w:p>
    <w:p>
      <w:pPr>
        <w:pStyle w:val="FirstParagraph"/>
      </w:pPr>
      <w:r>
        <w:t xml:space="preserve">Where:</w:t>
      </w:r>
    </w:p>
    <w:p>
      <w:pPr>
        <w:numPr>
          <w:ilvl w:val="0"/>
          <w:numId w:val="1017"/>
        </w:numPr>
        <w:pStyle w:val="Compact"/>
      </w:pPr>
      <m:oMath>
        <m:r>
          <m:rPr>
            <m:nor/>
            <m:sty m:val="p"/>
          </m:rPr>
          <m:t>E</m:t>
        </m:r>
        <m:d>
          <m:dPr>
            <m:begChr m:val="("/>
            <m:endChr m:val=")"/>
            <m:sepChr m:val=""/>
            <m:grow/>
          </m:dPr>
          <m:e>
            <m:sSub>
              <m:e>
                <m:r>
                  <m:t>Y</m:t>
                </m:r>
              </m:e>
              <m:sub>
                <m:r>
                  <m:t>b</m:t>
                </m:r>
                <m:r>
                  <m:t>k</m:t>
                </m:r>
                <m:r>
                  <m:t>t</m:t>
                </m:r>
                <m:r>
                  <m:t>i</m:t>
                </m:r>
              </m:sub>
            </m:sSub>
          </m:e>
        </m:d>
      </m:oMath>
      <w:r>
        <w:t xml:space="preserve">: The expected proportion of completed ATLS steps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w:t>
      </w:r>
    </w:p>
    <w:p>
      <w:pPr>
        <w:numPr>
          <w:ilvl w:val="0"/>
          <w:numId w:val="1017"/>
        </w:numPr>
        <w:pStyle w:val="Compact"/>
      </w:pPr>
      <m:oMath>
        <m:r>
          <m:t>μ</m:t>
        </m:r>
      </m:oMath>
      <w:r>
        <w:t xml:space="preserve">: The intercept, representing the baseline log-odds of completing ATLS steps when all predictors are set to 1.</w:t>
      </w:r>
    </w:p>
    <w:p>
      <w:pPr>
        <w:numPr>
          <w:ilvl w:val="0"/>
          <w:numId w:val="1017"/>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allowing for different period effects for each batch.</w:t>
      </w:r>
    </w:p>
    <w:p>
      <w:pPr>
        <w:numPr>
          <w:ilvl w:val="0"/>
          <w:numId w:val="1017"/>
        </w:numPr>
        <w:pStyle w:val="Compact"/>
      </w:pPr>
      <m:oMath>
        <m:r>
          <m:t>θ</m:t>
        </m:r>
      </m:oMath>
      <w:r>
        <w:t xml:space="preserve">: The fixed effect of ATLS exposure, representing the effect of the intervention on adherence to ATLS principles.</w:t>
      </w:r>
    </w:p>
    <w:p>
      <w:pPr>
        <w:numPr>
          <w:ilvl w:val="0"/>
          <w:numId w:val="1017"/>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t>
      </w:r>
      <w:r>
        <w:t xml:space="preserve">(1 for ATLS, 0 for standard care).</w:t>
      </w:r>
    </w:p>
    <w:p>
      <w:pPr>
        <w:numPr>
          <w:ilvl w:val="0"/>
          <w:numId w:val="1017"/>
        </w:numPr>
        <w:pStyle w:val="Compact"/>
      </w:pPr>
      <m:oMath>
        <m:sSub>
          <m:e>
            <m:r>
              <m:t>α</m:t>
            </m:r>
          </m:e>
          <m:sub>
            <m:r>
              <m:t>b</m:t>
            </m:r>
            <m:r>
              <m:t>k</m:t>
            </m:r>
          </m:sub>
        </m:sSub>
      </m:oMath>
      <w:r>
        <w:t xml:space="preserve">: The random effect of cluster</w:t>
      </w:r>
      <w:r>
        <w:t xml:space="preserve"> </w:t>
      </w:r>
      <m:oMath>
        <m:r>
          <m:t>k</m:t>
        </m:r>
      </m:oMath>
      <w:r>
        <w:t xml:space="preserve"> </w:t>
      </w:r>
      <w:r>
        <w:t xml:space="preserve">in batch</w:t>
      </w:r>
      <w:r>
        <w:t xml:space="preserve"> </w:t>
      </w:r>
      <m:oMath>
        <m:r>
          <m:t>b</m:t>
        </m:r>
      </m:oMath>
      <w:r>
        <w:t xml:space="preserve">, capturing variability in adherence across clusters (hospitals).</w:t>
      </w:r>
    </w:p>
    <w:p>
      <w:pPr>
        <w:numPr>
          <w:ilvl w:val="0"/>
          <w:numId w:val="1017"/>
        </w:numPr>
        <w:pStyle w:val="Compact"/>
      </w:pPr>
      <m:oMath>
        <m:sSub>
          <m:e>
            <m:r>
              <m:t>γ</m:t>
            </m:r>
          </m:e>
          <m:sub>
            <m:r>
              <m:t>b</m:t>
            </m:r>
            <m:r>
              <m:t>k</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within batch</w:t>
      </w:r>
      <w:r>
        <w:t xml:space="preserve"> </w:t>
      </w:r>
      <m:oMath>
        <m:r>
          <m:t>b</m:t>
        </m:r>
      </m:oMath>
      <w:r>
        <w:t xml:space="preserve">, accounting for within-cluster variability across time periods and batches.</w:t>
      </w:r>
    </w:p>
    <w:bookmarkEnd w:id="115"/>
    <w:bookmarkEnd w:id="116"/>
    <w:bookmarkEnd w:id="117"/>
    <w:bookmarkStart w:id="135" w:name="references"/>
    <w:p>
      <w:pPr>
        <w:pStyle w:val="Heading1"/>
      </w:pPr>
      <w:r>
        <w:t xml:space="preserve">6. References</w:t>
      </w:r>
    </w:p>
    <w:bookmarkStart w:id="134" w:name="refs"/>
    <w:bookmarkStart w:id="118"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8"/>
    <w:bookmarkStart w:id="119"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9"/>
    <w:bookmarkStart w:id="120"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20"/>
    <w:bookmarkStart w:id="121"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21"/>
    <w:bookmarkStart w:id="122" w:name="ref-Campbell2005"/>
    <w:p>
      <w:pPr>
        <w:pStyle w:val="Bibliography"/>
      </w:pPr>
      <w:r>
        <w:t xml:space="preserve">5.</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2"/>
    <w:bookmarkStart w:id="123" w:name="ref-Eldridge2015"/>
    <w:p>
      <w:pPr>
        <w:pStyle w:val="Bibliography"/>
      </w:pPr>
      <w:r>
        <w:t xml:space="preserve">6.</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3"/>
    <w:bookmarkStart w:id="124" w:name="ref-Martin2016"/>
    <w:p>
      <w:pPr>
        <w:pStyle w:val="Bibliography"/>
      </w:pPr>
      <w:r>
        <w:t xml:space="preserve">7.</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4"/>
    <w:bookmarkStart w:id="125" w:name="ref-Korevaar2021"/>
    <w:p>
      <w:pPr>
        <w:pStyle w:val="Bibliography"/>
      </w:pPr>
      <w:r>
        <w:t xml:space="preserve">8.</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5"/>
    <w:bookmarkStart w:id="126" w:name="ref-lashoher_implementation_2017"/>
    <w:p>
      <w:pPr>
        <w:pStyle w:val="Bibliography"/>
      </w:pPr>
      <w:r>
        <w:t xml:space="preserve">9.</w:t>
      </w:r>
      <w:r>
        <w:t xml:space="preserve"> </w:t>
      </w:r>
      <w:r>
        <w:t xml:space="preserve">	</w:t>
      </w:r>
      <w:r>
        <w:t xml:space="preserve">Lashoher, A.</w:t>
      </w:r>
      <w:r>
        <w:t xml:space="preserve"> </w:t>
      </w:r>
      <w:r>
        <w:rPr>
          <w:iCs/>
          <w:i/>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Cs/>
          <w:i/>
        </w:rPr>
        <w:t xml:space="preserve">World Journal of Surgery</w:t>
      </w:r>
      <w:r>
        <w:t xml:space="preserve"> </w:t>
      </w:r>
      <w:r>
        <w:rPr>
          <w:bCs/>
          <w:b/>
        </w:rPr>
        <w:t xml:space="preserve">41</w:t>
      </w:r>
      <w:r>
        <w:t xml:space="preserve">, 954–962 (2017).</w:t>
      </w:r>
    </w:p>
    <w:bookmarkEnd w:id="126"/>
    <w:bookmarkStart w:id="127" w:name="ref-kapitan_effect_2024"/>
    <w:p>
      <w:pPr>
        <w:pStyle w:val="Bibliography"/>
      </w:pPr>
      <w:r>
        <w:t xml:space="preserve">10.</w:t>
      </w:r>
      <w:r>
        <w:t xml:space="preserve"> </w:t>
      </w:r>
      <w:r>
        <w:t xml:space="preserve">	</w:t>
      </w:r>
      <w:r>
        <w:t xml:space="preserve">Kapitan, E.</w:t>
      </w:r>
      <w:r>
        <w:t xml:space="preserve"> </w:t>
      </w:r>
      <w:r>
        <w:rPr>
          <w:iCs/>
          <w:i/>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Cs/>
          <w:i/>
        </w:rPr>
        <w:t xml:space="preserve">medRxiv</w:t>
      </w:r>
      <w:r>
        <w:t xml:space="preserve"> </w:t>
      </w:r>
      <w:r>
        <w:t xml:space="preserve">2024.09.28.24314529 (2024).</w:t>
      </w:r>
    </w:p>
    <w:bookmarkEnd w:id="127"/>
    <w:bookmarkStart w:id="128" w:name="ref-higgins_psychometric_2021"/>
    <w:p>
      <w:pPr>
        <w:pStyle w:val="Bibliography"/>
      </w:pPr>
      <w:r>
        <w:t xml:space="preserve">11.</w:t>
      </w:r>
      <w:r>
        <w:t xml:space="preserve"> </w:t>
      </w:r>
      <w:r>
        <w:t xml:space="preserve">	</w:t>
      </w:r>
      <w:r>
        <w:t xml:space="preserve">Higgins, A. M.</w:t>
      </w:r>
      <w:r>
        <w:t xml:space="preserve"> </w:t>
      </w:r>
      <w:r>
        <w:rPr>
          <w:iCs/>
          <w:i/>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Cs/>
          <w:i/>
        </w:rPr>
        <w:t xml:space="preserve">Critical Care and Resuscitation</w:t>
      </w:r>
      <w:r>
        <w:t xml:space="preserve"> </w:t>
      </w:r>
      <w:r>
        <w:rPr>
          <w:bCs/>
          <w:b/>
        </w:rPr>
        <w:t xml:space="preserve">23</w:t>
      </w:r>
      <w:r>
        <w:t xml:space="preserve">, 103–112 (2021).</w:t>
      </w:r>
    </w:p>
    <w:bookmarkEnd w:id="128"/>
    <w:bookmarkStart w:id="129" w:name="ref-R"/>
    <w:p>
      <w:pPr>
        <w:pStyle w:val="Bibliography"/>
      </w:pPr>
      <w:r>
        <w:t xml:space="preserve">12.</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9"/>
    <w:bookmarkStart w:id="130" w:name="ref-Hemming2018"/>
    <w:p>
      <w:pPr>
        <w:pStyle w:val="Bibliography"/>
      </w:pPr>
      <w:r>
        <w:t xml:space="preserve">13.</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30"/>
    <w:bookmarkStart w:id="131" w:name="ref-kenny_analysis_2022"/>
    <w:p>
      <w:pPr>
        <w:pStyle w:val="Bibliography"/>
      </w:pPr>
      <w:r>
        <w:t xml:space="preserve">14.</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31"/>
    <w:bookmarkStart w:id="132" w:name="ref-Diaz2021"/>
    <w:p>
      <w:pPr>
        <w:pStyle w:val="Bibliography"/>
      </w:pPr>
      <w:r>
        <w:t xml:space="preserve">15.</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32"/>
    <w:bookmarkStart w:id="133" w:name="ref-ustun_measuring_2010"/>
    <w:p>
      <w:pPr>
        <w:pStyle w:val="Bibliography"/>
      </w:pPr>
      <w:r>
        <w:t xml:space="preserve">16.</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Cs/>
          <w:b/>
        </w:rPr>
        <w:t xml:space="preserve">TODO:</w:t>
      </w:r>
      <w:r>
        <w:t xml:space="preserve"> </w:t>
      </w:r>
      <w:r>
        <w:t xml:space="preserve">James gets back with a short snippet with more details on how the randomisation will be done.</w:t>
      </w:r>
    </w:p>
  </w:footnote>
  <w:footnote w:id="80">
    <w:p>
      <w:pPr>
        <w:pStyle w:val="FootnoteText"/>
      </w:pPr>
      <w:r>
        <w:rPr>
          <w:rStyle w:val="FootnoteReference"/>
        </w:rPr>
        <w:footnoteRef/>
      </w:r>
      <w:r>
        <w:t xml:space="preserve"> </w:t>
      </w:r>
      <w:r>
        <w:rPr>
          <w:bCs/>
          <w:b/>
        </w:rPr>
        <w:t xml:space="preserve">Question:</w:t>
      </w:r>
      <w:r>
        <w:t xml:space="preserve"> </w:t>
      </w:r>
      <w:r>
        <w:t xml:space="preserve">Should we adjust for calendar time because the last batch will be two years later than the first batch?</w:t>
      </w:r>
    </w:p>
  </w:footnote>
  <w:footnote w:id="81">
    <w:p>
      <w:pPr>
        <w:pStyle w:val="FootnoteText"/>
      </w:pPr>
      <w:r>
        <w:rPr>
          <w:rStyle w:val="FootnoteReference"/>
        </w:rPr>
        <w:footnoteRef/>
      </w:r>
      <w:r>
        <w:t xml:space="preserve"> </w:t>
      </w:r>
      <w:r>
        <w:rPr>
          <w:bCs/>
          <w:b/>
        </w:rPr>
        <w:t xml:space="preserve">Question:</w:t>
      </w:r>
      <w:r>
        <w:t xml:space="preserve"> </w:t>
      </w:r>
      <w:r>
        <w:t xml:space="preserve">Just a thought: keep in mind the complexity of the random effects structure; if it leads to convergence problems or overfitting, should we consider simplifying the random effects?</w:t>
      </w:r>
    </w:p>
  </w:footnote>
  <w:footnote w:id="83">
    <w:p>
      <w:pPr>
        <w:pStyle w:val="FootnoteText"/>
      </w:pPr>
      <w:r>
        <w:rPr>
          <w:rStyle w:val="FootnoteReference"/>
        </w:rPr>
        <w:footnoteRef/>
      </w:r>
      <w:r>
        <w:t xml:space="preserve"> </w:t>
      </w:r>
      <w:r>
        <w:rPr>
          <w:bCs/>
          <w:b/>
        </w:rPr>
        <w:t xml:space="preserve">Question:</w:t>
      </w:r>
      <w:r>
        <w:t xml:space="preserve"> </w:t>
      </w:r>
      <w:r>
        <w:t xml:space="preserve">The model will estimate some 78 parameters. Is this a problem considering the low number of participants per period?</w:t>
      </w:r>
    </w:p>
  </w:footnote>
  <w:footnote w:id="98">
    <w:p>
      <w:pPr>
        <w:pStyle w:val="FootnoteText"/>
      </w:pPr>
      <w:r>
        <w:rPr>
          <w:rStyle w:val="FootnoteReference"/>
        </w:rPr>
        <w:footnoteRef/>
      </w:r>
      <w:r>
        <w:t xml:space="preserve"> </w:t>
      </w:r>
      <w:r>
        <w:rPr>
          <w:bCs/>
          <w:b/>
        </w:rPr>
        <w:t xml:space="preserve">Questions:</w:t>
      </w:r>
      <w:r>
        <w:t xml:space="preserve"> </w:t>
      </w:r>
      <w:r>
        <w:t xml:space="preserve">1. Should we adjust for calendar time because the last batch will be two years later than the first batch? 2. Should we add it as covariate in the list above? 3. Should it be continuous (e.g., months since the study started) or categorical calendar time (if you expect non-linear trends or stepwise changes over years)? 4. Should we analyse Time Since Admission? Depending on the nature of the trauma, the time since patient admission might also influence outcomes, especially if the timing of interventions or care decisions plays a critical role. Eg. time from admission to surgery.</w:t>
      </w:r>
    </w:p>
  </w:footnote>
  <w:footnote w:id="100">
    <w:p>
      <w:pPr>
        <w:pStyle w:val="FootnoteText"/>
      </w:pPr>
      <w:r>
        <w:rPr>
          <w:rStyle w:val="FootnoteReference"/>
        </w:rPr>
        <w:footnoteRef/>
      </w:r>
      <w:r>
        <w:t xml:space="preserve"> </w:t>
      </w:r>
      <w:r>
        <w:rPr>
          <w:bCs/>
          <w:b/>
        </w:rPr>
        <w:t xml:space="preserve">Question:</w:t>
      </w:r>
      <w:r>
        <w:t xml:space="preserve"> </w:t>
      </w:r>
      <w:r>
        <w:t xml:space="preserve">Are we exploring too many subgroups?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2025-10-14T05:28:23Z</dcterms:created>
  <dcterms:modified xsi:type="dcterms:W3CDTF">2025-10-14T05:28:23Z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3</vt:lpwstr>
  </property>
  <property fmtid="{D5CDD505-2E9C-101B-9397-08002B2CF9AE}" pid="15" name="subtitle">
    <vt:lpwstr>ADVANCE TRAUMAEffects of Advanced Trauma Life Support® Training Compared to Standard Care on Adult Trauma Patient Outcomes: A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