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3.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w:t>
      </w:r>
      <w:r>
        <w:t xml:space="preserve"> </w:t>
      </w:r>
      <w:r>
        <w:t xml:space="preserve">Analysis</w:t>
      </w:r>
      <w:r>
        <w:t xml:space="preserve"> </w:t>
      </w:r>
      <w:r>
        <w:t xml:space="preserve">Plan</w:t>
      </w:r>
    </w:p>
    <w:p>
      <w:pPr>
        <w:pStyle w:val="Author"/>
      </w:pPr>
      <w:r>
        <w:t xml:space="preserve">Version</w:t>
      </w:r>
      <w:r>
        <w:t xml:space="preserve"> </w:t>
      </w:r>
      <w:r>
        <w:t xml:space="preserve">0.5.0</w:t>
      </w:r>
      <w:r>
        <w:t xml:space="preserve">,</w:t>
      </w:r>
      <w:r>
        <w:t xml:space="preserve"> </w:t>
      </w:r>
      <w:r>
        <w:t xml:space="preserve">2025-10-14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r>
        <w:br w:type="page"/>
      </w:r>
    </w:p>
    <w:bookmarkStart w:id="40"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39" w:name="contributors"/>
    <w:p>
      <w:pPr>
        <w:pStyle w:val="Heading2"/>
      </w:pPr>
      <w:r>
        <w:t xml:space="preserve">1.3 Contributors</w:t>
      </w:r>
    </w:p>
    <w:tbl>
      <w:tblPr>
        <w:tblStyle w:val="Table"/>
        <w:tblW w:type="pct" w:w="5000"/>
        <w:tblLook w:firstRow="1" w:lastRow="0" w:firstColumn="0" w:lastColumn="0" w:noHBand="0" w:noVBand="0" w:val="0020"/>
        <w:jc w:val="start"/>
      </w:tblPr>
      <w:tblGrid>
        <w:gridCol w:w="4248"/>
        <w:gridCol w:w="2202"/>
        <w:gridCol w:w="1468"/>
      </w:tblGrid>
      <w:tr>
        <w:trPr>
          <w:tblHeader w:val="true"/>
        </w:trPr>
        <w:tc>
          <w:tcPr/>
          <w:p>
            <w:pPr>
              <w:pStyle w:val="Compact"/>
              <w:jc w:val="left"/>
            </w:pPr>
            <w:r>
              <w:t xml:space="preserve">Name and ORCID</w:t>
            </w:r>
          </w:p>
        </w:tc>
        <w:tc>
          <w:tcPr/>
          <w:p>
            <w:pPr>
              <w:pStyle w:val="Compact"/>
              <w:jc w:val="left"/>
            </w:pPr>
            <w:r>
              <w:t xml:space="preserve">Affiliation</w:t>
            </w:r>
          </w:p>
        </w:tc>
        <w:tc>
          <w:tcPr/>
          <w:p>
            <w:pPr>
              <w:pStyle w:val="Compact"/>
              <w:jc w:val="left"/>
            </w:pPr>
            <w:r>
              <w:t xml:space="preserve">Role</w:t>
            </w:r>
          </w:p>
        </w:tc>
      </w:tr>
      <w:tr>
        <w:tc>
          <w:tcPr/>
          <w:p>
            <w:pPr>
              <w:pStyle w:val="Compact"/>
              <w:jc w:val="lef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Principal Investigator</w:t>
            </w:r>
          </w:p>
        </w:tc>
      </w:tr>
      <w:tr>
        <w:tc>
          <w:tcPr/>
          <w:p>
            <w:pPr>
              <w:pStyle w:val="Compact"/>
              <w:jc w:val="lef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Statistician, TMG member</w:t>
            </w:r>
          </w:p>
        </w:tc>
      </w:tr>
      <w:tr>
        <w:tc>
          <w:tcPr/>
          <w:p>
            <w:pPr>
              <w:pStyle w:val="Compact"/>
              <w:jc w:val="lef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 TMG member</w:t>
            </w:r>
          </w:p>
        </w:tc>
      </w:tr>
      <w:tr>
        <w:tc>
          <w:tcPr/>
          <w:p>
            <w:pPr>
              <w:pStyle w:val="Compact"/>
              <w:jc w:val="lef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w:t>
            </w:r>
          </w:p>
        </w:tc>
      </w:tr>
      <w:tr>
        <w:tc>
          <w:tcPr/>
          <w:p>
            <w:pPr>
              <w:pStyle w:val="Compact"/>
              <w:jc w:val="left"/>
            </w:pPr>
            <w:r>
              <w:t xml:space="preserve">Jessica Kasza</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Monash University, Melbourne, Australia</w:t>
            </w:r>
          </w:p>
        </w:tc>
        <w:tc>
          <w:tcPr/>
          <w:p>
            <w:pPr>
              <w:pStyle w:val="Compact"/>
              <w:jc w:val="left"/>
            </w:pPr>
            <w:r>
              <w:t xml:space="preserve">Statistician</w:t>
            </w:r>
          </w:p>
        </w:tc>
      </w:tr>
    </w:tbl>
    <w:p>
      <w:r>
        <w:br w:type="page"/>
      </w:r>
    </w:p>
    <w:bookmarkEnd w:id="39"/>
    <w:bookmarkEnd w:id="40"/>
    <w:bookmarkStart w:id="41" w:name="trial-synopsis"/>
    <w:p>
      <w:pPr>
        <w:pStyle w:val="Heading1"/>
      </w:pPr>
      <w:r>
        <w:t xml:space="preserve">2. Trial synopsis</w:t>
      </w:r>
    </w:p>
    <w:p>
      <w:pPr>
        <w:pStyle w:val="FirstParagraph"/>
      </w:pPr>
      <w:r>
        <w:rPr>
          <w:bCs/>
          <w:b/>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Stepped-WedgeCluster Randomised Trial</w:t>
      </w:r>
    </w:p>
    <w:p>
      <w:pPr>
        <w:pStyle w:val="BodyText"/>
      </w:pPr>
      <w:r>
        <w:rPr>
          <w:bCs/>
          <w:b/>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Cs/>
          <w:b/>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Cs/>
          <w:b/>
        </w:rPr>
        <w:t xml:space="preserve">Primary Outcome</w:t>
      </w:r>
      <w:r>
        <w:t xml:space="preserve"> </w:t>
      </w:r>
      <w:r>
        <w:t xml:space="preserve">In-hospital mortality within 30 days of arrival at the emergency department.</w:t>
      </w:r>
    </w:p>
    <w:p>
      <w:pPr>
        <w:pStyle w:val="BodyText"/>
      </w:pPr>
      <w:r>
        <w:rPr>
          <w:bCs/>
          <w:b/>
        </w:rPr>
        <w:t xml:space="preserve">Trial Design</w:t>
      </w:r>
      <w:r>
        <w:t xml:space="preserve"> </w:t>
      </w:r>
      <w:r>
        <w:t xml:space="preserve">Batched stepped-wedge cluster randomised trial in India.</w:t>
      </w:r>
    </w:p>
    <w:p>
      <w:pPr>
        <w:pStyle w:val="BodyText"/>
      </w:pPr>
      <w:r>
        <w:rPr>
          <w:bCs/>
          <w:b/>
        </w:rPr>
        <w:t xml:space="preserve">Trial Population</w:t>
      </w:r>
      <w:r>
        <w:t xml:space="preserve"> </w:t>
      </w:r>
      <w:r>
        <w:t xml:space="preserve">Adult trauma patients presenting to the emergency department of a participating hospital.</w:t>
      </w:r>
    </w:p>
    <w:p>
      <w:pPr>
        <w:pStyle w:val="BodyText"/>
      </w:pPr>
      <w:r>
        <w:rPr>
          <w:bCs/>
          <w:b/>
        </w:rPr>
        <w:t xml:space="preserve">Sample Size</w:t>
      </w:r>
      <w:r>
        <w:t xml:space="preserve"> </w:t>
      </w:r>
      <w:r>
        <w:t xml:space="preserve">30 clusters and at least 4320 patients.</w:t>
      </w:r>
    </w:p>
    <w:p>
      <w:pPr>
        <w:pStyle w:val="BodyText"/>
      </w:pPr>
      <w:r>
        <w:rPr>
          <w:bCs/>
          <w:b/>
        </w:rPr>
        <w:t xml:space="preserve">Eligibility Criteria</w:t>
      </w:r>
    </w:p>
    <w:p>
      <w:pPr>
        <w:pStyle w:val="BodyText"/>
      </w:pPr>
      <w:r>
        <w:rPr>
          <w:iCs/>
          <w:i/>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Cs/>
          <w:i/>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Cs/>
          <w:b/>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Cs/>
          <w:b/>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Cs/>
          <w:b/>
        </w:rPr>
        <w:t xml:space="preserve">Trial Period</w:t>
      </w:r>
      <w:r>
        <w:t xml:space="preserve"> </w:t>
      </w:r>
      <w:r>
        <w:t xml:space="preserve">February 2025 to October 2029</w:t>
      </w:r>
    </w:p>
    <w:p>
      <w:r>
        <w:br w:type="page"/>
      </w:r>
    </w:p>
    <w:bookmarkEnd w:id="41"/>
    <w:bookmarkStart w:id="43" w:name="special-considerations"/>
    <w:p>
      <w:pPr>
        <w:pStyle w:val="Heading1"/>
      </w:pPr>
      <w:r>
        <w:t xml:space="preserve">3. Special considerations</w:t>
      </w:r>
    </w:p>
    <w:bookmarkStart w:id="42"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2"/>
    <w:bookmarkEnd w:id="43"/>
    <w:bookmarkStart w:id="46" w:name="aim-and-objectives"/>
    <w:p>
      <w:pPr>
        <w:pStyle w:val="Heading1"/>
      </w:pPr>
      <w:r>
        <w:t xml:space="preserve">4. Aim and objectives</w:t>
      </w:r>
    </w:p>
    <w:bookmarkStart w:id="44"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4"/>
    <w:bookmarkStart w:id="45" w:name="objectives"/>
    <w:p>
      <w:pPr>
        <w:pStyle w:val="Heading2"/>
      </w:pPr>
      <w:r>
        <w:t xml:space="preserve">4.2 Objectives</w:t>
      </w:r>
    </w:p>
    <w:p>
      <w:pPr>
        <w:numPr>
          <w:ilvl w:val="0"/>
          <w:numId w:val="1002"/>
        </w:numPr>
        <w:pStyle w:val="Compact"/>
      </w:pPr>
      <w:r>
        <w:t xml:space="preserve">To estimate the effects of ATLS</w:t>
      </w:r>
      <w:r>
        <w:rPr>
          <w:vertAlign w:val="superscript"/>
        </w:rPr>
        <w:t xml:space="preserve">®</w:t>
      </w:r>
      <w:r>
        <w:t xml:space="preserve"> </w:t>
      </w:r>
      <w:r>
        <w:t xml:space="preserve">training on 30-day in-hospital mortality compared to standard care.</w:t>
      </w:r>
    </w:p>
    <w:p>
      <w:pPr>
        <w:numPr>
          <w:ilvl w:val="0"/>
          <w:numId w:val="1002"/>
        </w:numPr>
        <w:pStyle w:val="Compact"/>
      </w:pPr>
      <w:r>
        <w:t xml:space="preserve">To assess the robustness of the main analysis results to different model specifications through sensitivity analyses.</w:t>
      </w:r>
    </w:p>
    <w:p>
      <w:pPr>
        <w:numPr>
          <w:ilvl w:val="0"/>
          <w:numId w:val="1002"/>
        </w:numPr>
        <w:pStyle w:val="Compact"/>
      </w:pPr>
      <w:r>
        <w:t xml:space="preserve">To estimate the effects of ATLS</w:t>
      </w:r>
      <w:r>
        <w:rPr>
          <w:vertAlign w:val="superscript"/>
        </w:rPr>
        <w:t xml:space="preserve">®</w:t>
      </w:r>
      <w:r>
        <w:t xml:space="preserve"> </w:t>
      </w:r>
      <w:r>
        <w:t xml:space="preserve">training on secondary outcomes compared to standard care.</w:t>
      </w:r>
    </w:p>
    <w:p>
      <w:pPr>
        <w:numPr>
          <w:ilvl w:val="0"/>
          <w:numId w:val="1002"/>
        </w:numPr>
        <w:pStyle w:val="Compact"/>
      </w:pPr>
      <w:r>
        <w:t xml:space="preserve">To explore the effects of ATLS</w:t>
      </w:r>
      <w:r>
        <w:rPr>
          <w:vertAlign w:val="superscript"/>
        </w:rPr>
        <w:t xml:space="preserve">®</w:t>
      </w:r>
      <w:r>
        <w:t xml:space="preserve"> </w:t>
      </w:r>
      <w:r>
        <w:t xml:space="preserve">training on subgroups of patients compared to standard care.</w:t>
      </w:r>
    </w:p>
    <w:bookmarkEnd w:id="45"/>
    <w:bookmarkEnd w:id="46"/>
    <w:bookmarkStart w:id="114" w:name="statistical-analysis"/>
    <w:p>
      <w:pPr>
        <w:pStyle w:val="Heading1"/>
      </w:pPr>
      <w:r>
        <w:t xml:space="preserve">5. Statistical analysis</w:t>
      </w:r>
    </w:p>
    <w:bookmarkStart w:id="55"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ook w:firstRow="0" w:lastRow="0" w:firstColumn="0" w:lastColumn="0" w:noHBand="0" w:noVBand="0" w:val="0000"/>
        <w:jc w:val="start"/>
      </w:tblPr>
      <w:tblGrid>
        <w:gridCol w:w="7920"/>
      </w:tblGrid>
      <w:tr>
        <w:tc>
          <w:tcPr/>
          <w:bookmarkStart w:id="50" w:name="fig-trial-design"/>
          <w:p>
            <w:pPr>
              <w:jc w:val="center"/>
            </w:pPr>
            <w:r>
              <w:drawing>
                <wp:inline>
                  <wp:extent cx="5334000" cy="3198592"/>
                  <wp:effectExtent b="0" l="0" r="0" t="0"/>
                  <wp:docPr descr="" title="" id="48" name="Picture"/>
                  <a:graphic>
                    <a:graphicData uri="http://schemas.openxmlformats.org/drawingml/2006/picture">
                      <pic:pic>
                        <pic:nvPicPr>
                          <pic:cNvPr descr="trial-design-figure-30-clusters-5-sequences-6-batches-6-batches-overlap-4-min-standard-care-4-min-intervention-1-transition-months-0-transition-overlap.0-staircase-months.png" id="49" name="Picture"/>
                          <pic:cNvPicPr>
                            <a:picLocks noChangeArrowheads="1" noChangeAspect="1"/>
                          </pic:cNvPicPr>
                        </pic:nvPicPr>
                        <pic:blipFill>
                          <a:blip r:embed="rId4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0"/>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ook w:firstRow="0" w:lastRow="0" w:firstColumn="0" w:lastColumn="0" w:noHBand="0" w:noVBand="0" w:val="0000"/>
        <w:jc w:val="start"/>
      </w:tblPr>
      <w:tblGrid>
        <w:gridCol w:w="7920"/>
      </w:tblGrid>
      <w:tr>
        <w:tc>
          <w:tcPr/>
          <w:bookmarkStart w:id="54" w:name="fig-nested-staircase-design"/>
          <w:p>
            <w:pPr>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3-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4"/>
        </w:tc>
      </w:tr>
    </w:tbl>
    <w:bookmarkEnd w:id="55"/>
    <w:bookmarkStart w:id="56" w:name="randomisation-of-clusters"/>
    <w:p>
      <w:pPr>
        <w:pStyle w:val="Heading2"/>
      </w:pPr>
      <w:r>
        <w:t xml:space="preserve">5.2 Randomisation of clusters</w:t>
      </w:r>
    </w:p>
    <w:p>
      <w:pPr>
        <w:pStyle w:val="FirstParagraph"/>
      </w:pPr>
      <w:r>
        <w:t xml:space="preserve">We will assign clusters to batches as they are found to be eligible and receive ethical approval. Batches will include clusters from hospitals in different regions to optimize trial logistics. We will randomise the clusters allocated to each batch to the different intervention implementation sequences within that batch. We will balance the randomisation within each batch on cluster size, defined as monthly volume of eligible patient participants, using covariate constrained randomisation. The random allocation sequence will be generated by JM who will send the results to the trial team, to allow the logistics of securing seats in upcoming courses to be initiated. We will conceal the randomisation order to the sites for as long as it is logistically possible, considering that arrangements at the site level for sending physicians to ATLS</w:t>
      </w:r>
      <w:r>
        <w:rPr>
          <w:vertAlign w:val="superscript"/>
        </w:rPr>
        <w:t xml:space="preserve">®</w:t>
      </w:r>
      <w:r>
        <w:t xml:space="preserve"> </w:t>
      </w:r>
      <w:r>
        <w:t xml:space="preserve">training need to be made in advance.</w:t>
      </w:r>
    </w:p>
    <w:p>
      <w:pPr>
        <w:pStyle w:val="BodyText"/>
      </w:pPr>
    </w:p>
    <w:bookmarkEnd w:id="56"/>
    <w:bookmarkStart w:id="61" w:name="outcomes"/>
    <w:p>
      <w:pPr>
        <w:pStyle w:val="Heading2"/>
      </w:pPr>
      <w:r>
        <w:t xml:space="preserve">5.3 Outcomes</w:t>
      </w:r>
    </w:p>
    <w:bookmarkStart w:id="57"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57"/>
    <w:bookmarkStart w:id="60" w:name="secondary-outcomes"/>
    <w:p>
      <w:pPr>
        <w:pStyle w:val="Heading3"/>
      </w:pPr>
      <w:r>
        <w:t xml:space="preserve">5.3.2 Secondary outcomes</w:t>
      </w:r>
    </w:p>
    <w:bookmarkStart w:id="58" w:name="Xdb0e69ac2f6fc09a45efb162c3cc667f9413bd2"/>
    <w:p>
      <w:pPr>
        <w:pStyle w:val="Heading4"/>
      </w:pPr>
      <w:r>
        <w:t xml:space="preserve">Collected using the main stepped-wedge design</w:t>
      </w:r>
    </w:p>
    <w:p>
      <w:pPr>
        <w:numPr>
          <w:ilvl w:val="0"/>
          <w:numId w:val="1003"/>
        </w:numPr>
        <w:pStyle w:val="Compact"/>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numPr>
          <w:ilvl w:val="0"/>
          <w:numId w:val="1003"/>
        </w:numPr>
        <w:pStyle w:val="Compact"/>
      </w:pPr>
      <w:r>
        <w:t xml:space="preserve">Length of emergency department stay. Data on this outcome will be collected from patient hospital records.</w:t>
      </w:r>
    </w:p>
    <w:p>
      <w:pPr>
        <w:numPr>
          <w:ilvl w:val="0"/>
          <w:numId w:val="1003"/>
        </w:numPr>
        <w:pStyle w:val="Compact"/>
      </w:pPr>
      <w:r>
        <w:t xml:space="preserve">Length of hospital stay. Data on this outcome will be collected from patient hospital records.</w:t>
      </w:r>
    </w:p>
    <w:p>
      <w:pPr>
        <w:numPr>
          <w:ilvl w:val="0"/>
          <w:numId w:val="1003"/>
        </w:numPr>
        <w:pStyle w:val="Compact"/>
      </w:pPr>
      <w:r>
        <w:t xml:space="preserve">Intensive care unit admission. Data on this outcome will be collected from patient hospital records.</w:t>
      </w:r>
    </w:p>
    <w:p>
      <w:pPr>
        <w:numPr>
          <w:ilvl w:val="0"/>
          <w:numId w:val="1003"/>
        </w:numPr>
        <w:pStyle w:val="Compact"/>
      </w:pPr>
      <w:r>
        <w:t xml:space="preserve">Length of intensive care unit stay. Data on this outcome will be collected from patient hospital records.</w:t>
      </w:r>
    </w:p>
    <w:p>
      <w:pPr>
        <w:numPr>
          <w:ilvl w:val="0"/>
          <w:numId w:val="1003"/>
        </w:numPr>
        <w:pStyle w:val="Compact"/>
      </w:pPr>
      <w:r>
        <w:t xml:space="preserve">Return to work at 30 days and three months after arrival at the emergency department. Data on this outcome will be collected in person if the patient is still in hospital, or by phone if the patient has been discharged.</w:t>
      </w:r>
    </w:p>
    <w:bookmarkEnd w:id="58"/>
    <w:bookmarkStart w:id="59" w:name="Xac098b8b976789377f406b0c926b7e67113ef4f"/>
    <w:p>
      <w:pPr>
        <w:pStyle w:val="Heading4"/>
      </w:pPr>
      <w:r>
        <w:t xml:space="preserve">Collected using the nested staircase design</w:t>
      </w:r>
    </w:p>
    <w:p>
      <w:pPr>
        <w:numPr>
          <w:ilvl w:val="0"/>
          <w:numId w:val="1004"/>
        </w:numPr>
        <w:pStyle w:val="Compact"/>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numPr>
          <w:ilvl w:val="0"/>
          <w:numId w:val="1004"/>
        </w:numPr>
        <w:pStyle w:val="Compact"/>
      </w:pPr>
      <w:r>
        <w:t xml:space="preserve">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pPr>
        <w:numPr>
          <w:ilvl w:val="0"/>
          <w:numId w:val="1004"/>
        </w:numPr>
        <w:pStyle w:val="Compact"/>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bookmarkEnd w:id="59"/>
    <w:bookmarkEnd w:id="60"/>
    <w:bookmarkEnd w:id="61"/>
    <w:bookmarkStart w:id="62" w:name="statistical-hypotheses"/>
    <w:p>
      <w:pPr>
        <w:pStyle w:val="Heading2"/>
      </w:pPr>
      <w:r>
        <w:t xml:space="preserve">5.4 Statistical hypotheses</w:t>
      </w:r>
    </w:p>
    <w:p>
      <w:pPr>
        <w:pStyle w:val="FirstParagraph"/>
      </w:pPr>
      <w:r>
        <w:t xml:space="preserve">Our primary statistical hypotheses are:</w:t>
      </w:r>
    </w:p>
    <w:p>
      <w:pPr>
        <w:numPr>
          <w:ilvl w:val="0"/>
          <w:numId w:val="1005"/>
        </w:numPr>
        <w:pStyle w:val="Compact"/>
      </w:pPr>
      <w:r>
        <w:rPr>
          <w:bCs/>
          <w:b/>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w:t>
      </w:r>
    </w:p>
    <w:p>
      <w:pPr>
        <w:numPr>
          <w:ilvl w:val="0"/>
          <w:numId w:val="1005"/>
        </w:numPr>
        <w:pStyle w:val="Compact"/>
      </w:pPr>
      <w:r>
        <w:rPr>
          <w:bCs/>
          <w:b/>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Our expectation, based on our pilot study and review of the literature, is that the OR will be less than 1,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2"/>
    <w:bookmarkStart w:id="69" w:name="sample-size-calculations"/>
    <w:p>
      <w:pPr>
        <w:pStyle w:val="Heading2"/>
      </w:pPr>
      <w:r>
        <w:t xml:space="preserve">5.5 Sample size calculations</w:t>
      </w:r>
    </w:p>
    <w:bookmarkStart w:id="67"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ook w:firstRow="0" w:lastRow="0" w:firstColumn="0" w:lastColumn="0" w:noHBand="0" w:noVBand="0" w:val="0000"/>
        <w:jc w:val="start"/>
      </w:tblPr>
      <w:tblGrid>
        <w:gridCol w:w="7920"/>
      </w:tblGrid>
      <w:tr>
        <w:tc>
          <w:tcPr/>
          <w:bookmarkStart w:id="66" w:name="fig-power-curves"/>
          <w:p>
            <w:pPr>
              <w:jc w:val="center"/>
            </w:pPr>
            <w:r>
              <w:drawing>
                <wp:inline>
                  <wp:extent cx="5334000" cy="2369551"/>
                  <wp:effectExtent b="0" l="0" r="0" t="0"/>
                  <wp:docPr descr="" title="" id="64" name="Picture"/>
                  <a:graphic>
                    <a:graphicData uri="http://schemas.openxmlformats.org/drawingml/2006/picture">
                      <pic:pic>
                        <pic:nvPicPr>
                          <pic:cNvPr descr="./combined-power-curves.png" id="65" name="Picture"/>
                          <pic:cNvPicPr>
                            <a:picLocks noChangeArrowheads="1" noChangeAspect="1"/>
                          </pic:cNvPicPr>
                        </pic:nvPicPr>
                        <pic:blipFill>
                          <a:blip r:embed="rId63"/>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Power curves for different combinations of cluster autocorrelations (CAC) and intra-cluster correlations (ICC).</w:t>
            </w:r>
            <w:r>
              <w:t xml:space="preserve"> </w:t>
            </w:r>
            <w:r>
              <w:rPr>
                <w:bCs/>
                <w:b/>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Cs/>
                <w:b/>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66"/>
        </w:tc>
      </w:tr>
    </w:tbl>
    <w:bookmarkEnd w:id="67"/>
    <w:bookmarkStart w:id="68"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68"/>
    <w:bookmarkEnd w:id="69"/>
    <w:bookmarkStart w:id="72" w:name="statistical-principles"/>
    <w:p>
      <w:pPr>
        <w:pStyle w:val="Heading2"/>
      </w:pPr>
      <w:r>
        <w:t xml:space="preserve">5.6 Statistical principles</w:t>
      </w:r>
    </w:p>
    <w:bookmarkStart w:id="70"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0"/>
    <w:bookmarkStart w:id="71"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1"/>
    <w:bookmarkEnd w:id="72"/>
    <w:bookmarkStart w:id="73"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3"/>
    <w:bookmarkStart w:id="76" w:name="baseline-analyses"/>
    <w:p>
      <w:pPr>
        <w:pStyle w:val="Heading2"/>
      </w:pPr>
      <w:r>
        <w:t xml:space="preserve">5.8 Baseline analyses</w:t>
      </w:r>
    </w:p>
    <w:bookmarkStart w:id="74"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4"/>
    <w:bookmarkStart w:id="75"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5"/>
    <w:bookmarkEnd w:id="76"/>
    <w:bookmarkStart w:id="77"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77"/>
    <w:bookmarkStart w:id="99"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w:t>
      </w:r>
    </w:p>
    <w:p>
      <w:pPr>
        <w:pStyle w:val="BodyText"/>
      </w:pPr>
      <w:r>
        <w:t xml:space="preserve">We will estimate the intervention effect as the odds ratio (OR) of death between the ATLS® and standard care arms, with an OR &lt; 1 indicating lower odds of death in the ATLS® arm compared to the standard care arm and vice versa.</w:t>
      </w:r>
    </w:p>
    <w:p>
      <w:pPr>
        <w:pStyle w:val="BodyText"/>
      </w:pPr>
      <w:r>
        <w:t xml:space="preserve">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w:t>
      </w:r>
    </w:p>
    <w:p>
      <w:pPr>
        <w:pStyle w:val="BodyText"/>
      </w:pPr>
      <w:r>
        <w:t xml:space="preserve">The primary analysis will be based on the most complex model that converges from a prespecified sequence of models of decreasing complexity, and this model will then be subject to sensitivity analyses.</w:t>
      </w:r>
    </w:p>
    <w:p>
      <w:pPr>
        <w:pStyle w:val="BodyText"/>
      </w:pPr>
      <w:r>
        <w:t xml:space="preserve">The analysis will proceed from the most complex model to progressively simpler models if convergence or numerical stability issues arise.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numPr>
          <w:ilvl w:val="0"/>
          <w:numId w:val="1006"/>
        </w:numPr>
        <w:pStyle w:val="Compact"/>
      </w:pPr>
      <w:r>
        <w:rPr>
          <w:bCs/>
          <w:b/>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78" w:name="eq-primary-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endChr m:val=")"/>
              <m:sepChr m:val=""/>
              <m:grow/>
            </m:dPr>
            <m:e>
              <m:r>
                <m:t>1</m:t>
              </m:r>
            </m:e>
          </m:d>
        </m:oMath>
      </m:oMathPara>
      <w:bookmarkEnd w:id="78"/>
    </w:p>
    <w:p>
      <w:pPr>
        <w:numPr>
          <w:ilvl w:val="0"/>
          <w:numId w:val="1007"/>
        </w:numPr>
        <w:pStyle w:val="Compact"/>
      </w:pPr>
      <w:r>
        <w:rPr>
          <w:bCs/>
          <w:b/>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79" w:name="eq-simplified-random-effects-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endChr m:val=")"/>
              <m:sepChr m:val=""/>
              <m:grow/>
            </m:dPr>
            <m:e>
              <m:r>
                <m:t>2</m:t>
              </m:r>
            </m:e>
          </m:d>
        </m:oMath>
      </m:oMathPara>
      <w:bookmarkEnd w:id="79"/>
    </w:p>
    <w:p>
      <w:pPr>
        <w:numPr>
          <w:ilvl w:val="0"/>
          <w:numId w:val="1008"/>
        </w:numPr>
        <w:pStyle w:val="Compact"/>
      </w:pPr>
      <w:r>
        <w:rPr>
          <w:bCs/>
          <w:b/>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0" w:name="eq-shared-period-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3</m:t>
              </m:r>
            </m:e>
          </m:d>
        </m:oMath>
      </m:oMathPara>
      <w:bookmarkEnd w:id="80"/>
    </w:p>
    <w:p>
      <w:pPr>
        <w:numPr>
          <w:ilvl w:val="0"/>
          <w:numId w:val="1009"/>
        </w:numPr>
        <w:pStyle w:val="Compact"/>
      </w:pPr>
      <w:r>
        <w:rPr>
          <w:bCs/>
          <w:b/>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1" w:name="eq-combined-simplified-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endChr m:val=")"/>
              <m:sepChr m:val=""/>
              <m:grow/>
            </m:dPr>
            <m:e>
              <m:r>
                <m:t>4</m:t>
              </m:r>
            </m:e>
          </m:d>
        </m:oMath>
      </m:oMathPara>
      <w:bookmarkEnd w:id="81"/>
    </w:p>
    <w:p>
      <w:pPr>
        <w:pStyle w:val="FirstParagraph"/>
      </w:pPr>
      <w:r>
        <w:t xml:space="preserve">Where:</w:t>
      </w:r>
    </w:p>
    <w:p>
      <w:pPr>
        <w:numPr>
          <w:ilvl w:val="0"/>
          <w:numId w:val="1010"/>
        </w:numPr>
        <w:pStyle w:val="Compact"/>
      </w:pPr>
      <m:oMath>
        <m:r>
          <m:t>g</m:t>
        </m:r>
        <m:d>
          <m:dPr>
            <m:begChr m:val="("/>
            <m:endChr m:val=")"/>
            <m:sepChr m:val=""/>
            <m:grow/>
          </m:dPr>
          <m:e>
            <m:r>
              <m:rPr>
                <m:sty m:val="p"/>
              </m:rPr>
              <m:t>⋅</m:t>
            </m:r>
          </m:e>
        </m:d>
      </m:oMath>
      <w:r>
        <w:t xml:space="preserve">: the link function, specified as either the logit link,</w:t>
      </w:r>
      <w:r>
        <w:t xml:space="preserve"> </w:t>
      </w:r>
      <m:oMath>
        <m:r>
          <m:t>g</m:t>
        </m:r>
        <m:d>
          <m:dPr>
            <m:begChr m:val="("/>
            <m:endChr m:val=")"/>
            <m:sepChr m:val=""/>
            <m:grow/>
          </m:dPr>
          <m:e>
            <m:r>
              <m:t>p</m:t>
            </m:r>
          </m:e>
        </m:d>
        <m:r>
          <m:rPr>
            <m:sty m:val="p"/>
          </m:rPr>
          <m:t>=</m:t>
        </m:r>
        <m:r>
          <m:rPr>
            <m:sty m:val="p"/>
          </m:rPr>
          <m:t>log</m:t>
        </m:r>
        <m:r>
          <m:rPr>
            <m:sty m:val="p"/>
          </m:rPr>
          <m:t>{</m:t>
        </m:r>
        <m:r>
          <m:t>p</m:t>
        </m:r>
        <m:r>
          <m:rPr>
            <m:sty m:val="p"/>
          </m:rPr>
          <m:t>/</m:t>
        </m:r>
        <m:d>
          <m:dPr>
            <m:begChr m:val="("/>
            <m:endChr m:val=")"/>
            <m:sepChr m:val=""/>
            <m:grow/>
          </m:dPr>
          <m:e>
            <m:r>
              <m:t>1</m:t>
            </m:r>
            <m:r>
              <m:rPr>
                <m:sty m:val="p"/>
              </m:rPr>
              <m:t>−</m:t>
            </m:r>
            <m:r>
              <m:t>p</m:t>
            </m:r>
          </m:e>
        </m:d>
        <m:r>
          <m:rPr>
            <m:sty m:val="p"/>
          </m:rPr>
          <m:t>}</m:t>
        </m:r>
      </m:oMath>
      <w:r>
        <w:t xml:space="preserve">, or the identity link,</w:t>
      </w:r>
      <w:r>
        <w:t xml:space="preserve"> </w:t>
      </w:r>
      <m:oMath>
        <m:r>
          <m:t>g</m:t>
        </m:r>
        <m:d>
          <m:dPr>
            <m:begChr m:val="("/>
            <m:endChr m:val=")"/>
            <m:sepChr m:val=""/>
            <m:grow/>
          </m:dPr>
          <m:e>
            <m:r>
              <m:t>p</m:t>
            </m:r>
          </m:e>
        </m:d>
        <m:r>
          <m:rPr>
            <m:sty m:val="p"/>
          </m:rPr>
          <m:t>=</m:t>
        </m:r>
        <m:r>
          <m:t>p</m:t>
        </m:r>
      </m:oMath>
      <w:r>
        <w:t xml:space="preserve">, depending on the estimand of interest.</w:t>
      </w:r>
    </w:p>
    <w:p>
      <w:pPr>
        <w:numPr>
          <w:ilvl w:val="0"/>
          <w:numId w:val="1010"/>
        </w:numPr>
        <w:pStyle w:val="Compact"/>
      </w:pPr>
      <m:oMath>
        <m:r>
          <m:t>θ</m:t>
        </m:r>
      </m:oMath>
      <w:r>
        <w:t xml:space="preserve">:</w:t>
      </w:r>
      <w:r>
        <w:t xml:space="preserve"> </w:t>
      </w:r>
      <w:r>
        <w:rPr>
          <w:bCs/>
          <w:b/>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numPr>
          <w:ilvl w:val="0"/>
          <w:numId w:val="1010"/>
        </w:numPr>
        <w:pStyle w:val="Compact"/>
      </w:pPr>
      <m:oMath>
        <m:r>
          <m:rPr>
            <m:sty m:val="p"/>
          </m:rPr>
          <m:t>Pr</m:t>
        </m:r>
        <m:d>
          <m:dPr>
            <m:begChr m:val="("/>
            <m:endChr m:val=")"/>
            <m:sep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rPr>
            <m:nor/>
            <m:sty m:val="p"/>
            <m:scr m:val="monospace"/>
          </m:rPr>
          <m:t>r clusters</m:t>
        </m:r>
      </m:oMath>
      <w:r>
        <w:t xml:space="preserve"> </w:t>
      </w:r>
      <w:r>
        <w:t xml:space="preserve">during period</w:t>
      </w:r>
      <w:r>
        <w:t xml:space="preserve"> </w:t>
      </w:r>
      <m:oMath>
        <m:r>
          <m:t>t</m:t>
        </m:r>
        <m:r>
          <m:rPr>
            <m:sty m:val="p"/>
          </m:rPr>
          <m:t>=</m:t>
        </m:r>
        <m:r>
          <m:t>1</m:t>
        </m:r>
        <m:r>
          <m:rPr>
            <m:sty m:val="p"/>
          </m:rPr>
          <m:t>,</m:t>
        </m:r>
        <m:r>
          <m:rPr>
            <m:sty m:val="p"/>
          </m:rPr>
          <m:t>…</m:t>
        </m:r>
        <m:r>
          <m:rPr>
            <m:sty m:val="p"/>
          </m:rPr>
          <m:t>,</m:t>
        </m:r>
        <m:r>
          <m:rPr>
            <m:nor/>
            <m:sty m:val="p"/>
            <m:scr m:val="monospace"/>
          </m:rPr>
          <m:t>r total.months - 1</m:t>
        </m:r>
      </m:oMath>
      <w:r>
        <w:t xml:space="preserve"> </w:t>
      </w:r>
      <w:r>
        <w:t xml:space="preserve">in batch</w:t>
      </w:r>
      <w:r>
        <w:t xml:space="preserve"> </w:t>
      </w:r>
      <m:oMath>
        <m:r>
          <m:t>b</m:t>
        </m:r>
        <m:r>
          <m:rPr>
            <m:sty m:val="p"/>
          </m:rPr>
          <m:t>=</m:t>
        </m:r>
        <m:r>
          <m:t>1</m:t>
        </m:r>
        <m:r>
          <m:rPr>
            <m:sty m:val="p"/>
          </m:rPr>
          <m:t>,</m:t>
        </m:r>
        <m:r>
          <m:rPr>
            <m:sty m:val="p"/>
          </m:rPr>
          <m:t>…</m:t>
        </m:r>
        <m:r>
          <m:rPr>
            <m:sty m:val="p"/>
          </m:rPr>
          <m:t>,</m:t>
        </m:r>
        <m:r>
          <m:rPr>
            <m:nor/>
            <m:sty m:val="p"/>
            <m:scr m:val="monospace"/>
          </m:rPr>
          <m:t>r batches</m:t>
        </m:r>
      </m:oMath>
      <w:r>
        <w:t xml:space="preserve">.</w:t>
      </w:r>
    </w:p>
    <w:p>
      <w:pPr>
        <w:numPr>
          <w:ilvl w:val="0"/>
          <w:numId w:val="1010"/>
        </w:numPr>
        <w:pStyle w:val="Compact"/>
      </w:pPr>
      <m:oMath>
        <m:r>
          <m:t>μ</m:t>
        </m:r>
      </m:oMath>
      <w:r>
        <w:t xml:space="preserve">: the intercept, representing the value of the linear predictor for the reference levels of all fixed effects, with random effects equal to zero.</w:t>
      </w:r>
    </w:p>
    <w:p>
      <w:pPr>
        <w:numPr>
          <w:ilvl w:val="0"/>
          <w:numId w:val="1010"/>
        </w:numPr>
        <w:pStyle w:val="Compact"/>
      </w:pPr>
      <m:oMath>
        <m:sSub>
          <m:e>
            <m:r>
              <m:t>β</m:t>
            </m:r>
          </m:e>
          <m:sub>
            <m:r>
              <m:t>t</m:t>
            </m:r>
          </m:sub>
        </m:sSub>
      </m:oMath>
      <w:r>
        <w:t xml:space="preserve">: the fixed effect of period</w:t>
      </w:r>
      <w:r>
        <w:t xml:space="preserve"> </w:t>
      </w:r>
      <m:oMath>
        <m:r>
          <m:t>t</m:t>
        </m:r>
      </m:oMath>
      <w:r>
        <w:t xml:space="preserve">, shared across batches.</w:t>
      </w:r>
    </w:p>
    <w:p>
      <w:pPr>
        <w:numPr>
          <w:ilvl w:val="0"/>
          <w:numId w:val="1010"/>
        </w:numPr>
        <w:pStyle w:val="Compact"/>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w:t>
      </w:r>
      <w:r>
        <w:t xml:space="preserve"> </w:t>
      </w:r>
      <m:oMath>
        <m:r>
          <m:rPr>
            <m:nor/>
            <m:sty m:val="p"/>
            <m:scr m:val="monospace"/>
          </m:rPr>
          <m:t>r batches</m:t>
        </m:r>
        <m:r>
          <m:rPr>
            <m:sty m:val="p"/>
          </m:rPr>
          <m:t>×</m:t>
        </m:r>
        <m:d>
          <m:dPr>
            <m:begChr m:val="("/>
            <m:endChr m:val=")"/>
            <m:sepChr m:val=""/>
            <m:grow/>
          </m:dPr>
          <m:e>
            <m:r>
              <m:rPr>
                <m:nor/>
                <m:sty m:val="p"/>
                <m:scr m:val="monospace"/>
              </m:rPr>
              <m:t>total.months</m:t>
            </m:r>
            <m:r>
              <m:rPr>
                <m:sty m:val="p"/>
              </m:rPr>
              <m:t>−</m:t>
            </m:r>
            <m:r>
              <m:t>1</m:t>
            </m:r>
          </m:e>
        </m:d>
      </m:oMath>
      <w:r>
        <w:t xml:space="preserve"> </w:t>
      </w:r>
      <w:r>
        <w:t xml:space="preserve">period effects.</w:t>
      </w:r>
    </w:p>
    <w:p>
      <w:pPr>
        <w:numPr>
          <w:ilvl w:val="0"/>
          <w:numId w:val="1010"/>
        </w:numPr>
        <w:pStyle w:val="Compact"/>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numPr>
          <w:ilvl w:val="0"/>
          <w:numId w:val="1010"/>
        </w:numPr>
        <w:pStyle w:val="Compact"/>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numPr>
          <w:ilvl w:val="0"/>
          <w:numId w:val="1010"/>
        </w:numPr>
        <w:pStyle w:val="Compact"/>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2" w:name="eq-distributional-assumptions"/>
      <m:oMathPara>
        <m:oMathParaPr>
          <m:jc m:val="center"/>
        </m:oMathParaPr>
        <m:oMath>
          <m:m>
            <m:mPr>
              <m:baseJc m:val="center"/>
              <m:plcHide m:val="1"/>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endChr m:val=")"/>
                    <m:sep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endChr m:val=")"/>
                    <m:sep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endChr m:val=")"/>
              <m:sepChr m:val=""/>
              <m:grow/>
            </m:dPr>
            <m:e>
              <m:r>
                <m:t>5</m:t>
              </m:r>
            </m:e>
          </m:d>
        </m:oMath>
      </m:oMathPara>
      <w:bookmarkEnd w:id="82"/>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5"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4" w:name="X22dda602ebb4652e0fd291705062d91648ada05"/>
    <w:p>
      <w:pPr>
        <w:pStyle w:val="Heading4"/>
      </w:pPr>
      <w:r>
        <w:t xml:space="preserve">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3"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endChr m:val=")"/>
              <m:sepChr m:val=""/>
              <m:grow/>
            </m:dPr>
            <m:e>
              <m:r>
                <m:t>0</m:t>
              </m:r>
              <m:r>
                <m:rPr>
                  <m:sty m:val="p"/>
                </m:rPr>
                <m:t>,</m:t>
              </m:r>
              <m:sSubSup>
                <m:e>
                  <m:r>
                    <m:t>σ</m:t>
                  </m:r>
                </m:e>
                <m:sub>
                  <m:r>
                    <m:t>α</m:t>
                  </m:r>
                </m:sub>
                <m:sup>
                  <m:r>
                    <m:t>2</m:t>
                  </m:r>
                </m:sup>
              </m:sSubSup>
            </m:e>
          </m:d>
          <m:r>
            <m:t>  </m:t>
          </m:r>
          <m:d>
            <m:dPr>
              <m:begChr m:val="("/>
              <m:endChr m:val=")"/>
              <m:sepChr m:val=""/>
              <m:grow/>
            </m:dPr>
            <m:e>
              <m:r>
                <m:t>6</m:t>
              </m:r>
            </m:e>
          </m:d>
        </m:oMath>
      </m:oMathPara>
      <w:bookmarkEnd w:id="83"/>
    </w:p>
    <w:p>
      <w:pPr>
        <w:pStyle w:val="FirstParagraph"/>
      </w:pPr>
      <w:r>
        <w:t xml:space="preserve">Where:</w:t>
      </w:r>
    </w:p>
    <w:p>
      <w:pPr>
        <w:numPr>
          <w:ilvl w:val="0"/>
          <w:numId w:val="1011"/>
        </w:numPr>
        <w:pStyle w:val="Compact"/>
      </w:pPr>
      <m:oMath>
        <m:r>
          <m:t>ρ</m:t>
        </m:r>
      </m:oMath>
      <w:r>
        <w:t xml:space="preserve"> </w:t>
      </w:r>
      <w:r>
        <w:t xml:space="preserve">is the correlation parameter governing the association between adjacent periods within the same cluster.</w:t>
      </w:r>
    </w:p>
    <w:p>
      <w:pPr>
        <w:numPr>
          <w:ilvl w:val="0"/>
          <w:numId w:val="1011"/>
        </w:numPr>
        <w:pStyle w:val="Compact"/>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numPr>
          <w:ilvl w:val="0"/>
          <w:numId w:val="1011"/>
        </w:numPr>
        <w:pStyle w:val="Compact"/>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4"/>
    <w:bookmarkStart w:id="86" w:name="X265de50a776706f6d9ec7b4549b866a94e548a1"/>
    <w:p>
      <w:pPr>
        <w:pStyle w:val="Heading4"/>
      </w:pPr>
      <w:r>
        <w:t xml:space="preserve">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5" w:name="eq-model-batch-trend"/>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endChr m:val=")"/>
              <m:sepChr m:val=""/>
              <m:grow/>
            </m:dPr>
            <m:e>
              <m:r>
                <m:t>7</m:t>
              </m:r>
            </m:e>
          </m:d>
        </m:oMath>
      </m:oMathPara>
      <w:bookmarkEnd w:id="85"/>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86"/>
    <w:bookmarkStart w:id="88" w:name="X831bc7e780a434f5c3512e5d33d43284b7d37ce"/>
    <w:p>
      <w:pPr>
        <w:pStyle w:val="Heading4"/>
      </w:pPr>
      <w:r>
        <w:t xml:space="preserve">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87" w:name="eq-model-random-cluster-intervention"/>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endChr m:val=")"/>
              <m:sepChr m:val=""/>
              <m:grow/>
            </m:dPr>
            <m:e>
              <m:r>
                <m:t>8</m:t>
              </m:r>
            </m:e>
          </m:d>
        </m:oMath>
      </m:oMathPara>
      <w:bookmarkEnd w:id="87"/>
    </w:p>
    <w:p>
      <w:pPr>
        <w:pStyle w:val="FirstParagraph"/>
      </w:pPr>
      <w:r>
        <w:t xml:space="preserve">Where:</w:t>
      </w:r>
    </w:p>
    <w:p>
      <w:pPr>
        <w:numPr>
          <w:ilvl w:val="0"/>
          <w:numId w:val="1012"/>
        </w:numPr>
        <w:pStyle w:val="Compact"/>
      </w:pPr>
      <m:oMath>
        <m:sSub>
          <m:e>
            <m:r>
              <m:t>u</m:t>
            </m:r>
          </m:e>
          <m:sub>
            <m:r>
              <m:t>b</m:t>
            </m:r>
            <m:r>
              <m:t>k</m:t>
            </m:r>
          </m:sub>
        </m:sSub>
        <m:r>
          <m:rPr>
            <m:sty m:val="p"/>
          </m:rPr>
          <m:t>∼</m:t>
        </m:r>
        <m:r>
          <m:rPr>
            <m:sty m:val="p"/>
            <m:scr m:val="script"/>
          </m:rPr>
          <m:t>N</m:t>
        </m:r>
        <m:d>
          <m:dPr>
            <m:begChr m:val="("/>
            <m:endChr m:val=")"/>
            <m:sep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numPr>
          <w:ilvl w:val="0"/>
          <w:numId w:val="1012"/>
        </w:numPr>
        <w:pStyle w:val="Compact"/>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88"/>
    <w:bookmarkStart w:id="90" w:name="X0324ad02af1274e3e5fe3c1dbe99d3dad84fc47"/>
    <w:p>
      <w:pPr>
        <w:pStyle w:val="Heading4"/>
      </w:pPr>
      <w:r>
        <w:t xml:space="preserve">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89" w:name="eq-model-correlated-random-effects"/>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endChr m:val=")"/>
              <m:sepChr m:val=""/>
              <m:grow/>
            </m:dPr>
            <m:e>
              <m:r>
                <m:t>9</m:t>
              </m:r>
            </m:e>
          </m:d>
        </m:oMath>
      </m:oMathPara>
      <w:bookmarkEnd w:id="89"/>
    </w:p>
    <w:p>
      <w:pPr>
        <w:pStyle w:val="FirstParagraph"/>
      </w:pPr>
      <w:r>
        <w:t xml:space="preserve">We assume a joint multivariate normal distribution for the random effects:</w:t>
      </w:r>
    </w:p>
    <w:p>
      <w:pPr>
        <w:pStyle w:val="BodyText"/>
      </w:pPr>
      <m:oMathPara>
        <m:oMathParaPr>
          <m:jc m:val="center"/>
        </m:oMathParaPr>
        <m:oMath>
          <m:d>
            <m:dPr>
              <m:begChr m:val="("/>
              <m:endChr m:val=")"/>
              <m:sepChr m:val=""/>
              <m:grow/>
            </m:dPr>
            <m:e>
              <m:m>
                <m:mPr>
                  <m:baseJc m:val="center"/>
                  <m:plcHide m:val="1"/>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endChr m:val=")"/>
              <m:sepChr m:val=""/>
              <m:grow/>
            </m:dPr>
            <m:e>
              <m:d>
                <m:dPr>
                  <m:begChr m:val="("/>
                  <m:endChr m:val=")"/>
                  <m:sepChr m:val=""/>
                  <m:grow/>
                </m:dPr>
                <m:e>
                  <m:m>
                    <m:mPr>
                      <m:baseJc m:val="center"/>
                      <m:plcHide m:val="1"/>
                      <m:mcs>
                        <m:mc>
                          <m:mcPr>
                            <m:mcJc m:val="center"/>
                            <m:count m:val="1"/>
                          </m:mcPr>
                        </m:mc>
                      </m:mcs>
                    </m:mPr>
                    <m:mr>
                      <m:e>
                        <m:r>
                          <m:t>0</m:t>
                        </m:r>
                      </m:e>
                    </m:mr>
                    <m:mr>
                      <m:e>
                        <m:r>
                          <m:t>0</m:t>
                        </m:r>
                      </m:e>
                    </m:mr>
                    <m:mr>
                      <m:e>
                        <m:r>
                          <m:t>0</m:t>
                        </m:r>
                      </m:e>
                    </m:mr>
                  </m:m>
                </m:e>
              </m:d>
              <m:r>
                <m:rPr>
                  <m:sty m:val="p"/>
                </m:rPr>
                <m:t>,</m:t>
              </m:r>
              <m:d>
                <m:dPr>
                  <m:begChr m:val="("/>
                  <m:endChr m:val=")"/>
                  <m:sepChr m:val=""/>
                  <m:grow/>
                </m:dPr>
                <m:e>
                  <m:m>
                    <m:mPr>
                      <m:baseJc m:val="center"/>
                      <m:plcHide m:val="1"/>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0"/>
    <w:bookmarkStart w:id="92" w:name="Xb7b1d3ff7c24f0b8dca2081a41dd1947ef59e07"/>
    <w:p>
      <w:pPr>
        <w:pStyle w:val="Heading4"/>
      </w:pPr>
      <w:r>
        <w:t xml:space="preserve">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1" w:name="eq-spline-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0"/>
              <m:supHide m:val="0"/>
            </m:naryPr>
            <m:sub>
              <m:r>
                <m:t>j</m:t>
              </m:r>
              <m:r>
                <m:rPr>
                  <m:sty m:val="p"/>
                </m:rPr>
                <m:t>=</m:t>
              </m:r>
              <m:r>
                <m:t>1</m:t>
              </m:r>
            </m:sub>
            <m:sup>
              <m:r>
                <m:t>5</m:t>
              </m:r>
            </m:sup>
            <m:e>
              <m:sSub>
                <m:e>
                  <m:r>
                    <m:t>β</m:t>
                  </m:r>
                </m:e>
                <m:sub>
                  <m:r>
                    <m:t>j</m:t>
                  </m:r>
                </m:sub>
              </m:sSub>
            </m:e>
          </m:nary>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10</m:t>
              </m:r>
            </m:e>
          </m:d>
        </m:oMath>
      </m:oMathPara>
      <w:bookmarkEnd w:id="91"/>
    </w:p>
    <w:p>
      <w:pPr>
        <w:pStyle w:val="FirstParagraph"/>
      </w:pPr>
      <w:r>
        <w:t xml:space="preserve">Where:</w:t>
      </w:r>
    </w:p>
    <w:p>
      <w:pPr>
        <w:numPr>
          <w:ilvl w:val="0"/>
          <w:numId w:val="1013"/>
        </w:numPr>
        <w:pStyle w:val="Compact"/>
      </w:pPr>
      <m:oMath>
        <m:r>
          <m:t>t</m:t>
        </m:r>
      </m:oMath>
      <w:r>
        <w:t xml:space="preserve"> </w:t>
      </w:r>
      <w:r>
        <w:t xml:space="preserve">denotes calendar time (period index) common to all batches.</w:t>
      </w:r>
    </w:p>
    <w:p>
      <w:pPr>
        <w:numPr>
          <w:ilvl w:val="0"/>
          <w:numId w:val="1013"/>
        </w:numPr>
        <w:pStyle w:val="Compact"/>
      </w:pPr>
      <m:oMath>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numPr>
          <w:ilvl w:val="0"/>
          <w:numId w:val="1013"/>
        </w:numPr>
        <w:pStyle w:val="Compact"/>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2"/>
    <w:bookmarkStart w:id="94" w:name="models-exploring-lag-and-weaning-effects"/>
    <w:p>
      <w:pPr>
        <w:pStyle w:val="Heading4"/>
      </w:pPr>
      <w:r>
        <w:t xml:space="preserve">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3" w:name="eq-lag-weaning-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11</m:t>
              </m:r>
            </m:e>
          </m:d>
        </m:oMath>
      </m:oMathPara>
      <w:bookmarkEnd w:id="93"/>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4"/>
    <w:bookmarkEnd w:id="95"/>
    <w:bookmarkStart w:id="96"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numPr>
          <w:ilvl w:val="0"/>
          <w:numId w:val="1014"/>
        </w:numPr>
        <w:pStyle w:val="Compact"/>
      </w:pPr>
      <w:r>
        <w:t xml:space="preserve">Age (&lt;5%)</w:t>
      </w:r>
    </w:p>
    <w:p>
      <w:pPr>
        <w:numPr>
          <w:ilvl w:val="0"/>
          <w:numId w:val="1014"/>
        </w:numPr>
        <w:pStyle w:val="Compact"/>
      </w:pPr>
      <w:r>
        <w:t xml:space="preserve">Sex (&lt;5%)</w:t>
      </w:r>
    </w:p>
    <w:p>
      <w:pPr>
        <w:numPr>
          <w:ilvl w:val="0"/>
          <w:numId w:val="1014"/>
        </w:numPr>
        <w:pStyle w:val="Compact"/>
      </w:pPr>
      <w:r>
        <w:t xml:space="preserve">Systolic blood pressure (25%)</w:t>
      </w:r>
    </w:p>
    <w:p>
      <w:pPr>
        <w:numPr>
          <w:ilvl w:val="0"/>
          <w:numId w:val="1014"/>
        </w:numPr>
        <w:pStyle w:val="Compact"/>
      </w:pPr>
      <w:r>
        <w:t xml:space="preserve">Glasgow Coma Scale (25%)</w:t>
      </w:r>
    </w:p>
    <w:p>
      <w:pPr>
        <w:numPr>
          <w:ilvl w:val="0"/>
          <w:numId w:val="1014"/>
        </w:numPr>
        <w:pStyle w:val="Compact"/>
      </w:pPr>
      <w:r>
        <w:t xml:space="preserve">Injury Severity Score (10%)</w:t>
      </w:r>
    </w:p>
    <w:p>
      <w:pPr>
        <w:numPr>
          <w:ilvl w:val="0"/>
          <w:numId w:val="1014"/>
        </w:numPr>
        <w:pStyle w:val="Compact"/>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96"/>
    <w:bookmarkStart w:id="97" w:name="subgroup-analyses"/>
    <w:p>
      <w:pPr>
        <w:pStyle w:val="Heading3"/>
      </w:pPr>
      <w:r>
        <w:t xml:space="preserve">5.10.3 Subgroup analyses</w:t>
      </w:r>
    </w:p>
    <w:p>
      <w:pPr>
        <w:pStyle w:val="FirstParagraph"/>
      </w:pPr>
      <w:r>
        <w:t xml:space="preserve">We will perform the following subgroup analyses:</w:t>
      </w:r>
    </w:p>
    <w:p>
      <w:pPr>
        <w:numPr>
          <w:ilvl w:val="0"/>
          <w:numId w:val="1015"/>
        </w:numPr>
        <w:pStyle w:val="Compact"/>
      </w:pPr>
      <w:r>
        <w:t xml:space="preserve">geographical region, defined using the state in which the participating hospital is located. Demonstrating the consistency of any effect across multiple regions will enhance the generalisibility of the results;</w:t>
      </w:r>
    </w:p>
    <w:p>
      <w:pPr>
        <w:numPr>
          <w:ilvl w:val="0"/>
          <w:numId w:val="1015"/>
        </w:numPr>
        <w:pStyle w:val="Compact"/>
      </w:pPr>
      <w:r>
        <w:t xml:space="preserve">age groups, defined as older adolescents (15-19 years), young adults (20-24 years), adults (25-59 years), and older adults (60 years and older) [</w:t>
      </w:r>
      <w:r>
        <w:rPr>
          <w:vertAlign w:val="superscript"/>
        </w:rPr>
        <w:t xml:space="preserve">18</w:t>
      </w:r>
      <w:r>
        <w:t xml:space="preserve">;</w:t>
      </w:r>
    </w:p>
    <w:p>
      <w:pPr>
        <w:numPr>
          <w:ilvl w:val="0"/>
          <w:numId w:val="1015"/>
        </w:numPr>
        <w:pStyle w:val="Compact"/>
      </w:pPr>
      <w:r>
        <w:t xml:space="preserve">sex, using the levels male and female;</w:t>
      </w:r>
    </w:p>
    <w:p>
      <w:pPr>
        <w:numPr>
          <w:ilvl w:val="0"/>
          <w:numId w:val="1015"/>
        </w:numPr>
        <w:pStyle w:val="Compact"/>
      </w:pPr>
      <w:r>
        <w:t xml:space="preserve">clinical cohorts, defined as blunt multisystem trauma, penetrating trauma, and severe isolated traumatic brain injury, with modification to avoid overlap between the cohorts; and</w:t>
      </w:r>
    </w:p>
    <w:p>
      <w:pPr>
        <w:numPr>
          <w:ilvl w:val="0"/>
          <w:numId w:val="1015"/>
        </w:numPr>
        <w:pStyle w:val="Compact"/>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97"/>
    <w:bookmarkStart w:id="98"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98"/>
    <w:bookmarkEnd w:id="99"/>
    <w:bookmarkStart w:id="113"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0"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0"/>
    <w:bookmarkStart w:id="103"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1" w:name="eq-ordinal-model"/>
      <m:oMathPara>
        <m:oMathParaPr>
          <m:jc m:val="center"/>
        </m:oMathParaPr>
        <m:oMath>
          <m:r>
            <m:rPr>
              <m:nor/>
              <m:sty m:val="p"/>
            </m:rPr>
            <m:t>logit</m:t>
          </m:r>
          <m:r>
            <m:rPr>
              <m:sty m:val="p"/>
            </m:rPr>
            <m:t>{</m:t>
          </m:r>
          <m:r>
            <m:rPr>
              <m:sty m:val="p"/>
            </m:rPr>
            <m:t>Pr</m:t>
          </m:r>
          <m:d>
            <m:dPr>
              <m:begChr m:val="("/>
              <m:endChr m:val=")"/>
              <m:sep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12</m:t>
              </m:r>
            </m:e>
          </m:d>
        </m:oMath>
      </m:oMathPara>
      <w:bookmarkEnd w:id="101"/>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2"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endChr m:val=")"/>
              <m:sepChr m:val=""/>
              <m:grow/>
            </m:dPr>
            <m:e>
              <m:r>
                <m:t>0</m:t>
              </m:r>
              <m:r>
                <m:rPr>
                  <m:sty m:val="p"/>
                </m:rPr>
                <m:t>,</m:t>
              </m:r>
              <m:sSup>
                <m:e>
                  <m:r>
                    <m:t>σ</m:t>
                  </m:r>
                </m:e>
                <m:sup>
                  <m:r>
                    <m:t>2</m:t>
                  </m:r>
                </m:sup>
              </m:sSup>
            </m:e>
          </m:d>
          <m:r>
            <m:t>  </m:t>
          </m:r>
          <m:d>
            <m:dPr>
              <m:begChr m:val="("/>
              <m:endChr m:val=")"/>
              <m:sepChr m:val=""/>
              <m:grow/>
            </m:dPr>
            <m:e>
              <m:r>
                <m:t>13</m:t>
              </m:r>
            </m:e>
          </m:d>
        </m:oMath>
      </m:oMathPara>
      <w:bookmarkEnd w:id="102"/>
    </w:p>
    <w:bookmarkEnd w:id="103"/>
    <w:bookmarkStart w:id="104"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19</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w:t>
      </w:r>
      <w:r>
        <w:t xml:space="preserve">complex scoring</w:t>
      </w:r>
      <w:r>
        <w:t xml:space="preserve">”</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4"/>
    <w:bookmarkStart w:id="105"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5"/>
    <w:bookmarkStart w:id="107"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06" w:name="eq-competing-risks-model"/>
      <m:oMathPara>
        <m:oMathParaPr>
          <m:jc m:val="center"/>
        </m:oMathParaPr>
        <m:oMath>
          <m:sSubSup>
            <m:e>
              <m:r>
                <m:t>h</m:t>
              </m:r>
            </m:e>
            <m:sub>
              <m:r>
                <m:t>b</m:t>
              </m:r>
              <m:r>
                <m:t>k</m:t>
              </m:r>
            </m:sub>
            <m:sup>
              <m:d>
                <m:dPr>
                  <m:begChr m:val="("/>
                  <m:endChr m:val=")"/>
                  <m:sepChr m:val=""/>
                  <m:grow/>
                </m:dPr>
                <m:e>
                  <m:r>
                    <m:t>s</m:t>
                  </m:r>
                </m:e>
              </m:d>
            </m:sup>
          </m:sSubSup>
          <m:d>
            <m:dPr>
              <m:begChr m:val="("/>
              <m:endChr m:val=")"/>
              <m:sepChr m:val=""/>
              <m:grow/>
            </m:dPr>
            <m:e>
              <m:r>
                <m:t>t</m:t>
              </m:r>
            </m:e>
          </m:d>
          <m:r>
            <m:rPr>
              <m:sty m:val="p"/>
            </m:rPr>
            <m:t>=</m:t>
          </m:r>
          <m:sSubSup>
            <m:e>
              <m:r>
                <m:t>h</m:t>
              </m:r>
            </m:e>
            <m:sub>
              <m:r>
                <m:t>0</m:t>
              </m:r>
            </m:sub>
            <m:sup>
              <m:d>
                <m:dPr>
                  <m:begChr m:val="("/>
                  <m:endChr m:val=")"/>
                  <m:sepChr m:val=""/>
                  <m:grow/>
                </m:dPr>
                <m:e>
                  <m:r>
                    <m:t>s</m:t>
                  </m:r>
                </m:e>
              </m:d>
            </m:sup>
          </m:sSubSup>
          <m:d>
            <m:dPr>
              <m:begChr m:val="("/>
              <m:endChr m:val=")"/>
              <m:sep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endChr m:val=")"/>
              <m:sepChr m:val=""/>
              <m:grow/>
            </m:dPr>
            <m:e>
              <m:r>
                <m:t>14</m:t>
              </m:r>
            </m:e>
          </m:d>
        </m:oMath>
      </m:oMathPara>
      <w:bookmarkEnd w:id="106"/>
    </w:p>
    <w:p>
      <w:pPr>
        <w:pStyle w:val="FirstParagraph"/>
      </w:pPr>
      <w:r>
        <w:t xml:space="preserve">Where:</w:t>
      </w:r>
    </w:p>
    <w:p>
      <w:pPr>
        <w:numPr>
          <w:ilvl w:val="0"/>
          <w:numId w:val="1016"/>
        </w:numPr>
        <w:pStyle w:val="Compact"/>
      </w:pPr>
      <m:oMath>
        <m:sSubSup>
          <m:e>
            <m:r>
              <m:t>h</m:t>
            </m:r>
          </m:e>
          <m:sub>
            <m:r>
              <m:t>b</m:t>
            </m:r>
            <m:r>
              <m:t>k</m:t>
            </m:r>
          </m:sub>
          <m:sup>
            <m:d>
              <m:dPr>
                <m:begChr m:val="("/>
                <m:endChr m:val=")"/>
                <m:sepChr m:val=""/>
                <m:grow/>
              </m:dPr>
              <m:e>
                <m:r>
                  <m:t>s</m:t>
                </m:r>
              </m:e>
            </m:d>
          </m:sup>
        </m:sSubSup>
        <m:d>
          <m:dPr>
            <m:begChr m:val="("/>
            <m:endChr m:val=")"/>
            <m:sep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numPr>
          <w:ilvl w:val="0"/>
          <w:numId w:val="1016"/>
        </w:numPr>
        <w:pStyle w:val="Compact"/>
      </w:pPr>
      <m:oMath>
        <m:sSubSup>
          <m:e>
            <m:r>
              <m:t>h</m:t>
            </m:r>
          </m:e>
          <m:sub>
            <m:r>
              <m:t>0</m:t>
            </m:r>
          </m:sub>
          <m:sup>
            <m:d>
              <m:dPr>
                <m:begChr m:val="("/>
                <m:endChr m:val=")"/>
                <m:sepChr m:val=""/>
                <m:grow/>
              </m:dPr>
              <m:e>
                <m:r>
                  <m:t>s</m:t>
                </m:r>
              </m:e>
            </m:d>
          </m:sup>
        </m:sSubSup>
        <m:d>
          <m:dPr>
            <m:begChr m:val="("/>
            <m:endChr m:val=")"/>
            <m:sepChr m:val=""/>
            <m:grow/>
          </m:dPr>
          <m:e>
            <m:r>
              <m:t>t</m:t>
            </m:r>
          </m:e>
        </m:d>
      </m:oMath>
      <w:r>
        <w:t xml:space="preserve">: the baseline subdistribution hazard function.</w:t>
      </w:r>
    </w:p>
    <w:p>
      <w:pPr>
        <w:numPr>
          <w:ilvl w:val="0"/>
          <w:numId w:val="1016"/>
        </w:numPr>
        <w:pStyle w:val="Compact"/>
      </w:pPr>
      <m:oMath>
        <m:r>
          <m:t>θ</m:t>
        </m:r>
      </m:oMath>
      <w:r>
        <w:t xml:space="preserve">: under the Fine–Gray model, represents the log subdistribution hazard ratio for discharge associated with ATLS® exposure.</w:t>
      </w:r>
    </w:p>
    <w:p>
      <w:pPr>
        <w:numPr>
          <w:ilvl w:val="0"/>
          <w:numId w:val="1016"/>
        </w:numPr>
        <w:pStyle w:val="Compact"/>
      </w:pPr>
      <w:r>
        <w:t xml:space="preserve">All other terms are defined as in the primary analysis model.</w:t>
      </w:r>
    </w:p>
    <w:bookmarkEnd w:id="107"/>
    <w:bookmarkStart w:id="108"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08"/>
    <w:bookmarkStart w:id="109"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9"/>
    <w:bookmarkStart w:id="110"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0"/>
    <w:bookmarkStart w:id="112"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1" w:name="eq-beta-model"/>
      <m:oMathPara>
        <m:oMathParaPr>
          <m:jc m:val="center"/>
        </m:oMathParaPr>
        <m:oMath>
          <m:r>
            <m:t>g</m:t>
          </m:r>
          <m:r>
            <m:rPr>
              <m:sty m:val="p"/>
            </m:rPr>
            <m:t>{</m:t>
          </m:r>
          <m:r>
            <m:rPr>
              <m:sty m:val="p"/>
              <m:scr m:val="double-struck"/>
            </m:rPr>
            <m:t>E</m:t>
          </m:r>
          <m:d>
            <m:dPr>
              <m:begChr m:val="("/>
              <m:endChr m:val=")"/>
              <m:sep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15</m:t>
              </m:r>
            </m:e>
          </m:d>
        </m:oMath>
      </m:oMathPara>
      <w:bookmarkEnd w:id="111"/>
    </w:p>
    <w:p>
      <w:pPr>
        <w:pStyle w:val="FirstParagraph"/>
      </w:pPr>
      <w:r>
        <w:t xml:space="preserve">Where</w:t>
      </w:r>
      <w:r>
        <w:t xml:space="preserve"> </w:t>
      </w:r>
      <m:oMath>
        <m:r>
          <m:rPr>
            <m:sty m:val="p"/>
            <m:scr m:val="double-struck"/>
          </m:rPr>
          <m:t>E</m:t>
        </m:r>
        <m:d>
          <m:dPr>
            <m:begChr m:val="("/>
            <m:endChr m:val=")"/>
            <m:sep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endChr m:val=")"/>
            <m:sep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2"/>
    <w:bookmarkEnd w:id="113"/>
    <w:bookmarkEnd w:id="114"/>
    <w:bookmarkStart w:id="135" w:name="references"/>
    <w:p>
      <w:pPr>
        <w:pStyle w:val="Heading1"/>
      </w:pPr>
      <w:r>
        <w:t xml:space="preserve">6. References</w:t>
      </w:r>
    </w:p>
    <w:bookmarkStart w:id="134" w:name="refs"/>
    <w:bookmarkStart w:id="115" w:name="ref-Kasza2022"/>
    <w:p>
      <w:pPr>
        <w:pStyle w:val="Bibliography"/>
      </w:pPr>
      <w:r>
        <w:t xml:space="preserve">1.</w:t>
      </w:r>
      <w:r>
        <w:t xml:space="preserve"> </w:t>
      </w:r>
      <w:r>
        <w:t xml:space="preserve">	</w:t>
      </w:r>
      <w:r>
        <w:t xml:space="preserve">Kasza, J.</w:t>
      </w:r>
      <w:r>
        <w:t xml:space="preserve"> </w:t>
      </w:r>
      <w:r>
        <w:rPr>
          <w:iCs/>
          <w:i/>
        </w:rPr>
        <w:t xml:space="preserve">et al.</w:t>
      </w:r>
      <w:r>
        <w:t xml:space="preserve"> The batched stepped wedge design: A design robust to delays in cluster recruitment.</w:t>
      </w:r>
      <w:r>
        <w:t xml:space="preserve"> </w:t>
      </w:r>
      <w:r>
        <w:rPr>
          <w:iCs/>
          <w:i/>
        </w:rPr>
        <w:t xml:space="preserve">Stat Med</w:t>
      </w:r>
      <w:r>
        <w:t xml:space="preserve"> </w:t>
      </w:r>
      <w:r>
        <w:rPr>
          <w:bCs/>
          <w:b/>
        </w:rPr>
        <w:t xml:space="preserve">41</w:t>
      </w:r>
      <w:r>
        <w:t xml:space="preserve">, 3627–3641 (2022).</w:t>
      </w:r>
    </w:p>
    <w:bookmarkEnd w:id="115"/>
    <w:bookmarkStart w:id="116" w:name="ref-grantham_staircase_2024"/>
    <w:p>
      <w:pPr>
        <w:pStyle w:val="Bibliography"/>
      </w:pPr>
      <w:r>
        <w:t xml:space="preserve">2.</w:t>
      </w:r>
      <w:r>
        <w:t xml:space="preserve"> </w:t>
      </w:r>
      <w:r>
        <w:t xml:space="preserve">	</w:t>
      </w:r>
      <w:r>
        <w:t xml:space="preserve">Grantham, K. L.</w:t>
      </w:r>
      <w:r>
        <w:t xml:space="preserve"> </w:t>
      </w:r>
      <w:r>
        <w:rPr>
          <w:iCs/>
          <w:i/>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Cs/>
          <w:i/>
        </w:rPr>
        <w:t xml:space="preserve">Statistical Methods in Medical Research</w:t>
      </w:r>
      <w:r>
        <w:t xml:space="preserve"> </w:t>
      </w:r>
      <w:r>
        <w:rPr>
          <w:bCs/>
          <w:b/>
        </w:rPr>
        <w:t xml:space="preserve">33</w:t>
      </w:r>
      <w:r>
        <w:t xml:space="preserve">, 24–41 (2024).</w:t>
      </w:r>
    </w:p>
    <w:bookmarkEnd w:id="116"/>
    <w:bookmarkStart w:id="117" w:name="ref-aukstakalnis_impact_2024"/>
    <w:p>
      <w:pPr>
        <w:pStyle w:val="Bibliography"/>
      </w:pPr>
      <w:r>
        <w:t xml:space="preserve">3.</w:t>
      </w:r>
      <w:r>
        <w:t xml:space="preserve"> </w:t>
      </w:r>
      <w:r>
        <w:t xml:space="preserve">	</w:t>
      </w:r>
      <w:r>
        <w:t xml:space="preserve">Aukstakalnis, V.</w:t>
      </w:r>
      <w:r>
        <w:t xml:space="preserve"> </w:t>
      </w:r>
      <w:r>
        <w:rPr>
          <w:iCs/>
          <w:i/>
        </w:rPr>
        <w:t xml:space="preserve">et al.</w:t>
      </w:r>
      <w:r>
        <w:t xml:space="preserve"> Impact of video recordings review with structured debriefings on trauma team performance: A prospective observational cohort study.</w:t>
      </w:r>
      <w:r>
        <w:t xml:space="preserve"> </w:t>
      </w:r>
      <w:r>
        <w:rPr>
          <w:iCs/>
          <w:i/>
        </w:rPr>
        <w:t xml:space="preserve">European Journal of Trauma and Emergency Surgery: Official Publication of the European Trauma Society</w:t>
      </w:r>
      <w:r>
        <w:t xml:space="preserve"> </w:t>
      </w:r>
      <w:r>
        <w:t xml:space="preserve">(2024).</w:t>
      </w:r>
    </w:p>
    <w:bookmarkEnd w:id="117"/>
    <w:bookmarkStart w:id="118" w:name="ref-Hemming2020Feb"/>
    <w:p>
      <w:pPr>
        <w:pStyle w:val="Bibliography"/>
      </w:pPr>
      <w:r>
        <w:t xml:space="preserve">4.</w:t>
      </w:r>
      <w:r>
        <w:t xml:space="preserve"> </w:t>
      </w:r>
      <w:r>
        <w:t xml:space="preserve">	</w:t>
      </w:r>
      <w:r>
        <w:t xml:space="preserve">Hemming, K.</w:t>
      </w:r>
      <w:r>
        <w:t xml:space="preserve"> </w:t>
      </w:r>
      <w:r>
        <w:rPr>
          <w:iCs/>
          <w:i/>
        </w:rPr>
        <w:t xml:space="preserve">et al.</w:t>
      </w:r>
      <w:r>
        <w:t xml:space="preserve"> A tutorial on sample size calculation for multiple-period cluster randomized parallel, cross-over and stepped-wedge trials using the shiny CRT calculator.</w:t>
      </w:r>
      <w:r>
        <w:t xml:space="preserve"> </w:t>
      </w:r>
      <w:r>
        <w:rPr>
          <w:iCs/>
          <w:i/>
        </w:rPr>
        <w:t xml:space="preserve">Int J Epidemiol</w:t>
      </w:r>
      <w:r>
        <w:t xml:space="preserve"> </w:t>
      </w:r>
      <w:r>
        <w:rPr>
          <w:bCs/>
          <w:b/>
        </w:rPr>
        <w:t xml:space="preserve">49</w:t>
      </w:r>
      <w:r>
        <w:t xml:space="preserve">, 979–995 (2020).</w:t>
      </w:r>
    </w:p>
    <w:bookmarkEnd w:id="118"/>
    <w:bookmarkStart w:id="119" w:name="ref-nakhid_effect_2026"/>
    <w:p>
      <w:pPr>
        <w:pStyle w:val="Bibliography"/>
      </w:pPr>
      <w:r>
        <w:t xml:space="preserve">5.</w:t>
      </w:r>
      <w:r>
        <w:t xml:space="preserve"> </w:t>
      </w:r>
      <w:r>
        <w:t xml:space="preserve">	</w:t>
      </w:r>
      <w:r>
        <w:t xml:space="preserve">Nakhid, Z.</w:t>
      </w:r>
      <w:r>
        <w:t xml:space="preserve"> </w:t>
      </w:r>
      <w:r>
        <w:rPr>
          <w:iCs/>
          <w:i/>
        </w:rPr>
        <w:t xml:space="preserve">et al.</w:t>
      </w:r>
      <w:r>
        <w:t xml:space="preserve"> Effect of trauma life support training on patient outcomes: A systematic review and meta-analysis.</w:t>
      </w:r>
      <w:r>
        <w:t xml:space="preserve"> </w:t>
      </w:r>
      <w:r>
        <w:rPr>
          <w:iCs/>
          <w:i/>
        </w:rPr>
        <w:t xml:space="preserve">Scandinavian Journal of Trauma, Resuscitation and Emergency Medicine</w:t>
      </w:r>
      <w:r>
        <w:t xml:space="preserve"> </w:t>
      </w:r>
      <w:r>
        <w:t xml:space="preserve">(2026).</w:t>
      </w:r>
    </w:p>
    <w:bookmarkEnd w:id="119"/>
    <w:bookmarkStart w:id="120" w:name="ref-gerdin_warnberg_feasibility_2025"/>
    <w:p>
      <w:pPr>
        <w:pStyle w:val="Bibliography"/>
      </w:pPr>
      <w:r>
        <w:t xml:space="preserve">6.</w:t>
      </w:r>
      <w:r>
        <w:t xml:space="preserve"> </w:t>
      </w:r>
      <w:r>
        <w:t xml:space="preserve">	</w:t>
      </w:r>
      <w:r>
        <w:t xml:space="preserve">Gerdin Wärnberg, M.</w:t>
      </w:r>
      <w:r>
        <w:t xml:space="preserve"> </w:t>
      </w:r>
      <w:r>
        <w:rPr>
          <w:iCs/>
          <w:i/>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Cs/>
          <w:i/>
        </w:rPr>
        <w:t xml:space="preserve">BMJ Open</w:t>
      </w:r>
      <w:r>
        <w:t xml:space="preserve"> </w:t>
      </w:r>
      <w:r>
        <w:rPr>
          <w:bCs/>
          <w:b/>
        </w:rPr>
        <w:t xml:space="preserve">15</w:t>
      </w:r>
      <w:r>
        <w:t xml:space="preserve">, e099020 (2025).</w:t>
      </w:r>
    </w:p>
    <w:bookmarkEnd w:id="120"/>
    <w:bookmarkStart w:id="121" w:name="ref-Campbell2005"/>
    <w:p>
      <w:pPr>
        <w:pStyle w:val="Bibliography"/>
      </w:pPr>
      <w:r>
        <w:t xml:space="preserve">7.</w:t>
      </w:r>
      <w:r>
        <w:t xml:space="preserve"> </w:t>
      </w:r>
      <w:r>
        <w:t xml:space="preserve">	</w:t>
      </w:r>
      <w:r>
        <w:t xml:space="preserve">Campbell, M. K.</w:t>
      </w:r>
      <w:r>
        <w:t xml:space="preserve"> </w:t>
      </w:r>
      <w:r>
        <w:rPr>
          <w:iCs/>
          <w:i/>
        </w:rPr>
        <w:t xml:space="preserve">et al.</w:t>
      </w:r>
      <w:r>
        <w:t xml:space="preserve"> Determinants of the intracluster correlation coefficient in cluster randomized trials: The case of implementation research.</w:t>
      </w:r>
      <w:r>
        <w:t xml:space="preserve"> </w:t>
      </w:r>
      <w:r>
        <w:rPr>
          <w:iCs/>
          <w:i/>
        </w:rPr>
        <w:t xml:space="preserve">Clinical Trials</w:t>
      </w:r>
      <w:r>
        <w:t xml:space="preserve"> </w:t>
      </w:r>
      <w:r>
        <w:rPr>
          <w:bCs/>
          <w:b/>
        </w:rPr>
        <w:t xml:space="preserve">2</w:t>
      </w:r>
      <w:r>
        <w:t xml:space="preserve">, 99–107 (2005).</w:t>
      </w:r>
    </w:p>
    <w:bookmarkEnd w:id="121"/>
    <w:bookmarkStart w:id="122" w:name="ref-Eldridge2015"/>
    <w:p>
      <w:pPr>
        <w:pStyle w:val="Bibliography"/>
      </w:pPr>
      <w:r>
        <w:t xml:space="preserve">8.</w:t>
      </w:r>
      <w:r>
        <w:t xml:space="preserve"> </w:t>
      </w:r>
      <w:r>
        <w:t xml:space="preserve">	</w:t>
      </w:r>
      <w:r>
        <w:t xml:space="preserve">Eldridge, S. M.</w:t>
      </w:r>
      <w:r>
        <w:t xml:space="preserve"> </w:t>
      </w:r>
      <w:r>
        <w:rPr>
          <w:iCs/>
          <w:i/>
        </w:rPr>
        <w:t xml:space="preserve">et al.</w:t>
      </w:r>
      <w:r>
        <w:t xml:space="preserve"> How big should the pilot study for my cluster randomised trial be?</w:t>
      </w:r>
      <w:r>
        <w:t xml:space="preserve"> </w:t>
      </w:r>
      <w:r>
        <w:rPr>
          <w:iCs/>
          <w:i/>
        </w:rPr>
        <w:t xml:space="preserve">Stat Methods Med Res</w:t>
      </w:r>
      <w:r>
        <w:t xml:space="preserve"> </w:t>
      </w:r>
      <w:r>
        <w:rPr>
          <w:bCs/>
          <w:b/>
        </w:rPr>
        <w:t xml:space="preserve">25</w:t>
      </w:r>
      <w:r>
        <w:t xml:space="preserve">, 1039–1056 (2015).</w:t>
      </w:r>
    </w:p>
    <w:bookmarkEnd w:id="122"/>
    <w:bookmarkStart w:id="123" w:name="ref-Martin2016"/>
    <w:p>
      <w:pPr>
        <w:pStyle w:val="Bibliography"/>
      </w:pPr>
      <w:r>
        <w:t xml:space="preserve">9.</w:t>
      </w:r>
      <w:r>
        <w:t xml:space="preserve"> </w:t>
      </w:r>
      <w:r>
        <w:t xml:space="preserve">	</w:t>
      </w:r>
      <w:r>
        <w:t xml:space="preserve">Martin, J.</w:t>
      </w:r>
      <w:r>
        <w:t xml:space="preserve"> </w:t>
      </w:r>
      <w:r>
        <w:rPr>
          <w:iCs/>
          <w:i/>
        </w:rPr>
        <w:t xml:space="preserve">et al.</w:t>
      </w:r>
      <w:r>
        <w:t xml:space="preserve"> Intra-cluster and inter-period correlation coefficients for cross-sectional cluster randomised controlled trials for type-2 diabetes in UK primary care.</w:t>
      </w:r>
      <w:r>
        <w:t xml:space="preserve"> </w:t>
      </w:r>
      <w:r>
        <w:rPr>
          <w:iCs/>
          <w:i/>
        </w:rPr>
        <w:t xml:space="preserve">Trials</w:t>
      </w:r>
      <w:r>
        <w:t xml:space="preserve"> </w:t>
      </w:r>
      <w:r>
        <w:rPr>
          <w:bCs/>
          <w:b/>
        </w:rPr>
        <w:t xml:space="preserve">17</w:t>
      </w:r>
      <w:r>
        <w:t xml:space="preserve">, (2016).</w:t>
      </w:r>
    </w:p>
    <w:bookmarkEnd w:id="123"/>
    <w:bookmarkStart w:id="124" w:name="ref-Korevaar2021"/>
    <w:p>
      <w:pPr>
        <w:pStyle w:val="Bibliography"/>
      </w:pPr>
      <w:r>
        <w:t xml:space="preserve">10.</w:t>
      </w:r>
      <w:r>
        <w:t xml:space="preserve"> </w:t>
      </w:r>
      <w:r>
        <w:t xml:space="preserve">	</w:t>
      </w:r>
      <w:r>
        <w:t xml:space="preserve">Korevaar, E.</w:t>
      </w:r>
      <w:r>
        <w:t xml:space="preserve"> </w:t>
      </w:r>
      <w:r>
        <w:rPr>
          <w:iCs/>
          <w:i/>
        </w:rPr>
        <w:t xml:space="preserve">et al.</w:t>
      </w:r>
      <w:r>
        <w:t xml:space="preserve"> Intra-cluster correlations from the CLustered OUtcome dataset bank to inform the design of longitudinal cluster trials.</w:t>
      </w:r>
      <w:r>
        <w:t xml:space="preserve"> </w:t>
      </w:r>
      <w:r>
        <w:rPr>
          <w:iCs/>
          <w:i/>
        </w:rPr>
        <w:t xml:space="preserve">Clinical Trials</w:t>
      </w:r>
      <w:r>
        <w:t xml:space="preserve"> </w:t>
      </w:r>
      <w:r>
        <w:rPr>
          <w:bCs/>
          <w:b/>
        </w:rPr>
        <w:t xml:space="preserve">18</w:t>
      </w:r>
      <w:r>
        <w:t xml:space="preserve">, 529–540 (2021).</w:t>
      </w:r>
    </w:p>
    <w:bookmarkEnd w:id="124"/>
    <w:bookmarkStart w:id="125" w:name="ref-lashoher_implementation_2017"/>
    <w:p>
      <w:pPr>
        <w:pStyle w:val="Bibliography"/>
      </w:pPr>
      <w:r>
        <w:t xml:space="preserve">11.</w:t>
      </w:r>
      <w:r>
        <w:t xml:space="preserve"> </w:t>
      </w:r>
      <w:r>
        <w:t xml:space="preserve">	</w:t>
      </w:r>
      <w:r>
        <w:t xml:space="preserve">Lashoher, A.</w:t>
      </w:r>
      <w:r>
        <w:t xml:space="preserve"> </w:t>
      </w:r>
      <w:r>
        <w:rPr>
          <w:iCs/>
          <w:i/>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Cs/>
          <w:i/>
        </w:rPr>
        <w:t xml:space="preserve">World Journal of Surgery</w:t>
      </w:r>
      <w:r>
        <w:t xml:space="preserve"> </w:t>
      </w:r>
      <w:r>
        <w:rPr>
          <w:bCs/>
          <w:b/>
        </w:rPr>
        <w:t xml:space="preserve">41</w:t>
      </w:r>
      <w:r>
        <w:t xml:space="preserve">, 954–962 (2017).</w:t>
      </w:r>
    </w:p>
    <w:bookmarkEnd w:id="125"/>
    <w:bookmarkStart w:id="126" w:name="ref-kapitan_effect_2024"/>
    <w:p>
      <w:pPr>
        <w:pStyle w:val="Bibliography"/>
      </w:pPr>
      <w:r>
        <w:t xml:space="preserve">12.</w:t>
      </w:r>
      <w:r>
        <w:t xml:space="preserve"> </w:t>
      </w:r>
      <w:r>
        <w:t xml:space="preserve">	</w:t>
      </w:r>
      <w:r>
        <w:t xml:space="preserve">Kapitan, E.</w:t>
      </w:r>
      <w:r>
        <w:t xml:space="preserve"> </w:t>
      </w:r>
      <w:r>
        <w:rPr>
          <w:iCs/>
          <w:i/>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Cs/>
          <w:i/>
        </w:rPr>
        <w:t xml:space="preserve">medRxiv</w:t>
      </w:r>
      <w:r>
        <w:t xml:space="preserve"> </w:t>
      </w:r>
      <w:r>
        <w:t xml:space="preserve">2024.09.28.24314529 (2024).</w:t>
      </w:r>
    </w:p>
    <w:bookmarkEnd w:id="126"/>
    <w:bookmarkStart w:id="127" w:name="ref-higgins_psychometric_2021"/>
    <w:p>
      <w:pPr>
        <w:pStyle w:val="Bibliography"/>
      </w:pPr>
      <w:r>
        <w:t xml:space="preserve">13.</w:t>
      </w:r>
      <w:r>
        <w:t xml:space="preserve"> </w:t>
      </w:r>
      <w:r>
        <w:t xml:space="preserve">	</w:t>
      </w:r>
      <w:r>
        <w:t xml:space="preserve">Higgins, A. M.</w:t>
      </w:r>
      <w:r>
        <w:t xml:space="preserve"> </w:t>
      </w:r>
      <w:r>
        <w:rPr>
          <w:iCs/>
          <w:i/>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Cs/>
          <w:i/>
        </w:rPr>
        <w:t xml:space="preserve">Critical Care and Resuscitation</w:t>
      </w:r>
      <w:r>
        <w:t xml:space="preserve"> </w:t>
      </w:r>
      <w:r>
        <w:rPr>
          <w:bCs/>
          <w:b/>
        </w:rPr>
        <w:t xml:space="preserve">23</w:t>
      </w:r>
      <w:r>
        <w:t xml:space="preserve">, 103–112 (2021).</w:t>
      </w:r>
    </w:p>
    <w:bookmarkEnd w:id="127"/>
    <w:bookmarkStart w:id="128" w:name="ref-R"/>
    <w:p>
      <w:pPr>
        <w:pStyle w:val="Bibliography"/>
      </w:pPr>
      <w:r>
        <w:t xml:space="preserve">14.</w:t>
      </w:r>
      <w:r>
        <w:t xml:space="preserve"> </w:t>
      </w:r>
      <w:r>
        <w:t xml:space="preserve">	</w:t>
      </w:r>
      <w:r>
        <w:t xml:space="preserve">R Core Team.</w:t>
      </w:r>
      <w:r>
        <w:t xml:space="preserve"> </w:t>
      </w:r>
      <w:r>
        <w:rPr>
          <w:iCs/>
          <w:i/>
        </w:rPr>
        <w:t xml:space="preserve">R: A language and environment for statistical computing</w:t>
      </w:r>
      <w:r>
        <w:t xml:space="preserve">. (R Foundation for Statistical Computing, 2023).</w:t>
      </w:r>
    </w:p>
    <w:bookmarkEnd w:id="128"/>
    <w:bookmarkStart w:id="129" w:name="ref-Hemming2018"/>
    <w:p>
      <w:pPr>
        <w:pStyle w:val="Bibliography"/>
      </w:pPr>
      <w:r>
        <w:t xml:space="preserve">15.</w:t>
      </w:r>
      <w:r>
        <w:t xml:space="preserve"> </w:t>
      </w:r>
      <w:r>
        <w:t xml:space="preserve">	</w:t>
      </w:r>
      <w:r>
        <w:t xml:space="preserve">Hemming, K.</w:t>
      </w:r>
      <w:r>
        <w:t xml:space="preserve"> </w:t>
      </w:r>
      <w:r>
        <w:rPr>
          <w:iCs/>
          <w:i/>
        </w:rPr>
        <w:t xml:space="preserve">et al.</w:t>
      </w:r>
      <w:r>
        <w:t xml:space="preserve"> Reporting of stepped wedge cluster randomised trials: Extension of the CONSORT 2010 statement with explanation and elaboration.</w:t>
      </w:r>
      <w:r>
        <w:t xml:space="preserve"> </w:t>
      </w:r>
      <w:r>
        <w:rPr>
          <w:iCs/>
          <w:i/>
        </w:rPr>
        <w:t xml:space="preserve">BMJ</w:t>
      </w:r>
      <w:r>
        <w:t xml:space="preserve"> </w:t>
      </w:r>
      <w:r>
        <w:t xml:space="preserve">k1614 (2018).</w:t>
      </w:r>
    </w:p>
    <w:bookmarkEnd w:id="129"/>
    <w:bookmarkStart w:id="130" w:name="ref-grantham_evaluating_2022"/>
    <w:p>
      <w:pPr>
        <w:pStyle w:val="Bibliography"/>
      </w:pPr>
      <w:r>
        <w:t xml:space="preserve">16.</w:t>
      </w:r>
      <w:r>
        <w:t xml:space="preserve"> </w:t>
      </w:r>
      <w:r>
        <w:t xml:space="preserve">	</w:t>
      </w:r>
      <w:r>
        <w:t xml:space="preserve">Grantham, K. L.</w:t>
      </w:r>
      <w:r>
        <w:t xml:space="preserve"> </w:t>
      </w:r>
      <w:r>
        <w:rPr>
          <w:iCs/>
          <w:i/>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Cs/>
          <w:i/>
        </w:rPr>
        <w:t xml:space="preserve">BMC Medical Research Methodology</w:t>
      </w:r>
      <w:r>
        <w:t xml:space="preserve"> </w:t>
      </w:r>
      <w:r>
        <w:rPr>
          <w:bCs/>
          <w:b/>
        </w:rPr>
        <w:t xml:space="preserve">22</w:t>
      </w:r>
      <w:r>
        <w:t xml:space="preserve">, 112 (2022).</w:t>
      </w:r>
    </w:p>
    <w:bookmarkEnd w:id="130"/>
    <w:bookmarkStart w:id="131" w:name="ref-kenny_analysis_2022"/>
    <w:p>
      <w:pPr>
        <w:pStyle w:val="Bibliography"/>
      </w:pPr>
      <w:r>
        <w:t xml:space="preserve">17.</w:t>
      </w:r>
      <w:r>
        <w:t xml:space="preserve"> </w:t>
      </w:r>
      <w:r>
        <w:t xml:space="preserve">	</w:t>
      </w:r>
      <w:r>
        <w:t xml:space="preserve">Kenny, A.</w:t>
      </w:r>
      <w:r>
        <w:t xml:space="preserve"> </w:t>
      </w:r>
      <w:r>
        <w:rPr>
          <w:iCs/>
          <w:i/>
        </w:rPr>
        <w:t xml:space="preserve">et al.</w:t>
      </w:r>
      <w:r>
        <w:t xml:space="preserve"> Analysis of stepped wedge cluster randomized trials in the presence of a time-varying treatment effect.</w:t>
      </w:r>
      <w:r>
        <w:t xml:space="preserve"> </w:t>
      </w:r>
      <w:r>
        <w:rPr>
          <w:iCs/>
          <w:i/>
        </w:rPr>
        <w:t xml:space="preserve">Statistics in medicine</w:t>
      </w:r>
      <w:r>
        <w:t xml:space="preserve"> </w:t>
      </w:r>
      <w:r>
        <w:t xml:space="preserve">10.1002/sim.9511 (2022).</w:t>
      </w:r>
    </w:p>
    <w:bookmarkEnd w:id="131"/>
    <w:bookmarkStart w:id="132" w:name="ref-Diaz2021"/>
    <w:p>
      <w:pPr>
        <w:pStyle w:val="Bibliography"/>
      </w:pPr>
      <w:r>
        <w:t xml:space="preserve">18.</w:t>
      </w:r>
      <w:r>
        <w:t xml:space="preserve"> </w:t>
      </w:r>
      <w:r>
        <w:t xml:space="preserve">	</w:t>
      </w:r>
      <w:r>
        <w:t xml:space="preserve">Diaz, T.</w:t>
      </w:r>
      <w:r>
        <w:t xml:space="preserve"> </w:t>
      </w:r>
      <w:r>
        <w:rPr>
          <w:iCs/>
          <w:i/>
        </w:rPr>
        <w:t xml:space="preserve">et al.</w:t>
      </w:r>
      <w:r>
        <w:t xml:space="preserve"> A call for standardised age-disaggregated health data.</w:t>
      </w:r>
      <w:r>
        <w:t xml:space="preserve"> </w:t>
      </w:r>
      <w:r>
        <w:rPr>
          <w:iCs/>
          <w:i/>
        </w:rPr>
        <w:t xml:space="preserve">The Lancet Healthy Longevity</w:t>
      </w:r>
      <w:r>
        <w:t xml:space="preserve"> </w:t>
      </w:r>
      <w:r>
        <w:rPr>
          <w:bCs/>
          <w:b/>
        </w:rPr>
        <w:t xml:space="preserve">2</w:t>
      </w:r>
      <w:r>
        <w:t xml:space="preserve">, e436–e443 (2021).</w:t>
      </w:r>
    </w:p>
    <w:bookmarkEnd w:id="132"/>
    <w:bookmarkStart w:id="133" w:name="ref-ustun_measuring_2010"/>
    <w:p>
      <w:pPr>
        <w:pStyle w:val="Bibliography"/>
      </w:pPr>
      <w:r>
        <w:t xml:space="preserve">19.</w:t>
      </w:r>
      <w:r>
        <w:t xml:space="preserve"> </w:t>
      </w:r>
      <w:r>
        <w:t xml:space="preserve">	</w:t>
      </w:r>
      <w:r>
        <w:t xml:space="preserve">Ustun, T. B.</w:t>
      </w:r>
      <w:r>
        <w:t xml:space="preserve"> </w:t>
      </w:r>
      <w:r>
        <w:rPr>
          <w:iCs/>
          <w:i/>
        </w:rPr>
        <w:t xml:space="preserve">et al.</w:t>
      </w:r>
      <w:r>
        <w:t xml:space="preserve"> </w:t>
      </w:r>
      <w:r>
        <w:rPr>
          <w:iCs/>
          <w:i/>
        </w:rPr>
        <w:t xml:space="preserve">Measuring</w:t>
      </w:r>
      <w:r>
        <w:rPr>
          <w:iCs/>
          <w:i/>
        </w:rPr>
        <w:t xml:space="preserve"> </w:t>
      </w:r>
      <w:r>
        <w:rPr>
          <w:iCs/>
          <w:i/>
        </w:rPr>
        <w:t xml:space="preserve">Health</w:t>
      </w:r>
      <w:r>
        <w:rPr>
          <w:iCs/>
          <w:i/>
        </w:rPr>
        <w:t xml:space="preserve"> </w:t>
      </w:r>
      <w:r>
        <w:rPr>
          <w:iCs/>
          <w:i/>
        </w:rPr>
        <w:t xml:space="preserve">and</w:t>
      </w:r>
      <w:r>
        <w:rPr>
          <w:iCs/>
          <w:i/>
        </w:rPr>
        <w:t xml:space="preserve"> </w:t>
      </w:r>
      <w:r>
        <w:rPr>
          <w:iCs/>
          <w:i/>
        </w:rPr>
        <w:t xml:space="preserve">Disability</w:t>
      </w:r>
      <w:r>
        <w:rPr>
          <w:iCs/>
          <w:i/>
        </w:rPr>
        <w:t xml:space="preserve">:</w:t>
      </w:r>
      <w:r>
        <w:rPr>
          <w:iCs/>
          <w:i/>
        </w:rPr>
        <w:t xml:space="preserve"> </w:t>
      </w:r>
      <w:r>
        <w:rPr>
          <w:iCs/>
          <w:i/>
        </w:rPr>
        <w:t xml:space="preserve">Manual</w:t>
      </w:r>
      <w:r>
        <w:rPr>
          <w:iCs/>
          <w:i/>
        </w:rPr>
        <w:t xml:space="preserve"> </w:t>
      </w:r>
      <w:r>
        <w:rPr>
          <w:iCs/>
          <w:i/>
        </w:rPr>
        <w:t xml:space="preserve">for</w:t>
      </w:r>
      <w:r>
        <w:rPr>
          <w:iCs/>
          <w:i/>
        </w:rPr>
        <w:t xml:space="preserve"> </w:t>
      </w:r>
      <w:r>
        <w:rPr>
          <w:iCs/>
          <w:i/>
        </w:rPr>
        <w:t xml:space="preserve">WHO</w:t>
      </w:r>
      <w:r>
        <w:rPr>
          <w:iCs/>
          <w:i/>
        </w:rPr>
        <w:t xml:space="preserve"> </w:t>
      </w:r>
      <w:r>
        <w:rPr>
          <w:iCs/>
          <w:i/>
        </w:rPr>
        <w:t xml:space="preserve">Disability</w:t>
      </w:r>
      <w:r>
        <w:rPr>
          <w:iCs/>
          <w:i/>
        </w:rPr>
        <w:t xml:space="preserve"> </w:t>
      </w:r>
      <w:r>
        <w:rPr>
          <w:iCs/>
          <w:i/>
        </w:rPr>
        <w:t xml:space="preserve">Assessment</w:t>
      </w:r>
      <w:r>
        <w:rPr>
          <w:iCs/>
          <w:i/>
        </w:rPr>
        <w:t xml:space="preserve"> </w:t>
      </w:r>
      <w:r>
        <w:rPr>
          <w:iCs/>
          <w:i/>
        </w:rPr>
        <w:t xml:space="preserve">Schedule</w:t>
      </w:r>
      <w:r>
        <w:rPr>
          <w:iCs/>
          <w:i/>
        </w:rPr>
        <w:t xml:space="preserve"> </w:t>
      </w:r>
      <w:r>
        <w:rPr>
          <w:iCs/>
          <w:i/>
        </w:rPr>
        <w:t xml:space="preserve">(</w:t>
      </w:r>
      <w:r>
        <w:rPr>
          <w:iCs/>
          <w:i/>
        </w:rPr>
        <w:t xml:space="preserve">WHODAS</w:t>
      </w:r>
      <w:r>
        <w:rPr>
          <w:iCs/>
          <w:i/>
        </w:rPr>
        <w:t xml:space="preserve"> </w:t>
      </w:r>
      <w:r>
        <w:rPr>
          <w:iCs/>
          <w:i/>
        </w:rPr>
        <w:t xml:space="preserve">2.0)</w:t>
      </w:r>
      <w:r>
        <w:t xml:space="preserve">. (World Health Organization, 2010).</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Version 0.5.0, 2025-10-14</dc:creator>
  <cp:keywords/>
  <dcterms:created xsi:type="dcterms:W3CDTF">2026-02-11T15:29:10Z</dcterms:created>
  <dcterms:modified xsi:type="dcterms:W3CDTF">2026-02-11T15:29:10Z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../shared-assets/bibliography.bib</vt:lpwstr>
  </property>
  <property fmtid="{D5CDD505-2E9C-101B-9397-08002B2CF9AE}" pid="6" name="by-author">
    <vt:lpwstr/>
  </property>
  <property fmtid="{D5CDD505-2E9C-101B-9397-08002B2CF9AE}" pid="7" name="csl">
    <vt:lpwstr>nature.csl</vt:lpwstr>
  </property>
  <property fmtid="{D5CDD505-2E9C-101B-9397-08002B2CF9AE}" pid="8" name="fig-caption">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number-depth">
    <vt:lpwstr>3</vt:lpwstr>
  </property>
  <property fmtid="{D5CDD505-2E9C-101B-9397-08002B2CF9AE}" pid="15" name="subtitle">
    <vt:lpwstr>ADVANCE TRAUMAEffects of Advanced Trauma Life Support® Training Compared to Standard Care on Adult Trauma Patient Outcomes: A Stepped-Wedge Cluster Randomised Trial</vt:lpwstr>
  </property>
  <property fmtid="{D5CDD505-2E9C-101B-9397-08002B2CF9AE}" pid="16" name="titlepage-logo">
    <vt:lpwstr>logo.png</vt:lpwstr>
  </property>
  <property fmtid="{D5CDD505-2E9C-101B-9397-08002B2CF9AE}" pid="17" name="titlepage-theme">
    <vt:lpwstr/>
  </property>
  <property fmtid="{D5CDD505-2E9C-101B-9397-08002B2CF9AE}" pid="18" name="toc-title">
    <vt:lpwstr>Table of contents</vt:lpwstr>
  </property>
</Properties>
</file>