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18"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 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 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 and the absolute risk difference (ARD) would be 0.</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and the ARD would be different from 0. Our expectation, based on our pilot study and review of the literature, is that the OR will be less than 1 and the ARD will be less than 0,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77" w:name="analysis-sets"/>
    <w:p>
      <w:pPr>
        <w:pStyle w:val="Heading2"/>
      </w:pPr>
      <w:r>
        <w:t xml:space="preserve">5.7 Analysis sets</w:t>
      </w:r>
    </w:p>
    <w:p>
      <w:pPr>
        <w:pStyle w:val="FirstParagraph"/>
      </w:pPr>
      <w:r>
        <w:t xml:space="preserve">The unit of randomisation is the hospital, because all units trained in the same hospital will be treated as one cluster, but the unit of analysis is the individual patient. The primary analysis set will include all observations within clusters with available data and irrespective of the receipt of the intervention. 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we will conduct a sensitivity analysis using the actual date of transition to define exposure.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7"/>
    <w:bookmarkStart w:id="80" w:name="baseline-analyses"/>
    <w:p>
      <w:pPr>
        <w:pStyle w:val="Heading2"/>
      </w:pPr>
      <w:r>
        <w:t xml:space="preserve">5.8 Baseline analyses</w:t>
      </w:r>
    </w:p>
    <w:bookmarkStart w:id="78"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8"/>
    <w:bookmarkStart w:id="79"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9"/>
    <w:bookmarkEnd w:id="80"/>
    <w:bookmarkStart w:id="81"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1"/>
    <w:bookmarkStart w:id="103"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2"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2"/>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3"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3"/>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4"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4"/>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5"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5"/>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6"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6"/>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9"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8"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7"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7"/>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8"/>
    <w:bookmarkStart w:id="90"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9"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89"/>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0"/>
    <w:bookmarkStart w:id="92"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1"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1"/>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2"/>
    <w:bookmarkStart w:id="94"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3"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3"/>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4"/>
    <w:bookmarkStart w:id="96"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5"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5"/>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6"/>
    <w:bookmarkStart w:id="98"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7"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7"/>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8"/>
    <w:bookmarkEnd w:id="99"/>
    <w:bookmarkStart w:id="100"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0"/>
    <w:bookmarkStart w:id="101"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5"/>
        </w:numPr>
      </w:pPr>
      <w:r>
        <w:t xml:space="preserve">patients with major trauma, defined as patients with an injury severity score (ISS) of 16 or higher;</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1"/>
    <w:bookmarkStart w:id="102"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2"/>
    <w:bookmarkEnd w:id="103"/>
    <w:bookmarkStart w:id="117"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4"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4"/>
    <w:bookmarkStart w:id="107"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5"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5"/>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6"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6"/>
    </w:p>
    <w:bookmarkEnd w:id="107"/>
    <w:bookmarkStart w:id="108"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8"/>
    <w:bookmarkStart w:id="109"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1"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0"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0"/>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11"/>
    <w:bookmarkStart w:id="112"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2"/>
    <w:bookmarkStart w:id="113"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4"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4"/>
    <w:bookmarkStart w:id="116"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5"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5"/>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6"/>
    <w:bookmarkEnd w:id="117"/>
    <w:bookmarkEnd w:id="118"/>
    <w:bookmarkStart w:id="140" w:name="references"/>
    <w:p>
      <w:pPr>
        <w:pStyle w:val="Heading1"/>
      </w:pPr>
      <w:r>
        <w:t xml:space="preserve">6. References</w:t>
      </w:r>
    </w:p>
    <w:bookmarkStart w:id="139" w:name="refs"/>
    <w:bookmarkStart w:id="11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19"/>
    <w:bookmarkStart w:id="12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0"/>
    <w:bookmarkStart w:id="12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1"/>
    <w:bookmarkStart w:id="12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2"/>
    <w:bookmarkStart w:id="12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3"/>
    <w:bookmarkStart w:id="12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4"/>
    <w:bookmarkStart w:id="12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5"/>
    <w:bookmarkStart w:id="12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6"/>
    <w:bookmarkStart w:id="12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7"/>
    <w:bookmarkStart w:id="12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8"/>
    <w:bookmarkStart w:id="12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29"/>
    <w:bookmarkStart w:id="13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0"/>
    <w:bookmarkStart w:id="13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1"/>
    <w:bookmarkStart w:id="13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2"/>
    <w:bookmarkStart w:id="13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3"/>
    <w:bookmarkStart w:id="13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4"/>
    <w:bookmarkStart w:id="13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5"/>
    <w:bookmarkStart w:id="13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6"/>
    <w:bookmarkStart w:id="13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37"/>
    <w:bookmarkStart w:id="13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2026-05-29T03:57:26Z</dcterms:created>
  <dcterms:modified xsi:type="dcterms:W3CDTF">2026-05-29T03:57:26Z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