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23.png" ContentType="image/png"/>
  <Override PartName="/word/media/rId7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5"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7" w:name="special-considerations"/>
    <w:p>
      <w:pPr>
        <w:pStyle w:val="Heading1"/>
      </w:pPr>
      <w:r>
        <w:t xml:space="preserve">3. Special considerations</w:t>
      </w:r>
    </w:p>
    <w:bookmarkStart w:id="46"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6"/>
    <w:bookmarkEnd w:id="47"/>
    <w:bookmarkStart w:id="50" w:name="aim-and-objectives"/>
    <w:p>
      <w:pPr>
        <w:pStyle w:val="Heading1"/>
      </w:pPr>
      <w:r>
        <w:t xml:space="preserve">4. Aim and objectives</w:t>
      </w:r>
    </w:p>
    <w:bookmarkStart w:id="48"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8"/>
    <w:bookmarkStart w:id="49"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9"/>
    <w:bookmarkEnd w:id="50"/>
    <w:bookmarkStart w:id="126" w:name="statistical-analysis"/>
    <w:p>
      <w:pPr>
        <w:pStyle w:val="Heading1"/>
      </w:pPr>
      <w:r>
        <w:t xml:space="preserve">5. Statistical analysis</w:t>
      </w:r>
    </w:p>
    <w:bookmarkStart w:id="59"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4" w:name="fig-trial-design"/>
          <w:p>
            <w:pPr>
              <w:pStyle w:val="Compact"/>
              <w:jc w:val="center"/>
            </w:pPr>
            <w:r>
              <w:drawing>
                <wp:inline>
                  <wp:extent cx="5334000" cy="3198592"/>
                  <wp:effectExtent b="0" l="0" r="0" t="0"/>
                  <wp:docPr descr="" title="" id="52" name="Picture"/>
                  <a:graphic>
                    <a:graphicData uri="http://schemas.openxmlformats.org/drawingml/2006/picture">
                      <pic:pic>
                        <pic:nvPicPr>
                          <pic:cNvPr descr="trial-design-figure-30-clusters-5-sequences-6-batches-6-batches-overlap-4-min-standard-care-4-min-intervention-1-transition-months-0-transition-overlap.0-staircase-months.png" id="53" name="Picture"/>
                          <pic:cNvPicPr>
                            <a:picLocks noChangeArrowheads="1" noChangeAspect="1"/>
                          </pic:cNvPicPr>
                        </pic:nvPicPr>
                        <pic:blipFill>
                          <a:blip r:embed="rId51"/>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4"/>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8" w:name="fig-nested-staircase-design"/>
          <w:p>
            <w:pPr>
              <w:pStyle w:val="Compact"/>
              <w:jc w:val="center"/>
            </w:pPr>
            <w:r>
              <w:drawing>
                <wp:inline>
                  <wp:extent cx="5334000" cy="3198592"/>
                  <wp:effectExtent b="0" l="0" r="0" t="0"/>
                  <wp:docPr descr="" title="" id="56" name="Picture"/>
                  <a:graphic>
                    <a:graphicData uri="http://schemas.openxmlformats.org/drawingml/2006/picture">
                      <pic:pic>
                        <pic:nvPicPr>
                          <pic:cNvPr descr="trial-design-figure-30-clusters-5-sequences-6-batches-6-batches-overlap-4-min-standard-care-4-min-intervention-1-transition-months-0-transition-overlap.3-staircase-months.png" id="57" name="Picture"/>
                          <pic:cNvPicPr>
                            <a:picLocks noChangeArrowheads="1" noChangeAspect="1"/>
                          </pic:cNvPicPr>
                        </pic:nvPicPr>
                        <pic:blipFill>
                          <a:blip r:embed="rId55"/>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8"/>
        </w:tc>
      </w:tr>
    </w:tbl>
    <w:bookmarkEnd w:id="59"/>
    <w:bookmarkStart w:id="60"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0"/>
    <w:bookmarkStart w:id="66"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1"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1"/>
    <w:bookmarkStart w:id="65" w:name="secondary-outcomes"/>
    <w:p>
      <w:pPr>
        <w:pStyle w:val="Heading3"/>
      </w:pPr>
      <w:r>
        <w:t xml:space="preserve">5.3.2 Secondary outcomes</w:t>
      </w:r>
    </w:p>
    <w:bookmarkStart w:id="62"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2"/>
    <w:bookmarkStart w:id="64"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3" w:name="tbl-outcomes-summary"/>
          <w:p>
            <w:pPr>
              <w:jc w:val="center"/>
            </w:pPr>
            <w:pPr>
              <w:jc w:val="left"/>
              <w:spacing w:before="200"/>
              <w:pStyle w:val="ImageCaption"/>
            </w:pPr>
            <w:r>
              <w:t xml:space="preserve">Table 1: Summary of outcomes, analysis sets, effect measures, and handling of intercurrent events</w:t>
            </w:r>
          </w:p>
          <w:bookmarkEnd w:id="63"/>
        </w:tc>
      </w:tr>
    </w:tbl>
    <w:bookmarkEnd w:id="64"/>
    <w:bookmarkEnd w:id="65"/>
    <w:bookmarkEnd w:id="66"/>
    <w:bookmarkStart w:id="67"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7"/>
    <w:bookmarkStart w:id="74" w:name="sample-size-calculations"/>
    <w:p>
      <w:pPr>
        <w:pStyle w:val="Heading2"/>
      </w:pPr>
      <w:r>
        <w:t xml:space="preserve">5.5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72"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1" w:name="fig-power-curves"/>
          <w:p>
            <w:pPr>
              <w:pStyle w:val="Compact"/>
              <w:jc w:val="center"/>
            </w:pPr>
            <w:r>
              <w:drawing>
                <wp:inline>
                  <wp:extent cx="5334000" cy="2369551"/>
                  <wp:effectExtent b="0" l="0" r="0" t="0"/>
                  <wp:docPr descr="" title="" id="69" name="Picture"/>
                  <a:graphic>
                    <a:graphicData uri="http://schemas.openxmlformats.org/drawingml/2006/picture">
                      <pic:pic>
                        <pic:nvPicPr>
                          <pic:cNvPr descr="./combined-power-curves.png" id="70" name="Picture"/>
                          <pic:cNvPicPr>
                            <a:picLocks noChangeArrowheads="1" noChangeAspect="1"/>
                          </pic:cNvPicPr>
                        </pic:nvPicPr>
                        <pic:blipFill>
                          <a:blip r:embed="rId68"/>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1"/>
        </w:tc>
      </w:tr>
    </w:tbl>
    <w:bookmarkEnd w:id="72"/>
    <w:bookmarkStart w:id="73" w:name="X37fc7b5fe6b5980542d53d3e88dadde59566406"/>
    <w:p>
      <w:pPr>
        <w:pStyle w:val="Heading3"/>
      </w:pPr>
      <w:r>
        <w:t xml:space="preserve">5.5.2 Nested staircase design and secondary outcomes</w:t>
      </w:r>
    </w:p>
    <w:p>
      <w:pPr>
        <w:pStyle w:val="FirstParagraph"/>
      </w:pPr>
      <w:r>
        <w:t xml:space="preserve">Adherence, quality of life, and disability collected in the nested staircase are secondary outcomes; the nested power calculations below inform only the sample size required for their data collection.</w:t>
      </w:r>
    </w:p>
    <w:p>
      <w:pPr>
        <w:pStyle w:val="BodyText"/>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3"/>
    <w:bookmarkEnd w:id="74"/>
    <w:bookmarkStart w:id="77" w:name="statistical-principles"/>
    <w:p>
      <w:pPr>
        <w:pStyle w:val="Heading2"/>
      </w:pPr>
      <w:r>
        <w:t xml:space="preserve">5.6 Statistical principles</w:t>
      </w:r>
    </w:p>
    <w:bookmarkStart w:id="75"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5"/>
    <w:bookmarkStart w:id="76"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p>
      <w:pPr>
        <w:pStyle w:val="BodyText"/>
      </w:pPr>
      <w:r>
        <w:t xml:space="preserve">Primary and secondary outcomes will be analysed collectively in a single final analysis once all trial data are available.</w:t>
      </w:r>
    </w:p>
    <w:bookmarkEnd w:id="76"/>
    <w:bookmarkEnd w:id="77"/>
    <w:bookmarkStart w:id="82" w:name="analysis-sets"/>
    <w:p>
      <w:pPr>
        <w:pStyle w:val="Heading2"/>
      </w:pPr>
      <w:r>
        <w:t xml:space="preserve">5.7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mortality secondary outcomes, length-of-stay outcomes, and ICU admission, the analysis set is all eligible patient participants included in the main stepped-wedge trial (with length of ICU stay restricted to patients admitted to ICU). For quality-of-life and disability outcomes, the analysis set is patients alive at the relevant follow-up time point within the nested staircase sample. For return-to-work outcomes, the analysis set is patients alive at the relevant follow-up time point in the main stepped-wedge trial for whom return to work is relevant.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1" w:name="fig-consort-diagram"/>
          <w:p>
            <w:pPr>
              <w:pStyle w:val="Compact"/>
              <w:jc w:val="center"/>
            </w:pPr>
            <w:r>
              <w:drawing>
                <wp:inline>
                  <wp:extent cx="5334000" cy="9066502"/>
                  <wp:effectExtent b="0" l="0" r="0" t="0"/>
                  <wp:docPr descr="" title="" id="79" name="Picture"/>
                  <a:graphic>
                    <a:graphicData uri="http://schemas.openxmlformats.org/drawingml/2006/picture">
                      <pic:pic>
                        <pic:nvPicPr>
                          <pic:cNvPr descr="consort-diagram-5-sequences.png" id="80" name="Picture"/>
                          <pic:cNvPicPr>
                            <a:picLocks noChangeArrowheads="1" noChangeAspect="1"/>
                          </pic:cNvPicPr>
                        </pic:nvPicPr>
                        <pic:blipFill>
                          <a:blip r:embed="rId78"/>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1"/>
        </w:tc>
      </w:tr>
    </w:tbl>
    <w:bookmarkEnd w:id="82"/>
    <w:bookmarkStart w:id="89" w:name="baseline-analyses"/>
    <w:p>
      <w:pPr>
        <w:pStyle w:val="Heading2"/>
      </w:pPr>
      <w:r>
        <w:t xml:space="preserve">5.8 Baseline analyses</w:t>
      </w:r>
    </w:p>
    <w:bookmarkStart w:id="84"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3"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3"/>
        </w:tc>
      </w:tr>
    </w:tbl>
    <w:bookmarkEnd w:id="84"/>
    <w:bookmarkStart w:id="86" w:name="patient-characteristics"/>
    <w:p>
      <w:pPr>
        <w:pStyle w:val="Heading3"/>
      </w:pPr>
      <w:r>
        <w:t xml:space="preserve">5.8.2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7</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5"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5"/>
        </w:tc>
      </w:tr>
    </w:tbl>
    <w:bookmarkEnd w:id="86"/>
    <w:bookmarkStart w:id="88"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We will present key outcome summaries in the results section, and present all outcome summaries as supplementary tables. See</w:t>
      </w:r>
      <w:r>
        <w:t xml:space="preserve"> </w:t>
      </w:r>
      <w:hyperlink w:anchor="tbl-outcomes-descriptive">
        <w:r>
          <w:rPr>
            <w:rStyle w:val="Hyperlink"/>
          </w:rPr>
          <w:t xml:space="preserve">Table 4</w:t>
        </w:r>
      </w:hyperlink>
      <w:r>
        <w:t xml:space="preserve"> </w:t>
      </w:r>
      <w:r>
        <w:t xml:space="preserve">for key outcomes and</w:t>
      </w:r>
      <w:r>
        <w:t xml:space="preserve"> </w:t>
      </w:r>
      <w:hyperlink w:anchor="tbl-outcomes-descriptive-all">
        <w:r>
          <w:rPr>
            <w:rStyle w:val="Hyperlink"/>
          </w:rPr>
          <w:t xml:space="preserve">Table 8</w:t>
        </w:r>
      </w:hyperlink>
      <w:r>
        <w:t xml:space="preserve"> </w:t>
      </w:r>
      <w:r>
        <w:t xml:space="preserve">for all outcomes.</w:t>
      </w:r>
    </w:p>
    <w:tbl>
      <w:tblPr>
        <w:tblStyle w:val="Table"/>
        <w:tblW w:type="pct" w:w="5000"/>
        <w:tblLayout w:type="fixed"/>
        <w:tblLook w:firstRow="0" w:lastRow="0" w:firstColumn="0" w:lastColumn="0" w:noHBand="0" w:noVBand="0" w:val="0000"/>
      </w:tblPr>
      <w:tblGrid>
        <w:gridCol w:w="7920"/>
      </w:tblGrid>
      <w:tr>
        <w:tc>
          <w:tcPr/>
          <w:bookmarkStart w:id="87" w:name="tbl-outcomes-descriptive"/>
          <w:p>
            <w:pPr>
              <w:jc w:val="center"/>
            </w:pPr>
            <w:pPr>
              <w:jc w:val="left"/>
              <w:spacing w:before="200"/>
              <w:pStyle w:val="ImageCaption"/>
            </w:pPr>
            <w:r>
              <w:t xml:space="preserve">Table 4: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7"/>
        </w:tc>
      </w:tr>
    </w:tbl>
    <w:bookmarkEnd w:id="88"/>
    <w:bookmarkEnd w:id="89"/>
    <w:bookmarkStart w:id="90"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5"/>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5"/>
        </w:numPr>
      </w:pPr>
      <w:r>
        <w:t xml:space="preserve">adherence to the randomisation schedule and reasons for non-adherence;</w:t>
      </w:r>
    </w:p>
    <w:p>
      <w:pPr>
        <w:pStyle w:val="Compact"/>
        <w:numPr>
          <w:ilvl w:val="0"/>
          <w:numId w:val="1005"/>
        </w:numPr>
      </w:pPr>
      <w:r>
        <w:t xml:space="preserve">summary statistics of included clusters and patient participants by intervention condition, to monitor for differential recruitment or ascertainment;</w:t>
      </w:r>
    </w:p>
    <w:p>
      <w:pPr>
        <w:pStyle w:val="Compact"/>
        <w:numPr>
          <w:ilvl w:val="0"/>
          <w:numId w:val="1005"/>
        </w:numPr>
      </w:pPr>
      <w:r>
        <w:t xml:space="preserve">completeness of primary and secondary outcome data, overall and by intervention condition, without presenting outcome values by intervention condition;</w:t>
      </w:r>
    </w:p>
    <w:p>
      <w:pPr>
        <w:pStyle w:val="Compact"/>
        <w:numPr>
          <w:ilvl w:val="0"/>
          <w:numId w:val="1005"/>
        </w:numPr>
      </w:pPr>
      <w:r>
        <w:t xml:space="preserve">ATLS® training delivery, including numbers of physicians trained in each hospital;</w:t>
      </w:r>
    </w:p>
    <w:p>
      <w:pPr>
        <w:pStyle w:val="Compact"/>
        <w:numPr>
          <w:ilvl w:val="0"/>
          <w:numId w:val="1005"/>
        </w:numPr>
      </w:pPr>
      <w:r>
        <w:t xml:space="preserve">protocol deviations and proposed protocol amendments;</w:t>
      </w:r>
    </w:p>
    <w:p>
      <w:pPr>
        <w:pStyle w:val="Compact"/>
        <w:numPr>
          <w:ilvl w:val="0"/>
          <w:numId w:val="1005"/>
        </w:numPr>
      </w:pPr>
      <w:r>
        <w:t xml:space="preserve">safety events, as defined for SDMC monitoring;</w:t>
      </w:r>
    </w:p>
    <w:p>
      <w:pPr>
        <w:pStyle w:val="Compact"/>
        <w:numPr>
          <w:ilvl w:val="0"/>
          <w:numId w:val="1005"/>
        </w:numPr>
      </w:pPr>
      <w:r>
        <w:t xml:space="preserve">relevant external evidence; and</w:t>
      </w:r>
    </w:p>
    <w:p>
      <w:pPr>
        <w:pStyle w:val="Compact"/>
        <w:numPr>
          <w:ilvl w:val="0"/>
          <w:numId w:val="1005"/>
        </w:numPr>
      </w:pPr>
      <w:r>
        <w:t xml:space="preserve">the SDMC recommendation.</w:t>
      </w:r>
    </w:p>
    <w:p>
      <w:pPr>
        <w:pStyle w:val="FirstParagraph"/>
      </w:pPr>
      <w:r>
        <w:t xml:space="preserve">No formal interim efficacy analysis or efficacy-based stopping rule will be applied. Outcomes will not be compared across intervention conditions in the interim report, to avoid biasing the SDMC or Trial Management Group. The SDMC will use the interim report to advise whether the trial remains feasible and should continue as planned.</w:t>
      </w:r>
    </w:p>
    <w:bookmarkEnd w:id="90"/>
    <w:bookmarkStart w:id="108"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1"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1"/>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2"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2"/>
    </w:p>
    <w:p>
      <w:pPr>
        <w:pStyle w:val="Compact"/>
        <w:numPr>
          <w:ilvl w:val="0"/>
          <w:numId w:val="1008"/>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93"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3"/>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4"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4"/>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5"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5"/>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Standard errors will be model-based. Small-sample adjustments, including degrees-of-freedom corrections such as Kenward–Roger, will be applied where relevant. Confidence intervals will be Wald-type.</w:t>
      </w:r>
    </w:p>
    <w:p>
      <w:pPr>
        <w:pStyle w:val="BodyText"/>
      </w:pPr>
      <w:r>
        <w:t xml:space="preserve">The general estimation framework for the mixed-effects models is maximum likelihood, with a Laplace approximation used to integrate out the random effects. The specific R package and numerical implementation will be chosen based on convergence behaviour and the availability of appropriate small-sample corrections closer to the time of analysis. If the binomial model with the logit link converges but the corresponding model with the identity link does not, then we will report only an OR.</w:t>
      </w:r>
    </w:p>
    <w:p>
      <w:pPr>
        <w:pStyle w:val="BodyText"/>
      </w:pPr>
      <w:r>
        <w:t xml:space="preserve">Model diagnostics will be used to assess distributional assumptions and model convergence.</w:t>
      </w:r>
    </w:p>
    <w:p>
      <w:pPr>
        <w:pStyle w:val="BodyText"/>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w:t>
      </w:r>
    </w:p>
    <w:bookmarkStart w:id="104"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7"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6"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6"/>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7"/>
    <w:bookmarkStart w:id="99" w:name="X831bc7e780a434f5c3512e5d33d43284b7d37ce"/>
    <w:p>
      <w:pPr>
        <w:pStyle w:val="Heading4"/>
      </w:pPr>
      <w:r>
        <w:t xml:space="preserve">5.10.1.2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7</w:t>
        </w:r>
      </w:hyperlink>
      <w:r>
        <w:t xml:space="preserve">.</w:t>
      </w:r>
    </w:p>
    <w:p>
      <w:pPr>
        <w:pStyle w:val="BodyText"/>
      </w:pPr>
      <w:bookmarkStart w:id="98"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7</m:t>
              </m:r>
            </m:e>
          </m:d>
        </m:oMath>
      </m:oMathPara>
      <w:bookmarkEnd w:id="98"/>
    </w:p>
    <w:p>
      <w:pPr>
        <w:pStyle w:val="FirstParagraph"/>
      </w:pPr>
      <w:r>
        <w:t xml:space="preserve">Where:</w:t>
      </w:r>
    </w:p>
    <w:p>
      <w:pPr>
        <w:pStyle w:val="Compact"/>
        <w:numPr>
          <w:ilvl w:val="0"/>
          <w:numId w:val="1012"/>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1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1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99"/>
    <w:bookmarkStart w:id="101" w:name="Xb7b1d3ff7c24f0b8dca2081a41dd1947ef59e07"/>
    <w:p>
      <w:pPr>
        <w:pStyle w:val="Heading4"/>
      </w:pPr>
      <w:r>
        <w:t xml:space="preserve">5.10.1.3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8</w:t>
        </w:r>
      </w:hyperlink>
      <w:r>
        <w:t xml:space="preserve">.</w:t>
      </w:r>
    </w:p>
    <w:p>
      <w:pPr>
        <w:pStyle w:val="BodyText"/>
      </w:pPr>
      <w:bookmarkStart w:id="100"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00"/>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1"/>
    <w:bookmarkStart w:id="103" w:name="models-exploring-lag-and-weaning-effects"/>
    <w:p>
      <w:pPr>
        <w:pStyle w:val="Heading4"/>
      </w:pPr>
      <w:r>
        <w:t xml:space="preserve">5.10.1.4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9</w:t>
        </w:r>
      </w:hyperlink>
      <w:r>
        <w:t xml:space="preserve">.</w:t>
      </w:r>
    </w:p>
    <w:p>
      <w:pPr>
        <w:pStyle w:val="BodyText"/>
      </w:pPr>
      <w:bookmarkStart w:id="102"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02"/>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3"/>
    <w:bookmarkEnd w:id="104"/>
    <w:bookmarkStart w:id="105"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5"/>
    <w:bookmarkStart w:id="106" w:name="subgroup-analyses"/>
    <w:p>
      <w:pPr>
        <w:pStyle w:val="Heading3"/>
      </w:pPr>
      <w:r>
        <w:t xml:space="preserve">5.10.3 Subgroup analyses</w:t>
      </w:r>
    </w:p>
    <w:p>
      <w:pPr>
        <w:pStyle w:val="FirstParagraph"/>
      </w:pPr>
      <w:r>
        <w:t xml:space="preserve">We will perform the following subgroup analyses of the primary outcome:</w:t>
      </w:r>
    </w:p>
    <w:p>
      <w:pPr>
        <w:pStyle w:val="Compact"/>
        <w:numPr>
          <w:ilvl w:val="0"/>
          <w:numId w:val="1015"/>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r>
        <w:t xml:space="preserve">;</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 this subgroup analysis will include only patients classified into one of these three cohorts;</w:t>
      </w:r>
    </w:p>
    <w:p>
      <w:pPr>
        <w:pStyle w:val="Compact"/>
        <w:numPr>
          <w:ilvl w:val="0"/>
          <w:numId w:val="1015"/>
        </w:numPr>
      </w:pPr>
      <w:r>
        <w:t xml:space="preserve">patients with major trauma, defined as patients with an injury severity score (ISS) of 16 or higher versus those with ISS below 16;</w:t>
      </w:r>
    </w:p>
    <w:p>
      <w:pPr>
        <w:pStyle w:val="Compact"/>
        <w:numPr>
          <w:ilvl w:val="0"/>
          <w:numId w:val="101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6"/>
    <w:bookmarkStart w:id="107" w:name="sec-treatment-of-missing-data"/>
    <w:p>
      <w:pPr>
        <w:pStyle w:val="Heading3"/>
      </w:pPr>
      <w:r>
        <w:t xml:space="preserve">5.10.4 Treatment of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07"/>
    <w:bookmarkEnd w:id="108"/>
    <w:bookmarkStart w:id="122"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there are no time-to-event analyses and no hazard ratios. These models provide cluster-specific estimates of the intervention effect for patient-level outcomes. Model diagnostics will be used to assess distributional assumptions, the proportional-odds assumption for cumulative logit models, and model convergence.</w:t>
      </w:r>
    </w:p>
    <w:bookmarkStart w:id="109"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9"/>
    <w:bookmarkStart w:id="112"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10"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10"/>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1"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11</m:t>
              </m:r>
            </m:e>
          </m:d>
        </m:oMath>
      </m:oMathPara>
      <w:bookmarkEnd w:id="111"/>
    </w:p>
    <w:bookmarkEnd w:id="112"/>
    <w:bookmarkStart w:id="113"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10</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11</w:t>
        </w:r>
      </w:hyperlink>
      <w:r>
        <w:t xml:space="preserve">.</w:t>
      </w:r>
    </w:p>
    <w:bookmarkEnd w:id="113"/>
    <w:bookmarkStart w:id="114"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4"/>
    <w:bookmarkStart w:id="116" w:name="length-of-emergency-department-stay"/>
    <w:p>
      <w:pPr>
        <w:pStyle w:val="Heading3"/>
      </w:pPr>
      <w:r>
        <w:t xml:space="preserve">5.11.5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We will use a mixed-effects negative binomial regression model with a log link, including fixed effects for intervention exposure and batch-specific categorical period effects, a random intercept for cluster, and a random cluster-by-period effect, matching the primary analysis model structure where feasible. If this model does not converge, we will simplify the random-effects and period structure following the same sequence as for the primary outcome. The model is specified in</w:t>
      </w:r>
      <w:r>
        <w:t xml:space="preserve"> </w:t>
      </w:r>
      <w:hyperlink w:anchor="eq-length-of-stay-model">
        <w:r>
          <w:rPr>
            <w:rStyle w:val="Hyperlink"/>
          </w:rPr>
          <w:t xml:space="preserve">Equation 12</w:t>
        </w:r>
      </w:hyperlink>
      <w:r>
        <w:t xml:space="preserv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5"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5"/>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16"/>
    <w:bookmarkStart w:id="117" w:name="length-of-hospital-stay"/>
    <w:p>
      <w:pPr>
        <w:pStyle w:val="Heading3"/>
      </w:pPr>
      <w:r>
        <w:t xml:space="preserve">5.11.6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ED length of stay.</w:t>
      </w:r>
    </w:p>
    <w:bookmarkEnd w:id="117"/>
    <w:bookmarkStart w:id="118"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 Patients who die or are transferred without ICU admission will be classified according to whether ICU admission occurred before that event.</w:t>
      </w:r>
    </w:p>
    <w:bookmarkEnd w:id="118"/>
    <w:bookmarkStart w:id="119" w:name="length-of-intensive-care-unit-stay"/>
    <w:p>
      <w:pPr>
        <w:pStyle w:val="Heading3"/>
      </w:pPr>
      <w:r>
        <w:t xml:space="preserve">5.11.8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mixed-effects negative binomial model in</w:t>
      </w:r>
      <w:r>
        <w:t xml:space="preserve"> </w:t>
      </w:r>
      <w:hyperlink w:anchor="eq-length-of-stay-model">
        <w:r>
          <w:rPr>
            <w:rStyle w:val="Hyperlink"/>
          </w:rPr>
          <w:t xml:space="preserve">Equation 12</w:t>
        </w:r>
      </w:hyperlink>
      <w:r>
        <w:t xml:space="preserve">, with the same handling of death and transfer as for the other length-of-stay outcomes.</w:t>
      </w:r>
    </w:p>
    <w:bookmarkEnd w:id="119"/>
    <w:bookmarkStart w:id="121"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20"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20"/>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1"/>
    <w:bookmarkEnd w:id="122"/>
    <w:bookmarkStart w:id="125" w:name="presentation-of-analysis-results"/>
    <w:p>
      <w:pPr>
        <w:pStyle w:val="Heading2"/>
      </w:pPr>
      <w:r>
        <w:t xml:space="preserve">5.12 Presentation of analysis results</w:t>
      </w:r>
    </w:p>
    <w:p>
      <w:pPr>
        <w:pStyle w:val="FirstParagraph"/>
      </w:pPr>
      <w:r>
        <w:t xml:space="preserve">Intervention-effect estimates for the primary and secondary outcomes will be reported with 95% CIs and p-values, using the effect measures specified for each outcome. Results tables will be prepared in the style of</w:t>
      </w:r>
      <w:r>
        <w:t xml:space="preserve"> </w:t>
      </w:r>
      <w:r>
        <w:rPr>
          <w:rStyle w:val="VerbatimChar"/>
        </w:rPr>
        <w:t xml:space="preserve">gtsummary::tbl_regression</w:t>
      </w:r>
      <w:r>
        <w:t xml:space="preserve">, using the same section headers and label style as the descriptive outcome summaries. We will present key outcome analyses in the results section, and present all outcome analyses as supplementary tables. See</w:t>
      </w:r>
      <w:r>
        <w:t xml:space="preserve"> </w:t>
      </w:r>
      <w:hyperlink w:anchor="tbl-outcomes-analysis-results">
        <w:r>
          <w:rPr>
            <w:rStyle w:val="Hyperlink"/>
          </w:rPr>
          <w:t xml:space="preserve">Table 5</w:t>
        </w:r>
      </w:hyperlink>
      <w:r>
        <w:t xml:space="preserve"> </w:t>
      </w:r>
      <w:r>
        <w:t xml:space="preserve">for key analyses and</w:t>
      </w:r>
      <w:r>
        <w:t xml:space="preserve"> </w:t>
      </w:r>
      <w:hyperlink w:anchor="tbl-outcomes-analysis-results-all">
        <w:r>
          <w:rPr>
            <w:rStyle w:val="Hyperlink"/>
          </w:rPr>
          <w:t xml:space="preserve">Table 9</w:t>
        </w:r>
      </w:hyperlink>
      <w:r>
        <w:t xml:space="preserve"> </w:t>
      </w:r>
      <w:r>
        <w:t xml:space="preserve">for all analyses.</w:t>
      </w:r>
    </w:p>
    <w:tbl>
      <w:tblPr>
        <w:tblStyle w:val="Table"/>
        <w:tblW w:type="pct" w:w="5000"/>
        <w:tblLayout w:type="fixed"/>
        <w:tblLook w:firstRow="0" w:lastRow="0" w:firstColumn="0" w:lastColumn="0" w:noHBand="0" w:noVBand="0" w:val="0000"/>
      </w:tblPr>
      <w:tblGrid>
        <w:gridCol w:w="7920"/>
      </w:tblGrid>
      <w:tr>
        <w:tc>
          <w:tcPr/>
          <w:bookmarkStart w:id="123" w:name="tbl-outcomes-analysis-results"/>
          <w:p>
            <w:pPr>
              <w:jc w:val="center"/>
            </w:pPr>
            <w:pPr>
              <w:jc w:val="left"/>
              <w:spacing w:before="200"/>
              <w:pStyle w:val="ImageCaption"/>
            </w:pPr>
            <w:r>
              <w:t xml:space="preserve">Table 5: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3"/>
        </w:tc>
      </w:tr>
    </w:tbl>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additional-analyses-results"/>
          <w:p>
            <w:pPr>
              <w:jc w:val="center"/>
            </w:pPr>
            <w:pPr>
              <w:jc w:val="left"/>
              <w:spacing w:before="200"/>
              <w:pStyle w:val="ImageCaption"/>
            </w:pPr>
            <w:r>
              <w:t xml:space="preserve">Table 6: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Fully adjusted analysis,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24"/>
        </w:tc>
      </w:tr>
    </w:tbl>
    <w:p>
      <w:pPr>
        <w:pStyle w:val="BodyText"/>
      </w:pPr>
      <w:r>
        <w:t xml:space="preserve">Time-adjusted within-cluster correlations and variance components will be reported with 95% CIs for all outcomes, as specified above; for binary outcomes, latent-scale correlations will additionally be reported. For models with an AR(1) within-cluster structure, the within-period correlation and correlation decay parameter will also be reported. These parameters will be presented as a supplementary table. See</w:t>
      </w:r>
      <w:r>
        <w:t xml:space="preserve"> </w:t>
      </w:r>
      <w:hyperlink w:anchor="tbl-correlation-parameters">
        <w:r>
          <w:rPr>
            <w:rStyle w:val="Hyperlink"/>
          </w:rPr>
          <w:t xml:space="preserve">Table 10</w:t>
        </w:r>
      </w:hyperlink>
      <w:r>
        <w:t xml:space="preserve">.</w:t>
      </w:r>
    </w:p>
    <w:bookmarkEnd w:id="125"/>
    <w:bookmarkEnd w:id="126"/>
    <w:bookmarkStart w:id="131"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7: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tbl-outcomes-descriptive-all"/>
          <w:p>
            <w:pPr>
              <w:jc w:val="center"/>
            </w:pPr>
            <w:pPr>
              <w:jc w:val="left"/>
              <w:spacing w:before="200"/>
              <w:pStyle w:val="ImageCaption"/>
            </w:pPr>
            <w:r>
              <w:t xml:space="preserve">Table 8: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tbl-outcomes-analysis-results-all"/>
          <w:p>
            <w:pPr>
              <w:jc w:val="center"/>
            </w:pPr>
            <w:pPr>
              <w:jc w:val="left"/>
              <w:spacing w:before="200"/>
              <w:pStyle w:val="ImageCaption"/>
            </w:pPr>
            <w:r>
              <w:t xml:space="preserve">Table 9: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tbl-correlation-parameters"/>
          <w:p>
            <w:pPr>
              <w:jc w:val="center"/>
            </w:pPr>
            <w:pPr>
              <w:jc w:val="left"/>
              <w:spacing w:before="200"/>
              <w:pStyle w:val="ImageCaption"/>
            </w:pPr>
            <w:r>
              <w:t xml:space="preserve">Table 10: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30"/>
        </w:tc>
      </w:tr>
    </w:tbl>
    <w:bookmarkEnd w:id="131"/>
    <w:bookmarkStart w:id="153" w:name="references"/>
    <w:p>
      <w:pPr>
        <w:pStyle w:val="Heading1"/>
      </w:pPr>
      <w:r>
        <w:t xml:space="preserve">7. References</w:t>
      </w:r>
    </w:p>
    <w:bookmarkStart w:id="152" w:name="refs"/>
    <w:bookmarkStart w:id="132"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32"/>
    <w:bookmarkStart w:id="133"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3"/>
    <w:bookmarkStart w:id="134"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4"/>
    <w:bookmarkStart w:id="135"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5"/>
    <w:bookmarkStart w:id="136"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6"/>
    <w:bookmarkStart w:id="137"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7"/>
    <w:bookmarkStart w:id="138"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8"/>
    <w:bookmarkStart w:id="139"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9"/>
    <w:bookmarkStart w:id="140"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40"/>
    <w:bookmarkStart w:id="141"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41"/>
    <w:bookmarkStart w:id="142"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42"/>
    <w:bookmarkStart w:id="143"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3"/>
    <w:bookmarkStart w:id="144"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4"/>
    <w:bookmarkStart w:id="145"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5"/>
    <w:bookmarkStart w:id="146"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6"/>
    <w:bookmarkStart w:id="147"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7"/>
    <w:bookmarkStart w:id="148"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8"/>
    <w:bookmarkStart w:id="149"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9"/>
    <w:bookmarkStart w:id="150"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50"/>
    <w:bookmarkStart w:id="151"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2026-08-03T05:57:00Z</dcterms:created>
  <dcterms:modified xsi:type="dcterms:W3CDTF">2026-08-03T05:57:00Z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