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7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26"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 The trial is designed and will be analysed within a superiority framework, with ATLS® training compared with standard care for the primary and secondary outcomes.</w:t>
      </w:r>
    </w:p>
    <w:p>
      <w:pPr>
        <w:pStyle w:val="BodyText"/>
      </w:pPr>
      <w:r>
        <w:t xml:space="preserve">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anticpated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bookmarkEnd w:id="59"/>
    <w:bookmarkStart w:id="65"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analysis sets,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66"/>
    <w:bookmarkStart w:id="73" w:name="sample-size-calculations"/>
    <w:p>
      <w:pPr>
        <w:pStyle w:val="Heading2"/>
      </w:pPr>
      <w:r>
        <w:t xml:space="preserve">5.5 Sample size calculations</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secondary outcomes, and the power calculations presented here are intended only to inform the sample size required for their data collection within the nested staircase design. These outcomes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5"/>
    <w:bookmarkEnd w:id="76"/>
    <w:bookmarkStart w:id="81" w:name="analysis-sets"/>
    <w:p>
      <w:pPr>
        <w:pStyle w:val="Heading2"/>
      </w:pPr>
      <w:r>
        <w:t xml:space="preserve">5.7 Analysis sets</w:t>
      </w:r>
    </w:p>
    <w:p>
      <w:pPr>
        <w:pStyle w:val="FirstParagraph"/>
      </w:pPr>
      <w:r>
        <w:t xml:space="preserve">The trial has a hierarchical structure in which hospitals represent the clusters, clinical units within hospitals deliver care, and individual patients constitute the unit of observation and analysis. Randomisation is performed at the hospital level, with all trained units within the same hospital treated as part of the same cluster.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For the primary outcome and mortality secondary outcomes, the analysis set is all eligible patient participants included in the main stepped-wedge trial. For quality-of-life, disability, and return-to-work outcomes, the analysis set is patients alive at the relevant follow-up time point. For adherence to ATLS® principles, the analysis set is the random sample of patients observed within the nested staircase design.</w:t>
      </w:r>
    </w:p>
    <w:p>
      <w:pPr>
        <w:pStyle w:val="BodyText"/>
      </w:pPr>
      <w:r>
        <w:t xml:space="preserve">The analysis set for each outcome will include all available participants from the relevant target population with observed outcome data, subject to any restrictions imposed by the outcome definition or the nested staircase sampling scheme. For adjusted analyses, the analysis set may be further restricted by the availability of covariate data, as described in</w:t>
      </w:r>
      <w:r>
        <w:t xml:space="preserve"> </w:t>
      </w:r>
      <w:hyperlink w:anchor="sec-treatment-of-missing-data">
        <w:r>
          <w:rPr>
            <w:rStyle w:val="Hyperlink"/>
          </w:rPr>
          <w:t xml:space="preserve">Section 5.10.4</w:t>
        </w:r>
      </w:hyperlink>
      <w:r>
        <w:t xml:space="preserve">.</w:t>
      </w:r>
    </w:p>
    <w:p>
      <w:pPr>
        <w:pStyle w:val="BodyText"/>
      </w:pPr>
      <w:r>
        <w:t xml:space="preserve">We will use a CONSORT diagram to display the flow of hospitals, clusters and patients through the trial, see</w:t>
      </w:r>
      <w:r>
        <w:t xml:space="preserve"> </w:t>
      </w:r>
      <w:hyperlink w:anchor="fig-consort-diagram">
        <w:r>
          <w:rPr>
            <w:rStyle w:val="Hyperlink"/>
          </w:rPr>
          <w:t xml:space="preserve">Figure 4</w:t>
        </w:r>
      </w:hyperlink>
      <w:r>
        <w:t xml:space="preserve">. We will present cluster level summaries of the intervention effect. We will report the study according to the CONSORT guidelines for stepped-wedge randomised trials</w:t>
      </w:r>
      <w:r>
        <w:rPr>
          <w:vertAlign w:val="superscript"/>
        </w:rPr>
        <w:t xml:space="preserve">15</w:t>
      </w:r>
      <w:r>
        <w:t xml:space="preserve">.</w:t>
      </w:r>
    </w:p>
    <w:tbl>
      <w:tblPr>
        <w:tblStyle w:val="Table"/>
        <w:tblW w:type="pct" w:w="5000"/>
        <w:tblLayout w:type="fixed"/>
        <w:tblLook w:firstRow="0" w:lastRow="0" w:firstColumn="0" w:lastColumn="0" w:noHBand="0" w:noVBand="0" w:val="0000"/>
      </w:tblPr>
      <w:tblGrid>
        <w:gridCol w:w="7920"/>
      </w:tblGrid>
      <w:tr>
        <w:tc>
          <w:tcPr/>
          <w:bookmarkStart w:id="80" w:name="fig-consort-diagram"/>
          <w:p>
            <w:pPr>
              <w:pStyle w:val="Compact"/>
              <w:jc w:val="center"/>
            </w:pPr>
            <w:r>
              <w:drawing>
                <wp:inline>
                  <wp:extent cx="5334000" cy="9066502"/>
                  <wp:effectExtent b="0" l="0" r="0" t="0"/>
                  <wp:docPr descr="" title="" id="78" name="Picture"/>
                  <a:graphic>
                    <a:graphicData uri="http://schemas.openxmlformats.org/drawingml/2006/picture">
                      <pic:pic>
                        <pic:nvPicPr>
                          <pic:cNvPr descr="consort-diagram-5-sequences.png" id="79" name="Picture"/>
                          <pic:cNvPicPr>
                            <a:picLocks noChangeArrowheads="1" noChangeAspect="1"/>
                          </pic:cNvPicPr>
                        </pic:nvPicPr>
                        <pic:blipFill>
                          <a:blip r:embed="rId77"/>
                          <a:stretch>
                            <a:fillRect/>
                          </a:stretch>
                        </pic:blipFill>
                        <pic:spPr bwMode="auto">
                          <a:xfrm>
                            <a:off x="0" y="0"/>
                            <a:ext cx="5334000" cy="90665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Consort diagram. The diagram displays the flow of clusters and participants through the trial.</w:t>
            </w:r>
          </w:p>
          <w:bookmarkEnd w:id="80"/>
        </w:tc>
      </w:tr>
    </w:tbl>
    <w:bookmarkEnd w:id="81"/>
    <w:bookmarkStart w:id="88" w:name="baseline-analyses"/>
    <w:p>
      <w:pPr>
        <w:pStyle w:val="Heading2"/>
      </w:pPr>
      <w:r>
        <w:t xml:space="preserve">5.8 Baseline analyses</w:t>
      </w:r>
    </w:p>
    <w:bookmarkStart w:id="83"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medians and interquartile ranges (Q1-Q3) for continuous variables. See</w:t>
      </w:r>
      <w:r>
        <w:t xml:space="preserve"> </w:t>
      </w:r>
      <w:hyperlink w:anchor="tbl-cluster-characteristics">
        <w:r>
          <w:rPr>
            <w:rStyle w:val="Hyperlink"/>
          </w:rPr>
          <w:t xml:space="preserve">Table 2</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2" w:name="tbl-cluster-characteristics"/>
          <w:p>
            <w:pPr>
              <w:jc w:val="center"/>
            </w:pPr>
            <w:pPr>
              <w:jc w:val="left"/>
              <w:spacing w:before="200"/>
              <w:pStyle w:val="ImageCaption"/>
            </w:pPr>
            <w:r>
              <w:t xml:space="preserve">Table 2: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2"/>
        </w:tc>
      </w:tr>
    </w:tbl>
    <w:bookmarkEnd w:id="83"/>
    <w:bookmarkStart w:id="85" w:name="patient-characteristics"/>
    <w:p>
      <w:pPr>
        <w:pStyle w:val="Heading3"/>
      </w:pPr>
      <w:r>
        <w:t xml:space="preserve">5.8.2 Patient characteristics</w:t>
      </w:r>
    </w:p>
    <w:p>
      <w:pPr>
        <w:pStyle w:val="FirstParagraph"/>
      </w:pPr>
      <w:r>
        <w:t xml:space="preserve">We will describe patient characteristics stratified by before and after ATLS training and overall, using frequencies and percentages for discrete variables and medians and interquartile ranges (Q1-Q3) for continuous variables. Missing values will be reported for each characteristic. We will not adjust for clustering when presenting baseline characteristics. We will present key characteristics in the results section, and present all characteristics as supplementary tables. See</w:t>
      </w:r>
      <w:r>
        <w:t xml:space="preserve"> </w:t>
      </w:r>
      <w:hyperlink w:anchor="tbl-patient-characteristics">
        <w:r>
          <w:rPr>
            <w:rStyle w:val="Hyperlink"/>
          </w:rPr>
          <w:t xml:space="preserve">Table 3</w:t>
        </w:r>
      </w:hyperlink>
      <w:r>
        <w:t xml:space="preserve"> </w:t>
      </w:r>
      <w:r>
        <w:t xml:space="preserve">for key characteristics and</w:t>
      </w:r>
      <w:r>
        <w:t xml:space="preserve"> </w:t>
      </w:r>
      <w:hyperlink w:anchor="tbl-patient-characteristics-all">
        <w:r>
          <w:rPr>
            <w:rStyle w:val="Hyperlink"/>
          </w:rPr>
          <w:t xml:space="preserve">Table 5</w:t>
        </w:r>
      </w:hyperlink>
      <w:r>
        <w:t xml:space="preserve"> </w:t>
      </w:r>
      <w:r>
        <w:t xml:space="preserve">for all characteristics.</w:t>
      </w:r>
    </w:p>
    <w:tbl>
      <w:tblPr>
        <w:tblStyle w:val="Table"/>
        <w:tblW w:type="pct" w:w="5000"/>
        <w:tblLayout w:type="fixed"/>
        <w:tblLook w:firstRow="0" w:lastRow="0" w:firstColumn="0" w:lastColumn="0" w:noHBand="0" w:noVBand="0" w:val="0000"/>
      </w:tblPr>
      <w:tblGrid>
        <w:gridCol w:w="7920"/>
      </w:tblGrid>
      <w:tr>
        <w:tc>
          <w:tcPr/>
          <w:bookmarkStart w:id="84" w:name="tbl-patient-characteristics"/>
          <w:p>
            <w:pPr>
              <w:jc w:val="center"/>
            </w:pPr>
            <w:pPr>
              <w:jc w:val="left"/>
              <w:spacing w:before="200"/>
              <w:pStyle w:val="ImageCaption"/>
            </w:pPr>
            <w:r>
              <w:t xml:space="preserve">Table 3: Key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4"/>
        </w:tc>
      </w:tr>
    </w:tbl>
    <w:bookmarkEnd w:id="85"/>
    <w:bookmarkStart w:id="87" w:name="outcomes-1"/>
    <w:p>
      <w:pPr>
        <w:pStyle w:val="Heading3"/>
      </w:pPr>
      <w:r>
        <w:t xml:space="preserve">5.8.3 Outcomes</w:t>
      </w:r>
    </w:p>
    <w:p>
      <w:pPr>
        <w:pStyle w:val="FirstParagraph"/>
      </w:pPr>
      <w:r>
        <w:t xml:space="preserve">Summaries of primary and secondary outcomes will be presented in the results section, stratified by before and after ATLS training and overall, using the same summary statistics as the patient characteristics tables. Missing values will be reported for each outcome. See</w:t>
      </w:r>
      <w:r>
        <w:t xml:space="preserve"> </w:t>
      </w:r>
      <w:hyperlink w:anchor="tbl-outcomes-descriptive">
        <w:r>
          <w:rPr>
            <w:rStyle w:val="Hyperlink"/>
          </w:rPr>
          <w:t xml:space="preserve">Table 4</w:t>
        </w:r>
      </w:hyperlink>
      <w:r>
        <w:t xml:space="preserve"> </w:t>
      </w:r>
      <w:r>
        <w:t xml:space="preserve">for details.</w:t>
      </w:r>
    </w:p>
    <w:tbl>
      <w:tblPr>
        <w:tblStyle w:val="Table"/>
        <w:tblW w:type="pct" w:w="5000"/>
        <w:tblLayout w:type="fixed"/>
        <w:tblLook w:firstRow="0" w:lastRow="0" w:firstColumn="0" w:lastColumn="0" w:noHBand="0" w:noVBand="0" w:val="0000"/>
      </w:tblPr>
      <w:tblGrid>
        <w:gridCol w:w="7920"/>
      </w:tblGrid>
      <w:tr>
        <w:tc>
          <w:tcPr/>
          <w:bookmarkStart w:id="86" w:name="tbl-outcomes-descriptive"/>
          <w:p>
            <w:pPr>
              <w:jc w:val="center"/>
            </w:pPr>
            <w:pPr>
              <w:jc w:val="left"/>
              <w:spacing w:before="200"/>
              <w:pStyle w:val="ImageCaption"/>
            </w:pPr>
            <w:r>
              <w:t xml:space="preserve">Table 4: Descriptive summaries of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(nested staircase design),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within seven days of discharge,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at 30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at three months,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within seven days of discharge,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at 30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at three months,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86"/>
        </w:tc>
      </w:tr>
    </w:tbl>
    <w:bookmarkEnd w:id="87"/>
    <w:bookmarkEnd w:id="88"/>
    <w:bookmarkStart w:id="89"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89"/>
    <w:bookmarkStart w:id="111"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 primary analysis will be based on the most complex model that converges from a prespecified sequence of models of decreasing complexity, and this model will then be subject to sensitivity analyses. The analysis will proceed from the most complex model to progressively simpler models if there are convergence or numerical stability issues.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5"/>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90"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90"/>
    </w:p>
    <w:p>
      <w:pPr>
        <w:pStyle w:val="Compact"/>
        <w:numPr>
          <w:ilvl w:val="0"/>
          <w:numId w:val="1006"/>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91"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91"/>
    </w:p>
    <w:p>
      <w:pPr>
        <w:pStyle w:val="Compact"/>
        <w:numPr>
          <w:ilvl w:val="0"/>
          <w:numId w:val="1007"/>
        </w:numPr>
      </w:pPr>
      <w:r>
        <w:rPr>
          <w:b/>
          <w:bCs/>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92"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92"/>
    </w:p>
    <w:p>
      <w:pPr>
        <w:pStyle w:val="Compact"/>
        <w:numPr>
          <w:ilvl w:val="0"/>
          <w:numId w:val="1008"/>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93"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93"/>
    </w:p>
    <w:p>
      <w:pPr>
        <w:pStyle w:val="FirstParagraph"/>
      </w:pPr>
      <w:r>
        <w:t xml:space="preserve">Where:</w:t>
      </w:r>
    </w:p>
    <w:p>
      <w:pPr>
        <w:pStyle w:val="Compact"/>
        <w:numPr>
          <w:ilvl w:val="0"/>
          <w:numId w:val="1009"/>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09"/>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09"/>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09"/>
        </w:numPr>
      </w:pPr>
      <m:oMath>
        <m:r>
          <m:t>μ</m:t>
        </m:r>
      </m:oMath>
      <w:r>
        <w:t xml:space="preserve">: the intercept, representing the value of the linear predictor for the reference levels of all fixed effects, with random effects equal to zero.</w:t>
      </w:r>
    </w:p>
    <w:p>
      <w:pPr>
        <w:pStyle w:val="Compact"/>
        <w:numPr>
          <w:ilvl w:val="0"/>
          <w:numId w:val="1009"/>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09"/>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09"/>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09"/>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09"/>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94"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94"/>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107"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96"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95"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95"/>
    </w:p>
    <w:p>
      <w:pPr>
        <w:pStyle w:val="FirstParagraph"/>
      </w:pPr>
      <w:r>
        <w:t xml:space="preserve">Where:</w:t>
      </w:r>
    </w:p>
    <w:p>
      <w:pPr>
        <w:pStyle w:val="Compact"/>
        <w:numPr>
          <w:ilvl w:val="0"/>
          <w:numId w:val="1010"/>
        </w:numPr>
      </w:pPr>
      <m:oMath>
        <m:r>
          <m:t>ρ</m:t>
        </m:r>
      </m:oMath>
      <w:r>
        <w:t xml:space="preserve"> </w:t>
      </w:r>
      <w:r>
        <w:t xml:space="preserve">is the correlation parameter governing the association between adjacent periods within the same cluster.</w:t>
      </w:r>
    </w:p>
    <w:p>
      <w:pPr>
        <w:pStyle w:val="Compact"/>
        <w:numPr>
          <w:ilvl w:val="0"/>
          <w:numId w:val="1010"/>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0"/>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96"/>
    <w:bookmarkStart w:id="98"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97" w:name="eq-model-batch-trend"/>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sepChr m:val=""/>
              <m:endChr m:val=")"/>
              <m:grow/>
            </m:dPr>
            <m:e>
              <m:r>
                <m:t>7</m:t>
              </m:r>
            </m:e>
          </m:d>
        </m:oMath>
      </m:oMathPara>
      <w:bookmarkEnd w:id="97"/>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98"/>
    <w:bookmarkStart w:id="100"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99"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8</m:t>
              </m:r>
            </m:e>
          </m:d>
        </m:oMath>
      </m:oMathPara>
      <w:bookmarkEnd w:id="99"/>
    </w:p>
    <w:p>
      <w:pPr>
        <w:pStyle w:val="FirstParagraph"/>
      </w:pPr>
      <w:r>
        <w:t xml:space="preserve">Where:</w:t>
      </w:r>
    </w:p>
    <w:p>
      <w:pPr>
        <w:pStyle w:val="Compact"/>
        <w:numPr>
          <w:ilvl w:val="0"/>
          <w:numId w:val="1011"/>
        </w:numPr>
      </w:pPr>
      <m:oMath>
        <m:sSub>
          <m:e>
            <m:r>
              <m:t>u</m:t>
            </m:r>
          </m:e>
          <m:sub>
            <m:r>
              <m:t>b</m:t>
            </m:r>
            <m:r>
              <m:t>k</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pStyle w:val="Compact"/>
        <w:numPr>
          <w:ilvl w:val="0"/>
          <w:numId w:val="1011"/>
        </w:numPr>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100"/>
    <w:bookmarkStart w:id="102"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101" w:name="eq-model-correlated-random-effects"/>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9</m:t>
              </m:r>
            </m:e>
          </m:d>
        </m:oMath>
      </m:oMathPara>
      <w:bookmarkEnd w:id="101"/>
    </w:p>
    <w:p>
      <w:pPr>
        <w:pStyle w:val="FirstParagraph"/>
      </w:pPr>
      <w:r>
        <w:t xml:space="preserve">We assume a joint multivariate normal distribution for the random effects: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102"/>
    <w:bookmarkStart w:id="104"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103"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103"/>
    </w:p>
    <w:p>
      <w:pPr>
        <w:pStyle w:val="FirstParagraph"/>
      </w:pPr>
      <w:r>
        <w:t xml:space="preserve">Where:</w:t>
      </w:r>
    </w:p>
    <w:p>
      <w:pPr>
        <w:pStyle w:val="Compact"/>
        <w:numPr>
          <w:ilvl w:val="0"/>
          <w:numId w:val="1012"/>
        </w:numPr>
      </w:pPr>
      <m:oMath>
        <m:r>
          <m:t>t</m:t>
        </m:r>
      </m:oMath>
      <w:r>
        <w:t xml:space="preserve"> </w:t>
      </w:r>
      <w:r>
        <w:t xml:space="preserve">denotes calendar time (period index) common to all batches.</w:t>
      </w:r>
    </w:p>
    <w:p>
      <w:pPr>
        <w:pStyle w:val="Compact"/>
        <w:numPr>
          <w:ilvl w:val="0"/>
          <w:numId w:val="1012"/>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2"/>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04"/>
    <w:bookmarkStart w:id="106"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105"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11</m:t>
              </m:r>
            </m:e>
          </m:d>
        </m:oMath>
      </m:oMathPara>
      <w:bookmarkEnd w:id="105"/>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06"/>
    <w:bookmarkEnd w:id="107"/>
    <w:bookmarkStart w:id="108"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3"/>
        </w:numPr>
      </w:pPr>
      <w:r>
        <w:t xml:space="preserve">Age (&lt;5%)</w:t>
      </w:r>
    </w:p>
    <w:p>
      <w:pPr>
        <w:pStyle w:val="Compact"/>
        <w:numPr>
          <w:ilvl w:val="0"/>
          <w:numId w:val="1013"/>
        </w:numPr>
      </w:pPr>
      <w:r>
        <w:t xml:space="preserve">Sex (&lt;5%)</w:t>
      </w:r>
    </w:p>
    <w:p>
      <w:pPr>
        <w:pStyle w:val="Compact"/>
        <w:numPr>
          <w:ilvl w:val="0"/>
          <w:numId w:val="1013"/>
        </w:numPr>
      </w:pPr>
      <w:r>
        <w:t xml:space="preserve">Systolic blood pressure (25%)</w:t>
      </w:r>
    </w:p>
    <w:p>
      <w:pPr>
        <w:pStyle w:val="Compact"/>
        <w:numPr>
          <w:ilvl w:val="0"/>
          <w:numId w:val="1013"/>
        </w:numPr>
      </w:pPr>
      <w:r>
        <w:t xml:space="preserve">Glasgow Coma Scale (25%)</w:t>
      </w:r>
    </w:p>
    <w:p>
      <w:pPr>
        <w:pStyle w:val="Compact"/>
        <w:numPr>
          <w:ilvl w:val="0"/>
          <w:numId w:val="1013"/>
        </w:numPr>
      </w:pPr>
      <w:r>
        <w:t xml:space="preserve">Injury Severity Score (10%)</w:t>
      </w:r>
    </w:p>
    <w:p>
      <w:pPr>
        <w:pStyle w:val="Compact"/>
        <w:numPr>
          <w:ilvl w:val="0"/>
          <w:numId w:val="1013"/>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8"/>
    <w:bookmarkStart w:id="109" w:name="subgroup-analyses"/>
    <w:p>
      <w:pPr>
        <w:pStyle w:val="Heading3"/>
      </w:pPr>
      <w:r>
        <w:t xml:space="preserve">5.10.3 Subgroup analyses</w:t>
      </w:r>
    </w:p>
    <w:p>
      <w:pPr>
        <w:pStyle w:val="FirstParagraph"/>
      </w:pPr>
      <w:r>
        <w:t xml:space="preserve">We will perform the following subgroup analyses:</w:t>
      </w:r>
    </w:p>
    <w:p>
      <w:pPr>
        <w:pStyle w:val="Compact"/>
        <w:numPr>
          <w:ilvl w:val="0"/>
          <w:numId w:val="1014"/>
        </w:numPr>
      </w:pPr>
      <w:r>
        <w:t xml:space="preserve">geographical region, defined using the state in which the participating hospital is located;</w:t>
      </w:r>
    </w:p>
    <w:p>
      <w:pPr>
        <w:pStyle w:val="Compact"/>
        <w:numPr>
          <w:ilvl w:val="0"/>
          <w:numId w:val="1014"/>
        </w:numPr>
      </w:pPr>
      <w:r>
        <w:t xml:space="preserve">age groups, defined as older adolescents (15-19 years), young adults (20-24 years), adults (25-59 years), and older adults (60 years and older)</w:t>
      </w:r>
      <w:r>
        <w:rPr>
          <w:vertAlign w:val="superscript"/>
        </w:rPr>
        <w:t xml:space="preserve">18</w:t>
      </w:r>
    </w:p>
    <w:p>
      <w:pPr>
        <w:pStyle w:val="Compact"/>
        <w:numPr>
          <w:ilvl w:val="0"/>
          <w:numId w:val="1014"/>
        </w:numPr>
      </w:pPr>
      <w:r>
        <w:t xml:space="preserve">sex, using the levels male and female;</w:t>
      </w:r>
    </w:p>
    <w:p>
      <w:pPr>
        <w:pStyle w:val="Compact"/>
        <w:numPr>
          <w:ilvl w:val="0"/>
          <w:numId w:val="1014"/>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w:t>
      </w:r>
    </w:p>
    <w:p>
      <w:pPr>
        <w:pStyle w:val="Compact"/>
        <w:numPr>
          <w:ilvl w:val="0"/>
          <w:numId w:val="1014"/>
        </w:numPr>
      </w:pPr>
      <w:r>
        <w:t xml:space="preserve">patients with major trauma, defined as patients with an injury severity score (ISS) of 16 or higher;</w:t>
      </w:r>
    </w:p>
    <w:p>
      <w:pPr>
        <w:pStyle w:val="Compact"/>
        <w:numPr>
          <w:ilvl w:val="0"/>
          <w:numId w:val="1014"/>
        </w:numPr>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9"/>
    <w:bookmarkStart w:id="110" w:name="sec-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110"/>
    <w:bookmarkEnd w:id="111"/>
    <w:bookmarkStart w:id="125"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12"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12"/>
    <w:bookmarkStart w:id="115"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13"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13"/>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14"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13</m:t>
              </m:r>
            </m:e>
          </m:d>
        </m:oMath>
      </m:oMathPara>
      <w:bookmarkEnd w:id="114"/>
    </w:p>
    <w:bookmarkEnd w:id="115"/>
    <w:bookmarkStart w:id="116"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16"/>
    <w:bookmarkStart w:id="117"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7"/>
    <w:bookmarkStart w:id="119"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18" w:name="eq-competing-risks-model"/>
      <m:oMathPara>
        <m:oMathParaPr>
          <m:jc m:val="center"/>
        </m:oMathParaPr>
        <m:oMath>
          <m:sSubSup>
            <m:e>
              <m:r>
                <m:t>h</m:t>
              </m:r>
            </m:e>
            <m:sub>
              <m:r>
                <m:t>b</m:t>
              </m:r>
              <m:r>
                <m:t>k</m:t>
              </m:r>
            </m:sub>
            <m:sup>
              <m:d>
                <m:dPr>
                  <m:begChr m:val="("/>
                  <m:sepChr m:val=""/>
                  <m:endChr m:val=")"/>
                  <m:grow/>
                </m:dPr>
                <m:e>
                  <m:r>
                    <m:t>s</m:t>
                  </m:r>
                </m:e>
              </m:d>
            </m:sup>
          </m:sSubSup>
          <m:d>
            <m:dPr>
              <m:begChr m:val="("/>
              <m:sepChr m:val=""/>
              <m:endChr m:val=")"/>
              <m:grow/>
            </m:dPr>
            <m:e>
              <m:r>
                <m:t>t</m:t>
              </m:r>
            </m:e>
          </m:d>
          <m:r>
            <m:rPr>
              <m:sty m:val="p"/>
            </m:rPr>
            <m:t>=</m:t>
          </m:r>
          <m:sSubSup>
            <m:e>
              <m:r>
                <m:t>h</m:t>
              </m:r>
            </m:e>
            <m:sub>
              <m:r>
                <m:t>0</m:t>
              </m:r>
            </m:sub>
            <m:sup>
              <m:d>
                <m:dPr>
                  <m:begChr m:val="("/>
                  <m:sepChr m:val=""/>
                  <m:endChr m:val=")"/>
                  <m:grow/>
                </m:dPr>
                <m:e>
                  <m:r>
                    <m:t>s</m:t>
                  </m:r>
                </m:e>
              </m:d>
            </m:sup>
          </m:sSubSup>
          <m:d>
            <m:dPr>
              <m:begChr m:val="("/>
              <m:sepChr m:val=""/>
              <m:end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sepChr m:val=""/>
              <m:endChr m:val=")"/>
              <m:grow/>
            </m:dPr>
            <m:e>
              <m:r>
                <m:t>14</m:t>
              </m:r>
            </m:e>
          </m:d>
        </m:oMath>
      </m:oMathPara>
      <w:bookmarkEnd w:id="118"/>
    </w:p>
    <w:p>
      <w:pPr>
        <w:pStyle w:val="FirstParagraph"/>
      </w:pPr>
      <w:r>
        <w:t xml:space="preserve">Where:</w:t>
      </w:r>
    </w:p>
    <w:p>
      <w:pPr>
        <w:pStyle w:val="Compact"/>
        <w:numPr>
          <w:ilvl w:val="0"/>
          <w:numId w:val="1015"/>
        </w:numPr>
      </w:pPr>
      <m:oMath>
        <m:sSubSup>
          <m:e>
            <m:r>
              <m:t>h</m:t>
            </m:r>
          </m:e>
          <m:sub>
            <m:r>
              <m:t>b</m:t>
            </m:r>
            <m:r>
              <m:t>k</m:t>
            </m:r>
          </m:sub>
          <m:sup>
            <m:d>
              <m:dPr>
                <m:begChr m:val="("/>
                <m:sepChr m:val=""/>
                <m:endChr m:val=")"/>
                <m:grow/>
              </m:dPr>
              <m:e>
                <m:r>
                  <m:t>s</m:t>
                </m:r>
              </m:e>
            </m:d>
          </m:sup>
        </m:sSubSup>
        <m:d>
          <m:dPr>
            <m:begChr m:val="("/>
            <m:sepChr m:val=""/>
            <m:end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pStyle w:val="Compact"/>
        <w:numPr>
          <w:ilvl w:val="0"/>
          <w:numId w:val="1015"/>
        </w:numPr>
      </w:pPr>
      <m:oMath>
        <m:sSubSup>
          <m:e>
            <m:r>
              <m:t>h</m:t>
            </m:r>
          </m:e>
          <m:sub>
            <m:r>
              <m:t>0</m:t>
            </m:r>
          </m:sub>
          <m:sup>
            <m:d>
              <m:dPr>
                <m:begChr m:val="("/>
                <m:sepChr m:val=""/>
                <m:endChr m:val=")"/>
                <m:grow/>
              </m:dPr>
              <m:e>
                <m:r>
                  <m:t>s</m:t>
                </m:r>
              </m:e>
            </m:d>
          </m:sup>
        </m:sSubSup>
        <m:d>
          <m:dPr>
            <m:begChr m:val="("/>
            <m:sepChr m:val=""/>
            <m:endChr m:val=")"/>
            <m:grow/>
          </m:dPr>
          <m:e>
            <m:r>
              <m:t>t</m:t>
            </m:r>
          </m:e>
        </m:d>
      </m:oMath>
      <w:r>
        <w:t xml:space="preserve">: the baseline subdistribution hazard function.</w:t>
      </w:r>
    </w:p>
    <w:p>
      <w:pPr>
        <w:pStyle w:val="Compact"/>
        <w:numPr>
          <w:ilvl w:val="0"/>
          <w:numId w:val="1015"/>
        </w:numPr>
      </w:pPr>
      <m:oMath>
        <m:r>
          <m:t>θ</m:t>
        </m:r>
      </m:oMath>
      <w:r>
        <w:t xml:space="preserve">: under the Fine–Gray model, represents the log subdistribution hazard ratio for discharge associated with ATLS® exposure.</w:t>
      </w:r>
    </w:p>
    <w:p>
      <w:pPr>
        <w:pStyle w:val="Compact"/>
        <w:numPr>
          <w:ilvl w:val="0"/>
          <w:numId w:val="1015"/>
        </w:numPr>
      </w:pPr>
      <w:r>
        <w:t xml:space="preserve">All other terms are defined as in the primary analysis model.</w:t>
      </w:r>
    </w:p>
    <w:bookmarkEnd w:id="119"/>
    <w:bookmarkStart w:id="120"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20"/>
    <w:bookmarkStart w:id="121"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21"/>
    <w:bookmarkStart w:id="122"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22"/>
    <w:bookmarkStart w:id="124"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23"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15</m:t>
              </m:r>
            </m:e>
          </m:d>
        </m:oMath>
      </m:oMathPara>
      <w:bookmarkEnd w:id="123"/>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24"/>
    <w:bookmarkEnd w:id="125"/>
    <w:bookmarkEnd w:id="126"/>
    <w:bookmarkStart w:id="128" w:name="supplementary-tables"/>
    <w:p>
      <w:pPr>
        <w:pStyle w:val="Heading1"/>
      </w:pPr>
      <w:r>
        <w:t xml:space="preserve">6. Supplementary tables</w:t>
      </w:r>
    </w:p>
    <w:tbl>
      <w:tblPr>
        <w:tblStyle w:val="Table"/>
        <w:tblW w:type="pct" w:w="5000"/>
        <w:tblLayout w:type="fixed"/>
        <w:tblLook w:firstRow="0" w:lastRow="0" w:firstColumn="0" w:lastColumn="0" w:noHBand="0" w:noVBand="0" w:val="0000"/>
      </w:tblPr>
      <w:tblGrid>
        <w:gridCol w:w="7920"/>
      </w:tblGrid>
      <w:tr>
        <w:tc>
          <w:tcPr/>
          <w:bookmarkStart w:id="127" w:name="tbl-patient-characteristics-all"/>
          <w:p>
            <w:pPr>
              <w:jc w:val="center"/>
            </w:pPr>
            <w:pPr>
              <w:jc w:val="left"/>
              <w:spacing w:before="200"/>
              <w:pStyle w:val="ImageCaption"/>
            </w:pPr>
            <w:r>
              <w:t xml:space="preserve">Table 5: All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Marital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Never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Currently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Separated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Cohabiting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 level,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attended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Primary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Graduate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 graduate and above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work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Paid work, such as daily wage earner, teacher, factory worker and government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 such as own your business or farming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Non-paid work, such as volunteer or charity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Student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Keeping house/homemaker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(health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(other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 level (INR per month),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Below 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10,001-20,000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20,001-30,000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80,001-1,00,000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Above 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Comorbidities (Charlson Comorbidity Index),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Cerebrovascular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Rheumatologic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Peptic ulcer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Hemiplegia or paraplegia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Malignancy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Leukemia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Lymphoma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AIDS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liver disease,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or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diabetes,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malignancy,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Localized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Metastatic tumor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Frailty Scale,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Very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Managing well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Living with very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Living with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Living with moderate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 Living with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 Living with very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Terminally ill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 of transport,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Ambulance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Police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vehicle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Walking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source data,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Medical record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 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notes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rate (beats/min),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Body temperature (°F),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Emergency department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Admitted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Referred or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admitting ward,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Intensive care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dependency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Trauma ward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Preoperative ASA score,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A normal healthy patient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A patient with mild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A patient with severe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A patient with severe systemic disease that is a constant threat to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A moribund patient who is not expected to survive without the operation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A declared brain-dead patient whose organs are being removed for donor purposes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blood product,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Packed red blood cells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Platelets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Fresh frozen plasma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Whole blood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units transfused,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27"/>
        </w:tc>
      </w:tr>
    </w:tbl>
    <w:bookmarkEnd w:id="128"/>
    <w:bookmarkStart w:id="150" w:name="references"/>
    <w:p>
      <w:pPr>
        <w:pStyle w:val="Heading1"/>
      </w:pPr>
      <w:r>
        <w:t xml:space="preserve">7. References</w:t>
      </w:r>
    </w:p>
    <w:bookmarkStart w:id="149" w:name="refs"/>
    <w:bookmarkStart w:id="129"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29"/>
    <w:bookmarkStart w:id="130"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30"/>
    <w:bookmarkStart w:id="131"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31"/>
    <w:bookmarkStart w:id="132"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32"/>
    <w:bookmarkStart w:id="133"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33"/>
    <w:bookmarkStart w:id="134"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34"/>
    <w:bookmarkStart w:id="135"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35"/>
    <w:bookmarkStart w:id="136"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36"/>
    <w:bookmarkStart w:id="137"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37"/>
    <w:bookmarkStart w:id="138"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38"/>
    <w:bookmarkStart w:id="139"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39"/>
    <w:bookmarkStart w:id="140"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40"/>
    <w:bookmarkStart w:id="141"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41"/>
    <w:bookmarkStart w:id="142"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42"/>
    <w:bookmarkStart w:id="143"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43"/>
    <w:bookmarkStart w:id="144"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44"/>
    <w:bookmarkStart w:id="145"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45"/>
    <w:bookmarkStart w:id="146"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46"/>
    <w:bookmarkStart w:id="147"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47"/>
    <w:bookmarkStart w:id="148"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2026-07-21T06:45:26Z</dcterms:created>
  <dcterms:modified xsi:type="dcterms:W3CDTF">2026-07-21T06:45:26Z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