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3.png" ContentType="image/png"/>
  <Override PartName="/word/media/rId90.png" ContentType="image/png"/>
  <Override PartName="/word/media/rId98.png" ContentType="image/png"/>
  <Override PartName="/word/media/rId94.png" ContentType="image/png"/>
  <Override PartName="/word/media/rId161.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8" w:name="introduction"/>
    <w:p>
      <w:pPr>
        <w:pStyle w:val="Heading1"/>
      </w:pPr>
      <w:r>
        <w:t xml:space="preserve">2. Introduction</w:t>
      </w:r>
    </w:p>
    <w:bookmarkStart w:id="45" w:name="trial-synopsis"/>
    <w:p>
      <w:pPr>
        <w:pStyle w:val="Heading2"/>
      </w:pPr>
      <w:r>
        <w:t xml:space="preserve">2.1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6" w:name="special-considerations"/>
    <w:p>
      <w:pPr>
        <w:pStyle w:val="Heading2"/>
      </w:pPr>
      <w:r>
        <w:t xml:space="preserve">2.2 Special considerations</w:t>
      </w:r>
    </w:p>
    <w:bookmarkEnd w:id="46"/>
    <w:bookmarkStart w:id="47" w:name="funding"/>
    <w:p>
      <w:pPr>
        <w:pStyle w:val="Heading2"/>
      </w:pPr>
      <w:r>
        <w:t xml:space="preserve">2.3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7"/>
    <w:bookmarkEnd w:id="48"/>
    <w:bookmarkStart w:id="52" w:name="aim-and-objectives"/>
    <w:p>
      <w:pPr>
        <w:pStyle w:val="Heading1"/>
      </w:pPr>
      <w:r>
        <w:t xml:space="preserve">3. Aim and objectives</w:t>
      </w:r>
    </w:p>
    <w:bookmarkStart w:id="49" w:name="aim"/>
    <w:p>
      <w:pPr>
        <w:pStyle w:val="Heading2"/>
      </w:pPr>
      <w:r>
        <w:t xml:space="preserve">3.1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9"/>
    <w:bookmarkStart w:id="50" w:name="objectives"/>
    <w:p>
      <w:pPr>
        <w:pStyle w:val="Heading2"/>
      </w:pPr>
      <w:r>
        <w:t xml:space="preserve">3.2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50"/>
    <w:bookmarkStart w:id="51" w:name="framework"/>
    <w:p>
      <w:pPr>
        <w:pStyle w:val="Heading2"/>
      </w:pPr>
      <w:r>
        <w:t xml:space="preserve">3.3 Framework</w:t>
      </w:r>
    </w:p>
    <w:p>
      <w:pPr>
        <w:pStyle w:val="FirstParagraph"/>
      </w:pPr>
      <w:r>
        <w:t xml:space="preserve">We have designed and will analyse the trial within a superiority framework, with ATLS® training compared with standard care for the primary and secondary outcomes.</w:t>
      </w:r>
    </w:p>
    <w:bookmarkEnd w:id="51"/>
    <w:bookmarkEnd w:id="52"/>
    <w:bookmarkStart w:id="73" w:name="study-design"/>
    <w:p>
      <w:pPr>
        <w:pStyle w:val="Heading1"/>
      </w:pPr>
      <w:r>
        <w:t xml:space="preserve">4. Study design</w:t>
      </w:r>
    </w:p>
    <w:bookmarkStart w:id="61" w:name="trial-design"/>
    <w:p>
      <w:pPr>
        <w:pStyle w:val="Heading2"/>
      </w:pPr>
      <w:r>
        <w:t xml:space="preserve">4.1 Trial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6" w:name="fig-trial-design"/>
          <w:p>
            <w:pPr>
              <w:pStyle w:val="Compact"/>
              <w:jc w:val="center"/>
            </w:pPr>
            <w:r>
              <w:drawing>
                <wp:inline>
                  <wp:extent cx="5334000" cy="3198592"/>
                  <wp:effectExtent b="0" l="0" r="0" t="0"/>
                  <wp:docPr descr="" title="" id="54" name="Picture"/>
                  <a:graphic>
                    <a:graphicData uri="http://schemas.openxmlformats.org/drawingml/2006/picture">
                      <pic:pic>
                        <pic:nvPicPr>
                          <pic:cNvPr descr="trial-design-figure-30-clusters-5-sequences-6-batches-6-batches-overlap-4-min-standard-care-4-min-intervention-1-transition-months-0-transition-overlap.0-staircase-months.png" id="55" name="Picture"/>
                          <pic:cNvPicPr>
                            <a:picLocks noChangeArrowheads="1" noChangeAspect="1"/>
                          </pic:cNvPicPr>
                        </pic:nvPicPr>
                        <pic:blipFill>
                          <a:blip r:embed="rId53"/>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inclusion across clusters and phases. Clusters will be sequentially allocated to a batch based on when they enter the study. Within each batch clusters will then be randomised to an intervention implementation sequence.</w:t>
            </w:r>
          </w:p>
          <w:bookmarkEnd w:id="56"/>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60" w:name="fig-nested-staircase-design"/>
          <w:p>
            <w:pPr>
              <w:pStyle w:val="Compact"/>
              <w:jc w:val="center"/>
            </w:pPr>
            <w:r>
              <w:drawing>
                <wp:inline>
                  <wp:extent cx="5334000" cy="3198592"/>
                  <wp:effectExtent b="0" l="0" r="0" t="0"/>
                  <wp:docPr descr="" title="" id="58" name="Picture"/>
                  <a:graphic>
                    <a:graphicData uri="http://schemas.openxmlformats.org/drawingml/2006/picture">
                      <pic:pic>
                        <pic:nvPicPr>
                          <pic:cNvPr descr="trial-design-figure-30-clusters-5-sequences-6-batches-6-batches-overlap-4-min-standard-care-4-min-intervention-1-transition-months-0-transition-overlap.3-staircase-months.png" id="59" name="Picture"/>
                          <pic:cNvPicPr>
                            <a:picLocks noChangeArrowheads="1" noChangeAspect="1"/>
                          </pic:cNvPicPr>
                        </pic:nvPicPr>
                        <pic:blipFill>
                          <a:blip r:embed="rId5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60"/>
        </w:tc>
      </w:tr>
    </w:tbl>
    <w:bookmarkEnd w:id="61"/>
    <w:bookmarkStart w:id="62" w:name="intervention-and-control-treatment"/>
    <w:p>
      <w:pPr>
        <w:pStyle w:val="Heading2"/>
      </w:pPr>
      <w:r>
        <w:t xml:space="preserve">4.2 Intervention and control treatment</w:t>
      </w:r>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2"/>
    <w:bookmarkStart w:id="63" w:name="randomisation-and-inclusion"/>
    <w:p>
      <w:pPr>
        <w:pStyle w:val="Heading2"/>
      </w:pPr>
      <w:r>
        <w:t xml:space="preserve">4.3 Randomisation and inclusion</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3"/>
    <w:bookmarkStart w:id="70" w:name="sample-size-calculations"/>
    <w:p>
      <w:pPr>
        <w:pStyle w:val="Heading2"/>
      </w:pPr>
      <w:r>
        <w:t xml:space="preserve">4.4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68" w:name="Xba08c803f10f7c8cd9a777b53b902d2761b3046"/>
    <w:p>
      <w:pPr>
        <w:pStyle w:val="Heading3"/>
      </w:pPr>
      <w:r>
        <w:t xml:space="preserve">4.4.1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7" w:name="fig-power-curves"/>
          <w:p>
            <w:pPr>
              <w:pStyle w:val="Compact"/>
              <w:jc w:val="center"/>
            </w:pPr>
            <w:r>
              <w:drawing>
                <wp:inline>
                  <wp:extent cx="5334000" cy="2369551"/>
                  <wp:effectExtent b="0" l="0" r="0" t="0"/>
                  <wp:docPr descr="" title="" id="65" name="Picture"/>
                  <a:graphic>
                    <a:graphicData uri="http://schemas.openxmlformats.org/drawingml/2006/picture">
                      <pic:pic>
                        <pic:nvPicPr>
                          <pic:cNvPr descr="./combined-power-curves.png" id="66" name="Picture"/>
                          <pic:cNvPicPr>
                            <a:picLocks noChangeArrowheads="1" noChangeAspect="1"/>
                          </pic:cNvPicPr>
                        </pic:nvPicPr>
                        <pic:blipFill>
                          <a:blip r:embed="rId64"/>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67"/>
        </w:tc>
      </w:tr>
    </w:tbl>
    <w:bookmarkEnd w:id="68"/>
    <w:bookmarkStart w:id="69" w:name="X37fc7b5fe6b5980542d53d3e88dadde59566406"/>
    <w:p>
      <w:pPr>
        <w:pStyle w:val="Heading3"/>
      </w:pPr>
      <w:r>
        <w:t xml:space="preserve">4.4.2 Nested staircase design and secondary outcomes</w:t>
      </w:r>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9"/>
    <w:bookmarkEnd w:id="70"/>
    <w:bookmarkStart w:id="71" w:name="interim-analysis"/>
    <w:p>
      <w:pPr>
        <w:pStyle w:val="Heading2"/>
      </w:pPr>
      <w:r>
        <w:t xml:space="preserve">4.5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3"/>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 to monitor for differential recruitment or ascertainment;</w:t>
      </w:r>
    </w:p>
    <w:p>
      <w:pPr>
        <w:pStyle w:val="Compact"/>
        <w:numPr>
          <w:ilvl w:val="0"/>
          <w:numId w:val="1003"/>
        </w:numPr>
      </w:pPr>
      <w:r>
        <w:t xml:space="preserve">completeness of primary and secondary outcome data, overall and by intervention condition, without presenting outcome values by intervention condition;</w:t>
      </w:r>
    </w:p>
    <w:p>
      <w:pPr>
        <w:pStyle w:val="Compact"/>
        <w:numPr>
          <w:ilvl w:val="0"/>
          <w:numId w:val="1003"/>
        </w:numPr>
      </w:pPr>
      <w:r>
        <w:t xml:space="preserve">ATLS® training delivery, including numbers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 and</w:t>
      </w:r>
    </w:p>
    <w:p>
      <w:pPr>
        <w:pStyle w:val="Compact"/>
        <w:numPr>
          <w:ilvl w:val="0"/>
          <w:numId w:val="1003"/>
        </w:numPr>
      </w:pPr>
      <w:r>
        <w:t xml:space="preserve">the SDMC recommendation.</w:t>
      </w:r>
    </w:p>
    <w:p>
      <w:pPr>
        <w:pStyle w:val="FirstParagraph"/>
      </w:pPr>
      <w:r>
        <w:t xml:space="preserve">Outcomes will not be compared across intervention conditions in the interim report, to avoid biasing the SDMC or Trial Management Group. The SDMC will use the interim report to advise whether the trial remains feasible and should continue as planned.</w:t>
      </w:r>
    </w:p>
    <w:bookmarkEnd w:id="71"/>
    <w:bookmarkStart w:id="72" w:name="final-analysis"/>
    <w:p>
      <w:pPr>
        <w:pStyle w:val="Heading2"/>
      </w:pPr>
      <w:r>
        <w:t xml:space="preserve">4.6 Final analysis</w:t>
      </w:r>
    </w:p>
    <w:p>
      <w:pPr>
        <w:pStyle w:val="FirstParagraph"/>
      </w:pPr>
      <w:r>
        <w:t xml:space="preserve">Primary and secondary outcomes will be analysed collectively in a single final analysis once all trial data are available.</w:t>
      </w:r>
    </w:p>
    <w:bookmarkEnd w:id="72"/>
    <w:bookmarkEnd w:id="73"/>
    <w:bookmarkStart w:id="80" w:name="statistical-principles"/>
    <w:p>
      <w:pPr>
        <w:pStyle w:val="Heading1"/>
      </w:pPr>
      <w:r>
        <w:t xml:space="preserve">5. Statistical principles</w:t>
      </w:r>
    </w:p>
    <w:bookmarkStart w:id="74" w:name="statistical-hypotheses"/>
    <w:p>
      <w:pPr>
        <w:pStyle w:val="Heading2"/>
      </w:pPr>
      <w:r>
        <w:t xml:space="preserve">5.1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74"/>
    <w:bookmarkStart w:id="75" w:name="Xb3701c3e4f516f3436ab2f14fbfd68958c11744"/>
    <w:p>
      <w:pPr>
        <w:pStyle w:val="Heading2"/>
      </w:pPr>
      <w:r>
        <w:t xml:space="preserve">5.2 Levels of statistical significance and confidence</w:t>
      </w:r>
    </w:p>
    <w:p>
      <w:pPr>
        <w:pStyle w:val="FirstParagraph"/>
      </w:pPr>
      <w:r>
        <w:t xml:space="preserve">We will use a two-sided significance level of 0.05 for all analyses, and we will report 95% confidence intervals (CI) for all estimates.</w:t>
      </w:r>
    </w:p>
    <w:bookmarkEnd w:id="75"/>
    <w:bookmarkStart w:id="76" w:name="type-1-error-control"/>
    <w:p>
      <w:pPr>
        <w:pStyle w:val="Heading2"/>
      </w:pPr>
      <w:r>
        <w:t xml:space="preserve">5.3 Type 1 error control</w:t>
      </w:r>
    </w:p>
    <w:p>
      <w:pPr>
        <w:pStyle w:val="FirstParagraph"/>
      </w:pPr>
      <w:r>
        <w:t xml:space="preserve">We will not adjust for multiple testing because no secondary outcome is regarded as singularly more important.</w:t>
      </w:r>
    </w:p>
    <w:bookmarkEnd w:id="76"/>
    <w:bookmarkStart w:id="79" w:name="adherence-and-protocol-deviations"/>
    <w:p>
      <w:pPr>
        <w:pStyle w:val="Heading2"/>
      </w:pPr>
      <w:r>
        <w:t xml:space="preserve">5.4 Adherence and Protocol deviations</w:t>
      </w:r>
    </w:p>
    <w:bookmarkStart w:id="77" w:name="adherence-to-the-intervention"/>
    <w:p>
      <w:pPr>
        <w:pStyle w:val="Heading3"/>
      </w:pPr>
      <w:r>
        <w:t xml:space="preserve">5.4.1 Adherence to the intervention</w:t>
      </w:r>
    </w:p>
    <w:p>
      <w:pPr>
        <w:pStyle w:val="FirstParagraph"/>
      </w:pPr>
      <w:r>
        <w:t xml:space="preserve">Adherence to the intervention is defined at the cluster and individual levels and is distinct from the secondary outcome adherence to ATLS® principles during resuscitation (see Analysis of secondary outcomes).</w:t>
      </w:r>
    </w:p>
    <w:p>
      <w:pPr>
        <w:pStyle w:val="BodyText"/>
      </w:pPr>
      <w:r>
        <w:t xml:space="preserve">At the cluster level, adherence means that ATLS® training is delivered during the scheduled transition period for that cluster’s randomised sequence, and that the cluster does not implement ATLS® training before its scheduled transition. We will assess cluster level adherence using the training log kept by the trial team. We will summarise cluster-level adherence descriptively, including the number and proportion of clusters that completed training as scheduled and the reasons for any non-adherence to the randomisation schedule. Adherence to the randomisation schedule is also reviewed at the interim analysis (see Interim analysis).</w:t>
      </w:r>
    </w:p>
    <w:p>
      <w:pPr>
        <w:pStyle w:val="BodyText"/>
      </w:pPr>
      <w:r>
        <w:t xml:space="preserve">At the individual level, exposure to the intervention is defined by the cluster’s scheduled transition date, as specified under Analysis sets. Patients are classified according to the period of admission, and the primary analysis includes eligible patients irrespective of whether care was delivered by a trained physician. If a cluster’s actual transition date differs from the scheduled date by more than four weeks, exposure will be redefined using the actual transition date in a sensitivity analysis (see Analysis sets).</w:t>
      </w:r>
    </w:p>
    <w:p>
      <w:pPr>
        <w:pStyle w:val="BodyText"/>
      </w:pPr>
      <w:r>
        <w:t xml:space="preserve">Process adherence to ATLS® principles during initial resuscitation is a nested-staircase secondary outcome and is defined and analysed in the Outcomes and Analysis of secondary outcomes sections; it is not used to exclude patients from the primary analysis.</w:t>
      </w:r>
    </w:p>
    <w:bookmarkEnd w:id="77"/>
    <w:bookmarkStart w:id="78" w:name="protocol-deviations"/>
    <w:p>
      <w:pPr>
        <w:pStyle w:val="Heading3"/>
      </w:pPr>
      <w:r>
        <w:t xml:space="preserve">5.4.2 Protocol deviations</w:t>
      </w:r>
    </w:p>
    <w:p>
      <w:pPr>
        <w:pStyle w:val="FirstParagraph"/>
      </w:pPr>
      <w:r>
        <w:t xml:space="preserve">A protocol deviation is any departure from the approved trial protocol, ICH-GCP, or applicable regulations. Consistent with the protocol, serious breaches and deviations that significantly affect, or are likely to affect, participant safety or integrity or the reliability of trial data will be reported without delay to the sponsor for assessment. Minor deviations that do not affect participant safety or integrity and do not materially affect the scientific value of the trial will be documented in the trial records of the principal investigator and the sponsor.</w:t>
      </w:r>
    </w:p>
    <w:p>
      <w:pPr>
        <w:pStyle w:val="BodyText"/>
      </w:pPr>
      <w:r>
        <w:t xml:space="preserve">Protocol deviations will be summarised descriptively for the final analysis (and reviewed at interim analysis), overall and by intervention condition where informative, including counts by type (cluster-level versus individual-level, and serious versus minor where classified) and narrative reasons. Deviations will not be used to exclude clusters or patients from the primary analysis; the primary analysis remains based on scheduled intervention exposure and available outcome data as specified under Analysis sets.</w:t>
      </w:r>
    </w:p>
    <w:bookmarkEnd w:id="78"/>
    <w:bookmarkEnd w:id="79"/>
    <w:bookmarkEnd w:id="80"/>
    <w:bookmarkStart w:id="108" w:name="trial-sample"/>
    <w:p>
      <w:pPr>
        <w:pStyle w:val="Heading1"/>
      </w:pPr>
      <w:r>
        <w:t xml:space="preserve">6. Trial sample</w:t>
      </w:r>
    </w:p>
    <w:bookmarkStart w:id="89" w:name="eligibility-criteria"/>
    <w:p>
      <w:pPr>
        <w:pStyle w:val="Heading2"/>
      </w:pPr>
      <w:r>
        <w:t xml:space="preserve">6.1 Eligibility criteria</w:t>
      </w:r>
    </w:p>
    <w:p>
      <w:pPr>
        <w:pStyle w:val="FirstParagraph"/>
      </w:pPr>
      <w:r>
        <w:t xml:space="preserve">Our trial has eligibility criteria on the cluster and patient participant level. Below follow a summary of the eligibility criteria, full details are provided in the protocol.</w:t>
      </w:r>
    </w:p>
    <w:bookmarkStart w:id="85" w:name="cluster-eligibility-criteria"/>
    <w:p>
      <w:pPr>
        <w:pStyle w:val="Heading3"/>
      </w:pPr>
      <w:r>
        <w:t xml:space="preserve">6.1.1 Cluster eligibility criteria</w:t>
      </w:r>
    </w:p>
    <w:bookmarkStart w:id="81" w:name="inclusion-criteria"/>
    <w:p>
      <w:pPr>
        <w:pStyle w:val="Heading4"/>
      </w:pPr>
      <w:r>
        <w:t xml:space="preserve">6.1.1.1 Inclusion criteria</w:t>
      </w:r>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1"/>
    <w:bookmarkStart w:id="84" w:name="exclusion-criteria"/>
    <w:p>
      <w:pPr>
        <w:pStyle w:val="Heading4"/>
      </w:pPr>
      <w:r>
        <w:t xml:space="preserve">6.1.1.2 Exclusion criteria</w:t>
      </w:r>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2"/>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3"/>
      </w:r>
      <w:r>
        <w:t xml:space="preserve"> </w:t>
      </w:r>
      <w:r>
        <w:t xml:space="preserve">that affects trauma care during the trial period.</w:t>
      </w:r>
    </w:p>
    <w:bookmarkEnd w:id="84"/>
    <w:bookmarkEnd w:id="85"/>
    <w:bookmarkStart w:id="88" w:name="patient-participant-eligibility-criteria"/>
    <w:p>
      <w:pPr>
        <w:pStyle w:val="Heading3"/>
      </w:pPr>
      <w:r>
        <w:t xml:space="preserve">6.1.2 Patient participant eligibility criteria</w:t>
      </w:r>
    </w:p>
    <w:bookmarkStart w:id="86" w:name="inclusion-criteria-1"/>
    <w:p>
      <w:pPr>
        <w:pStyle w:val="Heading4"/>
      </w:pPr>
      <w:r>
        <w:t xml:space="preserve">6.1.2.1 Inclusion criteria</w:t>
      </w:r>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86"/>
    <w:bookmarkStart w:id="87" w:name="exclusion-criteria-1"/>
    <w:p>
      <w:pPr>
        <w:pStyle w:val="Heading4"/>
      </w:pPr>
      <w:r>
        <w:t xml:space="preserve">6.1.2.2 Exclusion criteria</w:t>
      </w:r>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87"/>
    <w:bookmarkEnd w:id="88"/>
    <w:bookmarkEnd w:id="89"/>
    <w:bookmarkStart w:id="102" w:name="study-withdrawal-and-follow-up"/>
    <w:p>
      <w:pPr>
        <w:pStyle w:val="Heading2"/>
      </w:pPr>
      <w:r>
        <w:t xml:space="preserve">6.2 Study withdrawal and follow-up</w:t>
      </w:r>
    </w:p>
    <w:p>
      <w:pPr>
        <w:pStyle w:val="FirstParagraph"/>
      </w:pPr>
      <w:r>
        <w:t xml:space="preserve">We will use CONSORT diagrams to display the flow of clusters and patients through the trial, reported as two figures in line with recent batched stepped-wedge practice</w:t>
      </w:r>
      <w:r>
        <w:rPr>
          <w:vertAlign w:val="superscript"/>
        </w:rPr>
        <w:t xml:space="preserve">14</w:t>
      </w:r>
      <w:r>
        <w:t xml:space="preserve">: a cluster-level diagram (</w:t>
      </w:r>
      <w:hyperlink w:anchor="fig-consort-clusters">
        <w:r>
          <w:rPr>
            <w:rStyle w:val="Hyperlink"/>
          </w:rPr>
          <w:t xml:space="preserve">Figure 4</w:t>
        </w:r>
      </w:hyperlink>
      <w:r>
        <w:t xml:space="preserve">) and a patient-level diagram (</w:t>
      </w:r>
      <w:hyperlink w:anchor="fig-consort-patients">
        <w:r>
          <w:rPr>
            <w:rStyle w:val="Hyperlink"/>
          </w:rPr>
          <w:t xml:space="preserve">Figure 5</w:t>
        </w:r>
      </w:hyperlink>
      <w:r>
        <w:t xml:space="preserve">). For each sequence, the diagrams will report numbers randomly assigned or included, losses and exclusions after randomisation (with reasons), and numbers analysed for the primary outcome. The patient diagram will also summarise flow before and after ATLS® training. Flow for nested-staircase secondary outcomes (adherence to ATLS® principles, EQ-5D-5L, and WHODAS 2.0) will be reported in a separate figure (</w:t>
      </w:r>
      <w:hyperlink w:anchor="fig-consort-nested-staircase">
        <w:r>
          <w:rPr>
            <w:rStyle w:val="Hyperlink"/>
          </w:rPr>
          <w:t xml:space="preserve">Figure 6</w:t>
        </w:r>
      </w:hyperlink>
      <w:r>
        <w:t xml:space="preserve">), showing patients in the staircase windows, the shift-stratified sample, losses and exclusions, and numbers analysed, by sequence, before and after ATLS® training, and overall; the main CONSORT diagrams remain restricted to the primary stepped-wedge analysis sets. We will present cluster-level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93" w:name="fig-consort-clusters"/>
          <w:p>
            <w:pPr>
              <w:pStyle w:val="Compact"/>
              <w:jc w:val="center"/>
            </w:pPr>
            <w:r>
              <w:drawing>
                <wp:inline>
                  <wp:extent cx="5334000" cy="3677994"/>
                  <wp:effectExtent b="0" l="0" r="0" t="0"/>
                  <wp:docPr descr="" title="" id="91" name="Picture"/>
                  <a:graphic>
                    <a:graphicData uri="http://schemas.openxmlformats.org/drawingml/2006/picture">
                      <pic:pic>
                        <pic:nvPicPr>
                          <pic:cNvPr descr="consort-diagram-clusters-5-sequences.png" id="92" name="Picture"/>
                          <pic:cNvPicPr>
                            <a:picLocks noChangeArrowheads="1" noChangeAspect="1"/>
                          </pic:cNvPicPr>
                        </pic:nvPicPr>
                        <pic:blipFill>
                          <a:blip r:embed="rId90"/>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Cluster-level CONSORT diagram shell. Placeholders cover clusters assessed and randomised, losses and exclusions after randomisation with reasons, and clusters included in the primary analysis, by sequence and overall. The flowchart summarises data across all batches 1-6.</w:t>
            </w:r>
          </w:p>
          <w:bookmarkEnd w:id="93"/>
        </w:tc>
      </w:tr>
    </w:tbl>
    <w:tbl>
      <w:tblPr>
        <w:tblStyle w:val="Table"/>
        <w:tblW w:type="pct" w:w="5000"/>
        <w:tblLayout w:type="fixed"/>
        <w:tblLook w:firstRow="0" w:lastRow="0" w:firstColumn="0" w:lastColumn="0" w:noHBand="0" w:noVBand="0" w:val="0000"/>
      </w:tblPr>
      <w:tblGrid>
        <w:gridCol w:w="7920"/>
      </w:tblGrid>
      <w:tr>
        <w:tc>
          <w:tcPr/>
          <w:bookmarkStart w:id="97" w:name="fig-consort-patients"/>
          <w:p>
            <w:pPr>
              <w:pStyle w:val="Compact"/>
              <w:jc w:val="center"/>
            </w:pPr>
            <w:r>
              <w:drawing>
                <wp:inline>
                  <wp:extent cx="5334000" cy="4207500"/>
                  <wp:effectExtent b="0" l="0" r="0" t="0"/>
                  <wp:docPr descr="" title="" id="95" name="Picture"/>
                  <a:graphic>
                    <a:graphicData uri="http://schemas.openxmlformats.org/drawingml/2006/picture">
                      <pic:pic>
                        <pic:nvPicPr>
                          <pic:cNvPr descr="consort-diagram-patients-5-sequences.png" id="96" name="Picture"/>
                          <pic:cNvPicPr>
                            <a:picLocks noChangeArrowheads="1" noChangeAspect="1"/>
                          </pic:cNvPicPr>
                        </pic:nvPicPr>
                        <pic:blipFill>
                          <a:blip r:embed="rId94"/>
                          <a:stretch>
                            <a:fillRect/>
                          </a:stretch>
                        </pic:blipFill>
                        <pic:spPr bwMode="auto">
                          <a:xfrm>
                            <a:off x="0" y="0"/>
                            <a:ext cx="5334000" cy="420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Patient-level CONSORT diagram shell. Placeholders cover patients entered, losses and exclusions from the primary analysis with reasons, and patients analysed, by sequence, before and after ATLS training, and overall. The flowchart summarises data across all batches 1-6.</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consort-nested-staircase"/>
          <w:p>
            <w:pPr>
              <w:pStyle w:val="Compact"/>
              <w:jc w:val="center"/>
            </w:pPr>
            <w:r>
              <w:drawing>
                <wp:inline>
                  <wp:extent cx="5334000" cy="5450802"/>
                  <wp:effectExtent b="0" l="0" r="0" t="0"/>
                  <wp:docPr descr="" title="" id="99" name="Picture"/>
                  <a:graphic>
                    <a:graphicData uri="http://schemas.openxmlformats.org/drawingml/2006/picture">
                      <pic:pic>
                        <pic:nvPicPr>
                          <pic:cNvPr descr="consort-diagram-nested-staircase-5-sequences.png" id="100" name="Picture"/>
                          <pic:cNvPicPr>
                            <a:picLocks noChangeArrowheads="1" noChangeAspect="1"/>
                          </pic:cNvPicPr>
                        </pic:nvPicPr>
                        <pic:blipFill>
                          <a:blip r:embed="rId98"/>
                          <a:stretch>
                            <a:fillRect/>
                          </a:stretch>
                        </pic:blipFill>
                        <pic:spPr bwMode="auto">
                          <a:xfrm>
                            <a:off x="0" y="0"/>
                            <a:ext cx="5334000" cy="54508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Nested-staircase CONSORT diagram shell. Placeholders cover patients in staircase windows, the shift-stratified nested sample, losses and exclusions with reasons, and patients analysed for nested-staircase secondary outcomes, by sequence, before and after ATLS training, and overall. Coloured strip cells mark staircase months; grey cells are outside nested data collection. The flowchart summarises data across all batches 1-6.</w:t>
            </w:r>
          </w:p>
          <w:bookmarkEnd w:id="101"/>
        </w:tc>
      </w:tr>
    </w:tbl>
    <w:bookmarkEnd w:id="102"/>
    <w:bookmarkStart w:id="107" w:name="baseline-characteristics"/>
    <w:p>
      <w:pPr>
        <w:pStyle w:val="Heading2"/>
      </w:pPr>
      <w:r>
        <w:t xml:space="preserve">6.3 Baseline characteristics</w:t>
      </w:r>
    </w:p>
    <w:bookmarkStart w:id="104" w:name="cluster-characteristics"/>
    <w:p>
      <w:pPr>
        <w:pStyle w:val="Heading3"/>
      </w:pPr>
      <w:r>
        <w:t xml:space="preserve">6.3.1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1</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03" w:name="tbl-cluster-characteristics"/>
          <w:p>
            <w:pPr>
              <w:jc w:val="center"/>
            </w:pPr>
            <w:pPr>
              <w:jc w:val="left"/>
              <w:spacing w:before="200"/>
              <w:pStyle w:val="ImageCaption"/>
            </w:pPr>
            <w:r>
              <w:t xml:space="preserve">Table 1: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3"/>
        </w:tc>
      </w:tr>
    </w:tbl>
    <w:bookmarkEnd w:id="104"/>
    <w:bookmarkStart w:id="106" w:name="patient-characteristics"/>
    <w:p>
      <w:pPr>
        <w:pStyle w:val="Heading3"/>
      </w:pPr>
      <w:r>
        <w:t xml:space="preserve">6.3.2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in a supplementary table. See</w:t>
      </w:r>
      <w:r>
        <w:t xml:space="preserve"> </w:t>
      </w:r>
      <w:hyperlink w:anchor="tbl-patient-characteristics">
        <w:r>
          <w:rPr>
            <w:rStyle w:val="Hyperlink"/>
          </w:rPr>
          <w:t xml:space="preserve">Table 2</w:t>
        </w:r>
      </w:hyperlink>
      <w:r>
        <w:t xml:space="preserve"> </w:t>
      </w:r>
      <w:r>
        <w:t xml:space="preserve">for key characteristics and</w:t>
      </w:r>
      <w:r>
        <w:t xml:space="preserve"> </w:t>
      </w:r>
      <w:hyperlink w:anchor="tbl-patient-characteristics-all">
        <w:r>
          <w:rPr>
            <w:rStyle w:val="Hyperlink"/>
          </w:rPr>
          <w:t xml:space="preserve">Table 8</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105" w:name="tbl-patient-characteristics"/>
          <w:p>
            <w:pPr>
              <w:jc w:val="center"/>
            </w:pPr>
            <w:pPr>
              <w:jc w:val="left"/>
              <w:spacing w:before="200"/>
              <w:pStyle w:val="ImageCaption"/>
            </w:pPr>
            <w:r>
              <w:t xml:space="preserve">Table 2: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05"/>
        </w:tc>
      </w:tr>
    </w:tbl>
    <w:bookmarkEnd w:id="106"/>
    <w:bookmarkEnd w:id="107"/>
    <w:bookmarkEnd w:id="108"/>
    <w:bookmarkStart w:id="115" w:name="outcomes"/>
    <w:p>
      <w:pPr>
        <w:pStyle w:val="Heading1"/>
      </w:pPr>
      <w:r>
        <w:t xml:space="preserve">7. Outcomes</w:t>
      </w:r>
    </w:p>
    <w:bookmarkStart w:id="114" w:name="outcomes-1"/>
    <w:p>
      <w:pPr>
        <w:pStyle w:val="Heading2"/>
      </w:pPr>
      <w:r>
        <w:t xml:space="preserve">7.1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3</w:t>
        </w:r>
      </w:hyperlink>
      <w:r>
        <w:t xml:space="preserve">.</w:t>
      </w:r>
    </w:p>
    <w:bookmarkStart w:id="109" w:name="primary-outcome"/>
    <w:p>
      <w:pPr>
        <w:pStyle w:val="Heading3"/>
      </w:pPr>
      <w:r>
        <w:t xml:space="preserve">7.1.1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109"/>
    <w:bookmarkStart w:id="113" w:name="secondary-outcomes"/>
    <w:p>
      <w:pPr>
        <w:pStyle w:val="Heading3"/>
      </w:pPr>
      <w:r>
        <w:t xml:space="preserve">7.1.2 Secondary outcomes</w:t>
      </w:r>
    </w:p>
    <w:bookmarkStart w:id="110" w:name="Xdb0e69ac2f6fc09a45efb162c3cc667f9413bd2"/>
    <w:p>
      <w:pPr>
        <w:pStyle w:val="Heading4"/>
      </w:pPr>
      <w:r>
        <w:t xml:space="preserve">7.1.2.1 Collected using the main stepped-wedge design</w:t>
      </w:r>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110"/>
    <w:bookmarkStart w:id="112" w:name="Xac098b8b976789377f406b0c926b7e67113ef4f"/>
    <w:p>
      <w:pPr>
        <w:pStyle w:val="Heading4"/>
      </w:pPr>
      <w:r>
        <w:t xml:space="preserve">7.1.2.2 Collected using the nested staircase design</w:t>
      </w:r>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111" w:name="tbl-outcomes-summary"/>
          <w:p>
            <w:pPr>
              <w:jc w:val="center"/>
            </w:pPr>
            <w:pPr>
              <w:jc w:val="left"/>
              <w:spacing w:before="200"/>
              <w:pStyle w:val="ImageCaption"/>
            </w:pPr>
            <w:r>
              <w:t xml:space="preserve">Table 3: Summary of outcomes, analysis sets, effect measures, and handling of intercurrent events</w:t>
            </w:r>
          </w:p>
          <w:bookmarkEnd w:id="111"/>
        </w:tc>
      </w:tr>
    </w:tbl>
    <w:bookmarkEnd w:id="112"/>
    <w:bookmarkEnd w:id="113"/>
    <w:bookmarkEnd w:id="114"/>
    <w:bookmarkEnd w:id="115"/>
    <w:bookmarkStart w:id="121" w:name="X996242445fac73cd3d962c7c41a24681b88205f"/>
    <w:p>
      <w:pPr>
        <w:pStyle w:val="Heading1"/>
      </w:pPr>
      <w:r>
        <w:t xml:space="preserve">8. Intercurrent events, populations and summary measures</w:t>
      </w:r>
    </w:p>
    <w:bookmarkStart w:id="116" w:name="intercurrent-events"/>
    <w:p>
      <w:pPr>
        <w:pStyle w:val="Heading2"/>
      </w:pPr>
      <w:r>
        <w:t xml:space="preserve">8.1 Intercurrent events</w:t>
      </w:r>
    </w:p>
    <w:bookmarkEnd w:id="116"/>
    <w:bookmarkStart w:id="117" w:name="population"/>
    <w:p>
      <w:pPr>
        <w:pStyle w:val="Heading2"/>
      </w:pPr>
      <w:r>
        <w:t xml:space="preserve">8.2 Population</w:t>
      </w:r>
    </w:p>
    <w:bookmarkEnd w:id="117"/>
    <w:bookmarkStart w:id="118" w:name="analysis-sets"/>
    <w:p>
      <w:pPr>
        <w:pStyle w:val="Heading2"/>
      </w:pPr>
      <w:r>
        <w:t xml:space="preserve">8.3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9.3</w:t>
        </w:r>
      </w:hyperlink>
      <w:r>
        <w:t xml:space="preserve">.</w:t>
      </w:r>
    </w:p>
    <w:bookmarkEnd w:id="118"/>
    <w:bookmarkStart w:id="120" w:name="effect-measures"/>
    <w:p>
      <w:pPr>
        <w:pStyle w:val="Heading2"/>
      </w:pPr>
      <w:r>
        <w:t xml:space="preserve">8.4 Effect measures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9</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119"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19"/>
        </w:tc>
      </w:tr>
    </w:tbl>
    <w:bookmarkEnd w:id="120"/>
    <w:bookmarkEnd w:id="121"/>
    <w:bookmarkStart w:id="166" w:name="analysis-methods"/>
    <w:p>
      <w:pPr>
        <w:pStyle w:val="Heading1"/>
      </w:pPr>
      <w:r>
        <w:t xml:space="preserve">9. Analysis methods</w:t>
      </w:r>
    </w:p>
    <w:bookmarkStart w:id="142" w:name="analysis-methods-1"/>
    <w:p>
      <w:pPr>
        <w:pStyle w:val="Heading2"/>
      </w:pPr>
      <w:r>
        <w:t xml:space="preserve">9.1 Analysis methods</w:t>
      </w:r>
    </w:p>
    <w:p>
      <w:pPr>
        <w:pStyle w:val="FirstParagraph"/>
      </w:pPr>
      <w:r>
        <w:t xml:space="preserve">Primary and secondary outcomes will be analysed with mixed-effects regression models that account for clustering at the hospital level and target cluster-specific intervention effects, using link functions and outcome distributions matched to each data type (see Effect measures and the subsections below). Standard errors will be model-based; small-sample adjustments (including Kenward–Roger degrees-of-freedom corrections where relevant) and Wald-type confidence intervals will be used as specified under Analysis of the primary outcome. Estimation will be by maximum likelihood with a Laplace approximation for the random effects, with the software implementation chosen closer to analysis. Covariate adjustment for the fully adjusted analysis is specified under Adjusted analyses. Model diagnostics will assess distributional assumptions, convergence, and (where relevant) intercurrent-event strategy assumptions noted under Intercurrent events. If the preferred primary model does not converge, the prespecified sequence of simpler models under Analysis of the primary outcome will be used.</w:t>
      </w:r>
    </w:p>
    <w:bookmarkStart w:id="127" w:name="analysis-of-the-primary-outcome"/>
    <w:p>
      <w:pPr>
        <w:pStyle w:val="Heading3"/>
      </w:pPr>
      <w:r>
        <w:t xml:space="preserve">9.1.1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11"/>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12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122"/>
    </w:p>
    <w:p>
      <w:pPr>
        <w:pStyle w:val="Compact"/>
        <w:numPr>
          <w:ilvl w:val="0"/>
          <w:numId w:val="1012"/>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12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123"/>
    </w:p>
    <w:p>
      <w:pPr>
        <w:pStyle w:val="Compact"/>
        <w:numPr>
          <w:ilvl w:val="0"/>
          <w:numId w:val="1013"/>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12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24"/>
    </w:p>
    <w:p>
      <w:pPr>
        <w:pStyle w:val="Compact"/>
        <w:numPr>
          <w:ilvl w:val="0"/>
          <w:numId w:val="1014"/>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12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25"/>
    </w:p>
    <w:p>
      <w:pPr>
        <w:pStyle w:val="FirstParagraph"/>
      </w:pPr>
      <w:r>
        <w:t xml:space="preserve">Where:</w:t>
      </w:r>
    </w:p>
    <w:p>
      <w:pPr>
        <w:pStyle w:val="Compact"/>
        <w:numPr>
          <w:ilvl w:val="0"/>
          <w:numId w:val="1015"/>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5"/>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5"/>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5"/>
        </w:numPr>
      </w:pPr>
      <m:oMath>
        <m:r>
          <m:t>μ</m:t>
        </m:r>
      </m:oMath>
      <w:r>
        <w:t xml:space="preserve">: the intercept, representing the value of the linear predictor for the reference levels of all fixed effects, with random effects equal to zero.</w:t>
      </w:r>
    </w:p>
    <w:p>
      <w:pPr>
        <w:pStyle w:val="Compact"/>
        <w:numPr>
          <w:ilvl w:val="0"/>
          <w:numId w:val="1015"/>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5"/>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5"/>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5"/>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5"/>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2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2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17</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w:t>
      </w:r>
    </w:p>
    <w:p>
      <w:pPr>
        <w:pStyle w:val="BodyText"/>
      </w:pPr>
      <w:r>
        <w:t xml:space="preserve">Model diagnostics will be used to assess distributional assumptions and model convergence.</w:t>
      </w:r>
    </w:p>
    <w:bookmarkEnd w:id="127"/>
    <w:bookmarkStart w:id="141" w:name="analysis-of-secondary-outcomes"/>
    <w:p>
      <w:pPr>
        <w:pStyle w:val="Heading3"/>
      </w:pPr>
      <w:r>
        <w:t xml:space="preserve">9.1.2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These models provide cluster-specific estimates of the intervention effect for patient-level outcomes. Model diagnostics will be used to assess distributional assumptions, the proportional-odds assumption for cumulative logit models, and model convergence.</w:t>
      </w:r>
    </w:p>
    <w:bookmarkStart w:id="128" w:name="Xf8ad26412ad98b449304d4475d81963b294c2ae"/>
    <w:p>
      <w:pPr>
        <w:pStyle w:val="Heading4"/>
      </w:pPr>
      <w:r>
        <w:t xml:space="preserve">9.1.2.1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28"/>
    <w:bookmarkStart w:id="131" w:name="X89c97a0c38ba473d58b2facce729a073a7e8df9"/>
    <w:p>
      <w:pPr>
        <w:pStyle w:val="Heading4"/>
      </w:pPr>
      <w:r>
        <w:t xml:space="preserve">9.1.2.2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2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2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3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30"/>
    </w:p>
    <w:bookmarkEnd w:id="131"/>
    <w:bookmarkStart w:id="132" w:name="X90cb4e0ebfb4fe618dcdd24cc99dbcaedd01b78"/>
    <w:p>
      <w:pPr>
        <w:pStyle w:val="Heading4"/>
      </w:pPr>
      <w:r>
        <w:t xml:space="preserve">9.1.2.3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18</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6</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7</w:t>
        </w:r>
      </w:hyperlink>
      <w:r>
        <w:t xml:space="preserve">.</w:t>
      </w:r>
    </w:p>
    <w:bookmarkEnd w:id="132"/>
    <w:bookmarkStart w:id="133" w:name="X0c0155e4b87aec11ab06b9d09220f8543002113"/>
    <w:p>
      <w:pPr>
        <w:pStyle w:val="Heading4"/>
      </w:pPr>
      <w:r>
        <w:t xml:space="preserve">9.1.2.4 Return to work at 30 days and three months after arrival at the emergency department, among survivors</w:t>
      </w:r>
    </w:p>
    <w:p>
      <w:pPr>
        <w:pStyle w:val="FirstParagraph"/>
      </w:pPr>
      <w:r>
        <w:t xml:space="preserve">Return to work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33"/>
    <w:bookmarkStart w:id="135" w:name="length-of-emergency-department-stay"/>
    <w:p>
      <w:pPr>
        <w:pStyle w:val="Heading4"/>
      </w:pPr>
      <w:r>
        <w:t xml:space="preserve">9.1.2.5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8</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3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3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35"/>
    <w:bookmarkStart w:id="136" w:name="length-of-hospital-stay"/>
    <w:p>
      <w:pPr>
        <w:pStyle w:val="Heading4"/>
      </w:pPr>
      <w:r>
        <w:t xml:space="preserve">9.1.2.6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ED length of stay.</w:t>
      </w:r>
    </w:p>
    <w:bookmarkEnd w:id="136"/>
    <w:bookmarkStart w:id="137" w:name="intensive-care-unit-admission"/>
    <w:p>
      <w:pPr>
        <w:pStyle w:val="Heading4"/>
      </w:pPr>
      <w:r>
        <w:t xml:space="preserve">9.1.2.7 Intensive care unit admission</w:t>
      </w:r>
    </w:p>
    <w:p>
      <w:pPr>
        <w:pStyle w:val="FirstParagraph"/>
      </w:pPr>
      <w:r>
        <w:t xml:space="preserve">Intensive care unit admission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 Patients who die or are transferred without ICU admission will be classified according to whether ICU admission occurred before that event.</w:t>
      </w:r>
    </w:p>
    <w:bookmarkEnd w:id="137"/>
    <w:bookmarkStart w:id="138" w:name="length-of-intensive-care-unit-stay"/>
    <w:p>
      <w:pPr>
        <w:pStyle w:val="Heading4"/>
      </w:pPr>
      <w:r>
        <w:t xml:space="preserve">9.1.2.8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8</w:t>
        </w:r>
      </w:hyperlink>
      <w:r>
        <w:t xml:space="preserve">, with the same handling of death and transfer as for the other length-of-stay outcomes.</w:t>
      </w:r>
    </w:p>
    <w:bookmarkEnd w:id="138"/>
    <w:bookmarkStart w:id="140" w:name="X5037a1d47abaf80439915bb3ba5c524d444c7d7"/>
    <w:p>
      <w:pPr>
        <w:pStyle w:val="Heading4"/>
      </w:pPr>
      <w:r>
        <w:t xml:space="preserve">9.1.2.9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3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3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40"/>
    <w:bookmarkEnd w:id="141"/>
    <w:bookmarkEnd w:id="142"/>
    <w:bookmarkStart w:id="143" w:name="correlations"/>
    <w:p>
      <w:pPr>
        <w:pStyle w:val="Heading2"/>
      </w:pPr>
      <w:r>
        <w:t xml:space="preserve">9.2 Correlations</w:t>
      </w:r>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 These parameters will be presented as a supplementary table. See</w:t>
      </w:r>
      <w:r>
        <w:t xml:space="preserve"> </w:t>
      </w:r>
      <w:hyperlink w:anchor="tbl-correlation-parameters">
        <w:r>
          <w:rPr>
            <w:rStyle w:val="Hyperlink"/>
          </w:rPr>
          <w:t xml:space="preserve">Table 11</w:t>
        </w:r>
      </w:hyperlink>
      <w:r>
        <w:t xml:space="preserve">.</w:t>
      </w:r>
    </w:p>
    <w:bookmarkEnd w:id="143"/>
    <w:bookmarkStart w:id="144" w:name="sec-treatment-of-missing-data"/>
    <w:p>
      <w:pPr>
        <w:pStyle w:val="Heading2"/>
      </w:pPr>
      <w:r>
        <w:t xml:space="preserve">9.3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adjusted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44"/>
    <w:bookmarkStart w:id="154" w:name="sensitivity-analyses"/>
    <w:p>
      <w:pPr>
        <w:pStyle w:val="Heading2"/>
      </w:pPr>
      <w:r>
        <w:t xml:space="preserve">9.4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 If a sensitivity model does not converge, we will report that fact and, where feasible, fit the next simpler random-effects or period specification analogous to the primary-analysis convergence sequence.</w:t>
      </w:r>
    </w:p>
    <w:bookmarkStart w:id="146" w:name="X22dda602ebb4652e0fd291705062d91648ada05"/>
    <w:p>
      <w:pPr>
        <w:pStyle w:val="Heading4"/>
      </w:pPr>
      <w:r>
        <w:t xml:space="preserve">9.4.0.1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10</w:t>
        </w:r>
      </w:hyperlink>
      <w:r>
        <w:t xml:space="preserve">. This parameterisation assumes that correlations between cluster-level random effects decay geometrically with increasing temporal separation between periods.</w:t>
      </w:r>
    </w:p>
    <w:p>
      <w:pPr>
        <w:pStyle w:val="BodyText"/>
      </w:pPr>
      <w:bookmarkStart w:id="14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10</m:t>
              </m:r>
            </m:e>
          </m:d>
        </m:oMath>
      </m:oMathPara>
      <w:bookmarkEnd w:id="145"/>
    </w:p>
    <w:p>
      <w:pPr>
        <w:pStyle w:val="FirstParagraph"/>
      </w:pPr>
      <w:r>
        <w:t xml:space="preserve">Where:</w:t>
      </w:r>
    </w:p>
    <w:p>
      <w:pPr>
        <w:pStyle w:val="Compact"/>
        <w:numPr>
          <w:ilvl w:val="0"/>
          <w:numId w:val="1016"/>
        </w:numPr>
      </w:pPr>
      <m:oMath>
        <m:r>
          <m:t>ρ</m:t>
        </m:r>
      </m:oMath>
      <w:r>
        <w:t xml:space="preserve"> </w:t>
      </w:r>
      <w:r>
        <w:t xml:space="preserve">is the correlation parameter governing the association between adjacent periods within the same cluster.</w:t>
      </w:r>
    </w:p>
    <w:p>
      <w:pPr>
        <w:pStyle w:val="Compact"/>
        <w:numPr>
          <w:ilvl w:val="0"/>
          <w:numId w:val="1016"/>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6"/>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146"/>
    <w:bookmarkStart w:id="148" w:name="X831bc7e780a434f5c3512e5d33d43284b7d37ce"/>
    <w:p>
      <w:pPr>
        <w:pStyle w:val="Heading4"/>
      </w:pPr>
      <w:r>
        <w:t xml:space="preserve">9.4.0.2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11</w:t>
        </w:r>
      </w:hyperlink>
      <w:r>
        <w:t xml:space="preserve">.</w:t>
      </w:r>
    </w:p>
    <w:p>
      <w:pPr>
        <w:pStyle w:val="BodyText"/>
      </w:pPr>
      <w:bookmarkStart w:id="14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47"/>
    </w:p>
    <w:p>
      <w:pPr>
        <w:pStyle w:val="FirstParagraph"/>
      </w:pPr>
      <w:r>
        <w:t xml:space="preserve">Where:</w:t>
      </w:r>
    </w:p>
    <w:p>
      <w:pPr>
        <w:pStyle w:val="Compact"/>
        <w:numPr>
          <w:ilvl w:val="0"/>
          <w:numId w:val="1017"/>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7"/>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7"/>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48"/>
    <w:bookmarkStart w:id="150" w:name="Xb7b1d3ff7c24f0b8dca2081a41dd1947ef59e07"/>
    <w:p>
      <w:pPr>
        <w:pStyle w:val="Heading4"/>
      </w:pPr>
      <w:r>
        <w:t xml:space="preserve">9.4.0.3 Models with time modelled with a spline function</w:t>
      </w:r>
    </w:p>
    <w:p>
      <w:pPr>
        <w:pStyle w:val="FirstParagraph"/>
      </w:pPr>
      <w:r>
        <w:t xml:space="preserve">We will further explore the potential for a time-varying treatment effect</w:t>
      </w:r>
      <w:r>
        <w:rPr>
          <w:vertAlign w:val="superscript"/>
        </w:rPr>
        <w:t xml:space="preserve">19</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12</w:t>
        </w:r>
      </w:hyperlink>
      <w:r>
        <w:t xml:space="preserve">.</w:t>
      </w:r>
    </w:p>
    <w:p>
      <w:pPr>
        <w:pStyle w:val="BodyText"/>
      </w:pPr>
      <w:bookmarkStart w:id="14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49"/>
    </w:p>
    <w:p>
      <w:pPr>
        <w:pStyle w:val="FirstParagraph"/>
      </w:pPr>
      <w:r>
        <w:t xml:space="preserve">Where:</w:t>
      </w:r>
    </w:p>
    <w:p>
      <w:pPr>
        <w:pStyle w:val="Compact"/>
        <w:numPr>
          <w:ilvl w:val="0"/>
          <w:numId w:val="1018"/>
        </w:numPr>
      </w:pPr>
      <m:oMath>
        <m:r>
          <m:t>t</m:t>
        </m:r>
      </m:oMath>
      <w:r>
        <w:t xml:space="preserve"> </w:t>
      </w:r>
      <w:r>
        <w:t xml:space="preserve">denotes calendar time (period index) common to all batches.</w:t>
      </w:r>
    </w:p>
    <w:p>
      <w:pPr>
        <w:pStyle w:val="Compact"/>
        <w:numPr>
          <w:ilvl w:val="0"/>
          <w:numId w:val="1018"/>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8"/>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50"/>
    <w:bookmarkStart w:id="152" w:name="models-exploring-lag-and-weaning-effects"/>
    <w:p>
      <w:pPr>
        <w:pStyle w:val="Heading4"/>
      </w:pPr>
      <w:r>
        <w:t xml:space="preserve">9.4.0.4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13</w:t>
        </w:r>
      </w:hyperlink>
      <w:r>
        <w:t xml:space="preserve">.</w:t>
      </w:r>
    </w:p>
    <w:p>
      <w:pPr>
        <w:pStyle w:val="BodyText"/>
      </w:pPr>
      <w:bookmarkStart w:id="15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5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52"/>
    <w:bookmarkStart w:id="153" w:name="adjusted-analyses"/>
    <w:p>
      <w:pPr>
        <w:pStyle w:val="Heading3"/>
      </w:pPr>
      <w:r>
        <w:t xml:space="preserve">9.4.1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9"/>
        </w:numPr>
      </w:pPr>
      <w:r>
        <w:t xml:space="preserve">Age (&lt;5%)</w:t>
      </w:r>
    </w:p>
    <w:p>
      <w:pPr>
        <w:pStyle w:val="Compact"/>
        <w:numPr>
          <w:ilvl w:val="0"/>
          <w:numId w:val="1019"/>
        </w:numPr>
      </w:pPr>
      <w:r>
        <w:t xml:space="preserve">Sex (&lt;5%)</w:t>
      </w:r>
    </w:p>
    <w:p>
      <w:pPr>
        <w:pStyle w:val="Compact"/>
        <w:numPr>
          <w:ilvl w:val="0"/>
          <w:numId w:val="1019"/>
        </w:numPr>
      </w:pPr>
      <w:r>
        <w:t xml:space="preserve">Systolic blood pressure (25%)</w:t>
      </w:r>
    </w:p>
    <w:p>
      <w:pPr>
        <w:pStyle w:val="Compact"/>
        <w:numPr>
          <w:ilvl w:val="0"/>
          <w:numId w:val="1019"/>
        </w:numPr>
      </w:pPr>
      <w:r>
        <w:t xml:space="preserve">Glasgow Coma Scale (25%)</w:t>
      </w:r>
    </w:p>
    <w:p>
      <w:pPr>
        <w:pStyle w:val="Compact"/>
        <w:numPr>
          <w:ilvl w:val="0"/>
          <w:numId w:val="1019"/>
        </w:numPr>
      </w:pPr>
      <w:r>
        <w:t xml:space="preserve">Injury Severity Score (10%)</w:t>
      </w:r>
    </w:p>
    <w:p>
      <w:pPr>
        <w:pStyle w:val="Compact"/>
        <w:numPr>
          <w:ilvl w:val="0"/>
          <w:numId w:val="1019"/>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53"/>
    <w:bookmarkEnd w:id="154"/>
    <w:bookmarkStart w:id="155" w:name="subgroup-analyses"/>
    <w:p>
      <w:pPr>
        <w:pStyle w:val="Heading2"/>
      </w:pPr>
      <w:r>
        <w:t xml:space="preserve">9.5 Subgroup analyses</w:t>
      </w:r>
    </w:p>
    <w:p>
      <w:pPr>
        <w:pStyle w:val="FirstParagraph"/>
      </w:pPr>
      <w:r>
        <w:t xml:space="preserve">We will perform the following subgroup analyses of the primary outcome:</w:t>
      </w:r>
    </w:p>
    <w:p>
      <w:pPr>
        <w:pStyle w:val="Compact"/>
        <w:numPr>
          <w:ilvl w:val="0"/>
          <w:numId w:val="1020"/>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20"/>
        </w:numPr>
      </w:pPr>
      <w:r>
        <w:t xml:space="preserve">age groups, defined as older adolescents (15-19 years), young adults (20-24 years), adults (25-59 years), and older adults (60 years and older)</w:t>
      </w:r>
      <w:r>
        <w:rPr>
          <w:vertAlign w:val="superscript"/>
        </w:rPr>
        <w:t xml:space="preserve">20</w:t>
      </w:r>
      <w:r>
        <w:t xml:space="preserve">;</w:t>
      </w:r>
    </w:p>
    <w:p>
      <w:pPr>
        <w:pStyle w:val="Compact"/>
        <w:numPr>
          <w:ilvl w:val="0"/>
          <w:numId w:val="1020"/>
        </w:numPr>
      </w:pPr>
      <w:r>
        <w:t xml:space="preserve">sex, using the levels male and female;</w:t>
      </w:r>
    </w:p>
    <w:p>
      <w:pPr>
        <w:pStyle w:val="Compact"/>
        <w:numPr>
          <w:ilvl w:val="0"/>
          <w:numId w:val="1020"/>
        </w:numPr>
      </w:pPr>
      <w:r>
        <w:t xml:space="preserve">clinical cohorts, defined as blunt multisystem trauma, penetrating trauma, and severe isolated traumatic brain injury, with modification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0"/>
        </w:numPr>
      </w:pPr>
      <w:r>
        <w:t xml:space="preserve">patients with major trauma, defined as patients with an injury severity score (ISS) of 16 or higher versus those with ISS below 16;</w:t>
      </w:r>
    </w:p>
    <w:p>
      <w:pPr>
        <w:pStyle w:val="Compact"/>
        <w:numPr>
          <w:ilvl w:val="0"/>
          <w:numId w:val="1020"/>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 Results will be presented in</w:t>
      </w:r>
      <w:r>
        <w:t xml:space="preserve"> </w:t>
      </w:r>
      <w:hyperlink w:anchor="tbl-additional-analyses-results">
        <w:r>
          <w:rPr>
            <w:rStyle w:val="Hyperlink"/>
          </w:rPr>
          <w:t xml:space="preserve">Table 7</w:t>
        </w:r>
      </w:hyperlink>
      <w:r>
        <w:t xml:space="preserve"> </w:t>
      </w:r>
      <w:r>
        <w:t xml:space="preserve">and as a forest plot of subgroup-specific intervention effects with 95% CIs (see</w:t>
      </w:r>
      <w:r>
        <w:t xml:space="preserve"> </w:t>
      </w:r>
      <w:hyperlink w:anchor="fig-subgroup-forest-plot">
        <w:r>
          <w:rPr>
            <w:rStyle w:val="Hyperlink"/>
          </w:rPr>
          <w:t xml:space="preserve">Figure 7</w:t>
        </w:r>
      </w:hyperlink>
      <w:r>
        <w:t xml:space="preserve">).</w:t>
      </w:r>
    </w:p>
    <w:bookmarkEnd w:id="155"/>
    <w:bookmarkStart w:id="157" w:name="safety-events"/>
    <w:p>
      <w:pPr>
        <w:pStyle w:val="Heading2"/>
      </w:pPr>
      <w:r>
        <w:t xml:space="preserve">9.6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5</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156" w:name="tbl-safety-events"/>
          <w:p>
            <w:pPr>
              <w:jc w:val="center"/>
            </w:pPr>
            <w:pPr>
              <w:jc w:val="left"/>
              <w:spacing w:before="200"/>
              <w:pStyle w:val="ImageCaption"/>
            </w:pPr>
            <w:r>
              <w:t xml:space="preserve">Table 5: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56"/>
        </w:tc>
      </w:tr>
    </w:tbl>
    <w:bookmarkEnd w:id="157"/>
    <w:bookmarkStart w:id="158" w:name="statistical-software"/>
    <w:p>
      <w:pPr>
        <w:pStyle w:val="Heading2"/>
      </w:pPr>
      <w:r>
        <w:t xml:space="preserve">9.7 Statistical software</w:t>
      </w:r>
    </w:p>
    <w:p>
      <w:pPr>
        <w:pStyle w:val="FirstParagraph"/>
      </w:pPr>
      <w:r>
        <w:t xml:space="preserve">We will use the R Statistical Software for all analyses</w:t>
      </w:r>
      <w:r>
        <w:rPr>
          <w:vertAlign w:val="superscript"/>
        </w:rPr>
        <w:t xml:space="preserve">22</w:t>
      </w:r>
      <w:r>
        <w:t xml:space="preserve">. Specific packages for mixed-effects modelling, small-sample corrections, multiple imputation, and reporting tables will be selected closer to the time of analysis based on convergence behaviour and available methodology, and will be documented in the analysis code and final report.</w:t>
      </w:r>
    </w:p>
    <w:bookmarkEnd w:id="158"/>
    <w:bookmarkStart w:id="165" w:name="presentation-of-analysis-results"/>
    <w:p>
      <w:pPr>
        <w:pStyle w:val="Heading2"/>
      </w:pPr>
      <w:r>
        <w:t xml:space="preserve">9.8 Presentation of analysis results</w:t>
      </w:r>
    </w:p>
    <w:p>
      <w:pPr>
        <w:pStyle w:val="FirstParagraph"/>
      </w:pPr>
      <w:r>
        <w:t xml:space="preserve">Intervention-effect estimates for the primary and secondary outcomes will be reported with 95% CIs and p-values, using the effect measures specified for each outcome. We will present key outcome analyses in the results section, and present all outcome analyses as supplementary tables. See</w:t>
      </w:r>
      <w:r>
        <w:t xml:space="preserve"> </w:t>
      </w:r>
      <w:hyperlink w:anchor="tbl-outcomes-analysis-results">
        <w:r>
          <w:rPr>
            <w:rStyle w:val="Hyperlink"/>
          </w:rPr>
          <w:t xml:space="preserve">Table 6</w:t>
        </w:r>
      </w:hyperlink>
      <w:r>
        <w:t xml:space="preserve"> </w:t>
      </w:r>
      <w:r>
        <w:t xml:space="preserve">for key analyses and</w:t>
      </w:r>
      <w:r>
        <w:t xml:space="preserve"> </w:t>
      </w:r>
      <w:hyperlink w:anchor="tbl-outcomes-analysis-results-all">
        <w:r>
          <w:rPr>
            <w:rStyle w:val="Hyperlink"/>
          </w:rPr>
          <w:t xml:space="preserve">Table 10</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59" w:name="tbl-outcomes-analysis-results"/>
          <w:p>
            <w:pPr>
              <w:jc w:val="center"/>
            </w:pPr>
            <w:pPr>
              <w:jc w:val="left"/>
              <w:spacing w:before="200"/>
              <w:pStyle w:val="ImageCaption"/>
            </w:pPr>
            <w:r>
              <w:t xml:space="preserve">Table 6: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59"/>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7</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additional-analyses-results"/>
          <w:p>
            <w:pPr>
              <w:jc w:val="center"/>
            </w:pPr>
            <w:pPr>
              <w:jc w:val="left"/>
              <w:spacing w:before="200"/>
              <w:pStyle w:val="ImageCaption"/>
            </w:pPr>
            <w:r>
              <w:t xml:space="preserve">Table 7: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subgroup-forest-plot"/>
          <w:p>
            <w:pPr>
              <w:pStyle w:val="Compact"/>
              <w:jc w:val="center"/>
            </w:pPr>
            <w:r>
              <w:drawing>
                <wp:inline>
                  <wp:extent cx="5334000" cy="4459275"/>
                  <wp:effectExtent b="0" l="0" r="0" t="0"/>
                  <wp:docPr descr="" title="" id="162" name="Picture"/>
                  <a:graphic>
                    <a:graphicData uri="http://schemas.openxmlformats.org/drawingml/2006/picture">
                      <pic:pic>
                        <pic:nvPicPr>
                          <pic:cNvPr descr="subgroup-forest-plot.png" id="163" name="Picture"/>
                          <pic:cNvPicPr>
                            <a:picLocks noChangeArrowheads="1" noChangeAspect="1"/>
                          </pic:cNvPicPr>
                        </pic:nvPicPr>
                        <pic:blipFill>
                          <a:blip r:embed="rId161"/>
                          <a:stretch>
                            <a:fillRect/>
                          </a:stretch>
                        </pic:blipFill>
                        <pic:spPr bwMode="auto">
                          <a:xfrm>
                            <a:off x="0" y="0"/>
                            <a:ext cx="5334000" cy="4459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subgroup-specific intervention effects on in-hospital mortality within 30 days. Estimates and confidence intervals are placeholders to be completed at analysis.</w:t>
            </w:r>
          </w:p>
          <w:bookmarkEnd w:id="164"/>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11</w:t>
        </w:r>
      </w:hyperlink>
      <w:r>
        <w:t xml:space="preserve">.</w:t>
      </w:r>
    </w:p>
    <w:bookmarkEnd w:id="165"/>
    <w:bookmarkEnd w:id="166"/>
    <w:bookmarkStart w:id="171" w:name="supplementary-tables"/>
    <w:p>
      <w:pPr>
        <w:pStyle w:val="Heading1"/>
      </w:pPr>
      <w:r>
        <w:t xml:space="preserve">10. Supplementary tables</w:t>
      </w:r>
    </w:p>
    <w:tbl>
      <w:tblPr>
        <w:tblStyle w:val="Table"/>
        <w:tblW w:type="pct" w:w="5000"/>
        <w:tblLayout w:type="fixed"/>
        <w:tblLook w:firstRow="0" w:lastRow="0" w:firstColumn="0" w:lastColumn="0" w:noHBand="0" w:noVBand="0" w:val="0000"/>
      </w:tblPr>
      <w:tblGrid>
        <w:gridCol w:w="7920"/>
      </w:tblGrid>
      <w:tr>
        <w:tc>
          <w:tcPr/>
          <w:bookmarkStart w:id="167" w:name="tbl-patient-characteristics-all"/>
          <w:p>
            <w:pPr>
              <w:jc w:val="center"/>
            </w:pPr>
            <w:pPr>
              <w:jc w:val="left"/>
              <w:spacing w:before="200"/>
              <w:pStyle w:val="ImageCaption"/>
            </w:pPr>
            <w:r>
              <w:t xml:space="preserve">Table 8: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tbl-outcomes-descriptive-all"/>
          <w:p>
            <w:pPr>
              <w:jc w:val="center"/>
            </w:pPr>
            <w:pPr>
              <w:jc w:val="left"/>
              <w:spacing w:before="200"/>
              <w:pStyle w:val="ImageCaption"/>
            </w:pPr>
            <w:r>
              <w:t xml:space="preserve">Table 9: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outcomes-analysis-results-all"/>
          <w:p>
            <w:pPr>
              <w:jc w:val="center"/>
            </w:pPr>
            <w:pPr>
              <w:jc w:val="left"/>
              <w:spacing w:before="200"/>
              <w:pStyle w:val="ImageCaption"/>
            </w:pPr>
            <w:r>
              <w:t xml:space="preserve">Table 10: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correlation-parameters"/>
          <w:p>
            <w:pPr>
              <w:jc w:val="center"/>
            </w:pPr>
            <w:pPr>
              <w:jc w:val="left"/>
              <w:spacing w:before="200"/>
              <w:pStyle w:val="ImageCaption"/>
            </w:pPr>
            <w:r>
              <w:t xml:space="preserve">Table 11: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0"/>
        </w:tc>
      </w:tr>
    </w:tbl>
    <w:bookmarkEnd w:id="171"/>
    <w:bookmarkStart w:id="195" w:name="references"/>
    <w:p>
      <w:pPr>
        <w:pStyle w:val="Heading1"/>
      </w:pPr>
      <w:r>
        <w:t xml:space="preserve">11. References</w:t>
      </w:r>
    </w:p>
    <w:bookmarkStart w:id="194" w:name="refs"/>
    <w:bookmarkStart w:id="172"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72"/>
    <w:bookmarkStart w:id="173"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73"/>
    <w:bookmarkStart w:id="174"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74"/>
    <w:bookmarkStart w:id="175"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75"/>
    <w:bookmarkStart w:id="176"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76"/>
    <w:bookmarkStart w:id="177"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77"/>
    <w:bookmarkStart w:id="178"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78"/>
    <w:bookmarkStart w:id="179"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79"/>
    <w:bookmarkStart w:id="180"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80"/>
    <w:bookmarkStart w:id="181"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81"/>
    <w:bookmarkStart w:id="182"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82"/>
    <w:bookmarkStart w:id="183"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83"/>
    <w:bookmarkStart w:id="184"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84"/>
    <w:bookmarkStart w:id="185"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185"/>
    <w:bookmarkStart w:id="186"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86"/>
    <w:bookmarkStart w:id="187"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87"/>
    <w:bookmarkStart w:id="188"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88"/>
    <w:bookmarkStart w:id="189"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89"/>
    <w:bookmarkStart w:id="190"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90"/>
    <w:bookmarkStart w:id="191"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91"/>
    <w:bookmarkStart w:id="192"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92"/>
    <w:bookmarkStart w:id="193"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3">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23" Target="media/rId23.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61" Target="media/rId16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2026-08-10T19:29:52Z</dcterms:created>
  <dcterms:modified xsi:type="dcterms:W3CDTF">2026-08-10T19:29:52Z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0.7.0, 2026-08-04</vt:lpwstr>
  </property>
  <property fmtid="{D5CDD505-2E9C-101B-9397-08002B2CF9AE}" pid="15" name="titlepage-theme">
    <vt:lpwstr/>
  </property>
  <property fmtid="{D5CDD505-2E9C-101B-9397-08002B2CF9AE}" pid="16" name="toc-title">
    <vt:lpwstr>Table of contents</vt:lpwstr>
  </property>
</Properties>
</file>