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correlations will also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1"/>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1"/>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1"/>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4"/>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4"/>
        </w:numPr>
      </w:pPr>
      <w:r>
        <w:t xml:space="preserve">patients with major trauma, defined as patients with an injury severity score (ISS) of 16 or higher versus those with ISS below 16;</w:t>
      </w:r>
    </w:p>
    <w:p>
      <w:pPr>
        <w:pStyle w:val="Compact"/>
        <w:numPr>
          <w:ilvl w:val="0"/>
          <w:numId w:val="1014"/>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4"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3"/>
        </w:tc>
      </w:tr>
    </w:tbl>
    <w:bookmarkEnd w:id="124"/>
    <w:bookmarkEnd w:id="125"/>
    <w:bookmarkStart w:id="129"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6"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8"/>
        </w:tc>
      </w:tr>
    </w:tbl>
    <w:bookmarkEnd w:id="129"/>
    <w:bookmarkStart w:id="151" w:name="references"/>
    <w:p>
      <w:pPr>
        <w:pStyle w:val="Heading1"/>
      </w:pPr>
      <w:r>
        <w:t xml:space="preserve">7. References</w:t>
      </w:r>
    </w:p>
    <w:bookmarkStart w:id="150" w:name="refs"/>
    <w:bookmarkStart w:id="130"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0"/>
    <w:bookmarkStart w:id="131"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1"/>
    <w:bookmarkStart w:id="132"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2"/>
    <w:bookmarkStart w:id="133"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3"/>
    <w:bookmarkStart w:id="134"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4"/>
    <w:bookmarkStart w:id="135"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5"/>
    <w:bookmarkStart w:id="136"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6"/>
    <w:bookmarkStart w:id="137"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7"/>
    <w:bookmarkStart w:id="138"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8"/>
    <w:bookmarkStart w:id="139"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9"/>
    <w:bookmarkStart w:id="140"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0"/>
    <w:bookmarkStart w:id="141"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1"/>
    <w:bookmarkStart w:id="142"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2"/>
    <w:bookmarkStart w:id="143"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3"/>
    <w:bookmarkStart w:id="144"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4"/>
    <w:bookmarkStart w:id="145"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5"/>
    <w:bookmarkStart w:id="146"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6"/>
    <w:bookmarkStart w:id="147"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7"/>
    <w:bookmarkStart w:id="148"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8"/>
    <w:bookmarkStart w:id="149"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2026-07-29T20:04:11Z</dcterms:created>
  <dcterms:modified xsi:type="dcterms:W3CDTF">2026-07-29T20:04:11Z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