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A0BD1" w14:textId="77777777" w:rsidR="00EF34C7" w:rsidRPr="00EF34C7" w:rsidRDefault="00EF34C7" w:rsidP="00EF34C7">
      <w:pPr>
        <w:widowControl w:val="0"/>
        <w:pBdr>
          <w:top w:val="nil"/>
          <w:left w:val="nil"/>
          <w:bottom w:val="nil"/>
          <w:right w:val="nil"/>
          <w:between w:val="nil"/>
          <w:bar w:val="nil"/>
        </w:pBdr>
        <w:spacing w:before="120" w:after="120" w:line="360" w:lineRule="auto"/>
        <w:jc w:val="both"/>
        <w:rPr>
          <w:rFonts w:ascii="Times New Roman" w:eastAsia="Arial Unicode MS" w:hAnsi="Times New Roman" w:cs="Times New Roman"/>
          <w:b/>
          <w:bCs/>
          <w:color w:val="000000"/>
          <w:kern w:val="0"/>
          <w:sz w:val="28"/>
          <w:szCs w:val="28"/>
          <w:u w:color="000000"/>
          <w:bdr w:val="nil"/>
          <w:lang w:val="en-US" w:eastAsia="en-GB"/>
          <w14:ligatures w14:val="none"/>
        </w:rPr>
      </w:pPr>
      <w:r w:rsidRPr="00EF34C7">
        <w:rPr>
          <w:rFonts w:ascii="Times New Roman" w:eastAsia="Arial Unicode MS" w:hAnsi="Times New Roman" w:cs="Times New Roman"/>
          <w:b/>
          <w:bCs/>
          <w:color w:val="000000"/>
          <w:kern w:val="0"/>
          <w:sz w:val="28"/>
          <w:szCs w:val="28"/>
          <w:u w:color="000000"/>
          <w:bdr w:val="nil"/>
          <w:lang w:val="en-US" w:eastAsia="en-GB"/>
          <w14:ligatures w14:val="none"/>
        </w:rPr>
        <w:t>Title</w:t>
      </w:r>
    </w:p>
    <w:p w14:paraId="14A4490A"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Effects of Advanced Trauma Life Support® Training Compared with Standard Care on Adult Trauma Patient Outcomes (ADVANCE TRAUMA): Study Protocol for a Stepped-Wedge Cluster Randomised Trial</w:t>
      </w:r>
    </w:p>
    <w:p w14:paraId="7D92BEB3" w14:textId="77777777" w:rsidR="00EF34C7" w:rsidRPr="00EF34C7" w:rsidRDefault="00EF34C7" w:rsidP="00EF34C7">
      <w:pPr>
        <w:widowControl w:val="0"/>
        <w:pBdr>
          <w:top w:val="nil"/>
          <w:left w:val="nil"/>
          <w:bottom w:val="nil"/>
          <w:right w:val="nil"/>
          <w:between w:val="nil"/>
          <w:bar w:val="nil"/>
        </w:pBdr>
        <w:spacing w:before="200" w:after="80"/>
        <w:outlineLvl w:val="0"/>
        <w:rPr>
          <w:rFonts w:ascii="Times New Roman" w:eastAsia="Arial Unicode MS" w:hAnsi="Times New Roman" w:cs="Times New Roman"/>
          <w:b/>
          <w:bCs/>
          <w:color w:val="000000"/>
          <w:kern w:val="0"/>
          <w:sz w:val="28"/>
          <w:szCs w:val="28"/>
          <w:u w:color="000000"/>
          <w:bdr w:val="nil"/>
          <w:lang w:val="en-US" w:eastAsia="en-GB"/>
          <w14:ligatures w14:val="none"/>
        </w:rPr>
      </w:pPr>
      <w:r w:rsidRPr="00EF34C7">
        <w:rPr>
          <w:rFonts w:ascii="Times New Roman" w:eastAsia="Arial Unicode MS" w:hAnsi="Times New Roman" w:cs="Times New Roman"/>
          <w:b/>
          <w:bCs/>
          <w:color w:val="000000"/>
          <w:kern w:val="0"/>
          <w:sz w:val="28"/>
          <w:szCs w:val="28"/>
          <w:u w:color="000000"/>
          <w:bdr w:val="nil"/>
          <w:lang w:val="en-US" w:eastAsia="en-GB"/>
          <w14:ligatures w14:val="none"/>
        </w:rPr>
        <w:t>Names protocol contributors</w:t>
      </w:r>
    </w:p>
    <w:p w14:paraId="01AAD078" w14:textId="77777777" w:rsidR="00EF34C7" w:rsidRPr="00EF34C7" w:rsidRDefault="00EF34C7" w:rsidP="00EF34C7">
      <w:pPr>
        <w:spacing w:before="320"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Samriddhi Ranjan (SR)</w:t>
      </w:r>
    </w:p>
    <w:p w14:paraId="110C2D3D"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The George Institute for Global Health, New Delhi, India</w:t>
      </w:r>
    </w:p>
    <w:p w14:paraId="1B3045FF" w14:textId="77777777" w:rsidR="00EF34C7" w:rsidRPr="00EF34C7" w:rsidRDefault="00EF34C7" w:rsidP="00EF34C7">
      <w:pPr>
        <w:spacing w:before="320" w:after="120"/>
        <w:rPr>
          <w:rFonts w:ascii="Times New Roman" w:eastAsia="Times New Roman" w:hAnsi="Times New Roman" w:cs="Times New Roman"/>
          <w:kern w:val="0"/>
          <w:u w:color="004C7F"/>
          <w:lang w:val="en-GB" w:eastAsia="en-GB"/>
          <w14:ligatures w14:val="none"/>
        </w:rPr>
      </w:pPr>
      <w:r w:rsidRPr="00EF34C7">
        <w:rPr>
          <w:rFonts w:ascii="Times New Roman" w:eastAsia="Times New Roman" w:hAnsi="Times New Roman" w:cs="Times New Roman"/>
          <w:kern w:val="0"/>
          <w:u w:color="004C7F"/>
          <w:lang w:val="en-GB" w:eastAsia="en-GB"/>
          <w14:ligatures w14:val="none"/>
        </w:rPr>
        <w:t xml:space="preserve">Sara </w:t>
      </w:r>
      <w:proofErr w:type="spellStart"/>
      <w:r w:rsidRPr="00EF34C7">
        <w:rPr>
          <w:rFonts w:ascii="Times New Roman" w:eastAsia="Times New Roman" w:hAnsi="Times New Roman" w:cs="Times New Roman"/>
          <w:kern w:val="0"/>
          <w:u w:color="004C7F"/>
          <w:lang w:val="en-GB" w:eastAsia="en-GB"/>
          <w14:ligatures w14:val="none"/>
        </w:rPr>
        <w:t>Fälth</w:t>
      </w:r>
      <w:proofErr w:type="spellEnd"/>
      <w:r w:rsidRPr="00EF34C7">
        <w:rPr>
          <w:rFonts w:ascii="Times New Roman" w:eastAsia="Times New Roman" w:hAnsi="Times New Roman" w:cs="Times New Roman"/>
          <w:kern w:val="0"/>
          <w:u w:color="004C7F"/>
          <w:lang w:val="en-GB" w:eastAsia="en-GB"/>
          <w14:ligatures w14:val="none"/>
        </w:rPr>
        <w:t xml:space="preserve"> (SF)</w:t>
      </w:r>
    </w:p>
    <w:p w14:paraId="25FA0109" w14:textId="77777777" w:rsidR="00EF34C7" w:rsidRPr="00EF34C7" w:rsidRDefault="00EF34C7" w:rsidP="00EF34C7">
      <w:pPr>
        <w:spacing w:after="120"/>
        <w:rPr>
          <w:rFonts w:ascii="Times New Roman" w:eastAsia="Times New Roman" w:hAnsi="Times New Roman" w:cs="Times New Roman"/>
          <w:kern w:val="0"/>
          <w:u w:color="004C7F"/>
          <w:lang w:val="en-IN" w:eastAsia="en-GB"/>
          <w14:ligatures w14:val="none"/>
        </w:rPr>
      </w:pPr>
      <w:r w:rsidRPr="00EF34C7">
        <w:rPr>
          <w:rFonts w:ascii="Times New Roman" w:eastAsia="Times New Roman" w:hAnsi="Times New Roman" w:cs="Times New Roman"/>
          <w:kern w:val="0"/>
          <w:u w:color="004C7F"/>
          <w:lang w:eastAsia="en-GB"/>
          <w14:ligatures w14:val="none"/>
        </w:rPr>
        <w:t xml:space="preserve">Department of Global Public Health, </w:t>
      </w:r>
      <w:r w:rsidRPr="00EF34C7">
        <w:rPr>
          <w:rFonts w:ascii="Times New Roman" w:eastAsia="Times New Roman" w:hAnsi="Times New Roman" w:cs="Times New Roman"/>
          <w:kern w:val="0"/>
          <w:u w:color="004C7F"/>
          <w:lang w:val="en-GB" w:eastAsia="en-GB"/>
          <w14:ligatures w14:val="none"/>
        </w:rPr>
        <w:t xml:space="preserve">Karolinska </w:t>
      </w:r>
      <w:proofErr w:type="spellStart"/>
      <w:r w:rsidRPr="00EF34C7">
        <w:rPr>
          <w:rFonts w:ascii="Times New Roman" w:eastAsia="Times New Roman" w:hAnsi="Times New Roman" w:cs="Times New Roman"/>
          <w:kern w:val="0"/>
          <w:u w:color="004C7F"/>
          <w:lang w:val="en-GB" w:eastAsia="en-GB"/>
          <w14:ligatures w14:val="none"/>
        </w:rPr>
        <w:t>Institutet</w:t>
      </w:r>
      <w:proofErr w:type="spellEnd"/>
      <w:r w:rsidRPr="00EF34C7">
        <w:rPr>
          <w:rFonts w:ascii="Times New Roman" w:eastAsia="Times New Roman" w:hAnsi="Times New Roman" w:cs="Times New Roman"/>
          <w:kern w:val="0"/>
          <w:u w:color="004C7F"/>
          <w:lang w:val="en-GB" w:eastAsia="en-GB"/>
          <w14:ligatures w14:val="none"/>
        </w:rPr>
        <w:t>, Stockholm, Sweden</w:t>
      </w:r>
    </w:p>
    <w:p w14:paraId="03066EFF" w14:textId="77777777" w:rsidR="00EF34C7" w:rsidRPr="00EF34C7" w:rsidRDefault="00EF34C7" w:rsidP="00EF34C7">
      <w:pPr>
        <w:spacing w:before="320" w:after="120"/>
        <w:rPr>
          <w:rFonts w:ascii="Times New Roman" w:eastAsia="Times New Roman" w:hAnsi="Times New Roman" w:cs="Times New Roman"/>
          <w:kern w:val="0"/>
          <w:u w:color="004C7F"/>
          <w:lang w:val="en-GB" w:eastAsia="en-GB"/>
          <w14:ligatures w14:val="none"/>
        </w:rPr>
      </w:pPr>
      <w:r w:rsidRPr="00EF34C7">
        <w:rPr>
          <w:rFonts w:ascii="Times New Roman" w:eastAsia="Times New Roman" w:hAnsi="Times New Roman" w:cs="Times New Roman"/>
          <w:kern w:val="0"/>
          <w:u w:color="004C7F"/>
          <w:lang w:val="en-GB" w:eastAsia="en-GB"/>
          <w14:ligatures w14:val="none"/>
        </w:rPr>
        <w:t>Prashant Kharat (PK)</w:t>
      </w:r>
    </w:p>
    <w:p w14:paraId="28DCCD02" w14:textId="77777777" w:rsidR="00EF34C7" w:rsidRPr="00EF34C7" w:rsidRDefault="00EF34C7" w:rsidP="00EF34C7">
      <w:pPr>
        <w:spacing w:after="120"/>
        <w:rPr>
          <w:rFonts w:ascii="Times New Roman" w:eastAsia="Times New Roman" w:hAnsi="Times New Roman" w:cs="Times New Roman"/>
          <w:kern w:val="0"/>
          <w:u w:color="004C7F"/>
          <w:lang w:val="en-IN" w:eastAsia="en-GB"/>
          <w14:ligatures w14:val="none"/>
        </w:rPr>
      </w:pPr>
      <w:r w:rsidRPr="00EF34C7">
        <w:rPr>
          <w:rFonts w:ascii="Times New Roman" w:eastAsia="Times New Roman" w:hAnsi="Times New Roman" w:cs="Times New Roman"/>
          <w:kern w:val="0"/>
          <w:u w:color="004C7F"/>
          <w:lang w:eastAsia="en-GB"/>
          <w14:ligatures w14:val="none"/>
        </w:rPr>
        <w:t>The George Institute for Global Health, New Delhi, India</w:t>
      </w:r>
    </w:p>
    <w:p w14:paraId="39B18B30" w14:textId="77777777" w:rsidR="00EF34C7" w:rsidRPr="00EF34C7" w:rsidRDefault="00EF34C7" w:rsidP="00EF34C7">
      <w:pPr>
        <w:spacing w:before="320"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Abhinav Bassi (AB)</w:t>
      </w:r>
    </w:p>
    <w:p w14:paraId="6B358986"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The George Institute for Global Health, New Delhi, India</w:t>
      </w:r>
    </w:p>
    <w:p w14:paraId="7FE9D8C1" w14:textId="77777777" w:rsidR="00EF34C7" w:rsidRPr="00EF34C7" w:rsidRDefault="00EF34C7" w:rsidP="00EF34C7">
      <w:pPr>
        <w:spacing w:before="320"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G D Bakhshi (GB)</w:t>
      </w:r>
    </w:p>
    <w:p w14:paraId="492D66B7"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Department of General Surgery, Grant Medical College and Sir Jamshedjee Jeejeebhoy Group of Hospitals, Mumbai, India</w:t>
      </w:r>
    </w:p>
    <w:p w14:paraId="6DCA4508" w14:textId="77777777" w:rsidR="00EF34C7" w:rsidRPr="00EF34C7" w:rsidRDefault="00EF34C7" w:rsidP="00EF34C7">
      <w:pPr>
        <w:spacing w:before="320"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Debojit Basak (DB)</w:t>
      </w:r>
    </w:p>
    <w:p w14:paraId="03C739D9"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Institute of Post Graduate Medical Education and Research, Kolkata, India</w:t>
      </w:r>
    </w:p>
    <w:p w14:paraId="0D02E991" w14:textId="77777777" w:rsidR="00EF34C7" w:rsidRPr="00EF34C7" w:rsidRDefault="00EF34C7" w:rsidP="00EF34C7">
      <w:pPr>
        <w:spacing w:before="320"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Johanna Berg (JB)</w:t>
      </w:r>
    </w:p>
    <w:p w14:paraId="43C707D6" w14:textId="77777777" w:rsidR="00EF34C7" w:rsidRPr="00EF34C7" w:rsidRDefault="00EF34C7" w:rsidP="00EF34C7">
      <w:pPr>
        <w:numPr>
          <w:ilvl w:val="0"/>
          <w:numId w:val="6"/>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Department of Global Public Health, Karolinska Institutet, Stockholm, Sweden</w:t>
      </w:r>
    </w:p>
    <w:p w14:paraId="4584845E" w14:textId="77777777" w:rsidR="00EF34C7" w:rsidRPr="00EF34C7" w:rsidRDefault="00EF34C7" w:rsidP="00EF34C7">
      <w:pPr>
        <w:numPr>
          <w:ilvl w:val="0"/>
          <w:numId w:val="6"/>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Emergency Medicine, Department of Internal and Emergency Medicine, Skåne University Hospital, Malmö, Sweden</w:t>
      </w:r>
    </w:p>
    <w:p w14:paraId="07D6EC02" w14:textId="77777777" w:rsidR="00EF34C7" w:rsidRPr="00EF34C7" w:rsidRDefault="00EF34C7" w:rsidP="00EF34C7">
      <w:pPr>
        <w:spacing w:before="320"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Shamita Chatterjee (SC)</w:t>
      </w:r>
    </w:p>
    <w:p w14:paraId="5B28C4BE"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Department of General Surgery, Institute of Post Graduate Medical Education and Research, Kolkata, India</w:t>
      </w:r>
    </w:p>
    <w:p w14:paraId="461099D2" w14:textId="77777777" w:rsidR="00EF34C7" w:rsidRPr="00EF34C7" w:rsidRDefault="00EF34C7" w:rsidP="00EF34C7">
      <w:pPr>
        <w:spacing w:before="320"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Li Felländer-Tsai (LFT)</w:t>
      </w:r>
    </w:p>
    <w:p w14:paraId="05E9DD3E" w14:textId="77777777" w:rsidR="00EF34C7" w:rsidRPr="00EF34C7" w:rsidRDefault="00EF34C7" w:rsidP="00EF34C7">
      <w:pPr>
        <w:numPr>
          <w:ilvl w:val="0"/>
          <w:numId w:val="5"/>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Department of Clinical Science, Intervention and Technology, Karolinska Institutet, Stockholm, Sweden</w:t>
      </w:r>
    </w:p>
    <w:p w14:paraId="77D93FBA" w14:textId="77777777" w:rsidR="00EF34C7" w:rsidRPr="00EF34C7" w:rsidRDefault="00EF34C7" w:rsidP="00EF34C7">
      <w:pPr>
        <w:numPr>
          <w:ilvl w:val="0"/>
          <w:numId w:val="5"/>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Department of Reconstructive Orthopedics, Karolinska University Hospital, Stockholm, Sweden</w:t>
      </w:r>
    </w:p>
    <w:p w14:paraId="646EC937" w14:textId="77777777" w:rsidR="00EF34C7" w:rsidRPr="00EF34C7" w:rsidRDefault="00EF34C7" w:rsidP="00EF34C7">
      <w:pPr>
        <w:spacing w:before="320"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Karla Hemming (KH)</w:t>
      </w:r>
    </w:p>
    <w:p w14:paraId="092A2C8F"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Institute of Applied Health Research, University of Birmingham, Birmingham, UK</w:t>
      </w:r>
    </w:p>
    <w:p w14:paraId="31FC1ACE" w14:textId="77777777" w:rsidR="00EF34C7" w:rsidRPr="00EF34C7" w:rsidRDefault="00EF34C7" w:rsidP="00EF34C7">
      <w:pPr>
        <w:spacing w:before="320"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lastRenderedPageBreak/>
        <w:t>Vivekanand Jha (VJ)</w:t>
      </w:r>
    </w:p>
    <w:p w14:paraId="2F9D14CC"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The George Institute for Global Health, New Delhi, India</w:t>
      </w:r>
    </w:p>
    <w:p w14:paraId="3833A649" w14:textId="77777777" w:rsidR="00EF34C7" w:rsidRPr="00EF34C7" w:rsidRDefault="00EF34C7" w:rsidP="00EF34C7">
      <w:pPr>
        <w:spacing w:before="320"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Jessica Kasza (JK)</w:t>
      </w:r>
    </w:p>
    <w:p w14:paraId="307EFFA2"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School of Public Health and Preventive Medicine, Monash University, Melbourne, Australia</w:t>
      </w:r>
    </w:p>
    <w:p w14:paraId="1321BDC6" w14:textId="77777777" w:rsidR="00EF34C7" w:rsidRPr="00EF34C7" w:rsidRDefault="00EF34C7" w:rsidP="00EF34C7">
      <w:pPr>
        <w:spacing w:before="320"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Monty Khajanchi (MK)</w:t>
      </w:r>
    </w:p>
    <w:p w14:paraId="107A1931"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Seth G. S. Medical College and K.E.M. Hospital, Mumbai, India</w:t>
      </w:r>
    </w:p>
    <w:p w14:paraId="3725327C" w14:textId="77777777" w:rsidR="00EF34C7" w:rsidRPr="00EF34C7" w:rsidRDefault="00EF34C7" w:rsidP="00EF34C7">
      <w:pPr>
        <w:spacing w:before="320"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James Martin (JM)</w:t>
      </w:r>
    </w:p>
    <w:p w14:paraId="290E960A"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Institute of Applied Health Research, University of Birmingham, Birmingham, UK</w:t>
      </w:r>
    </w:p>
    <w:p w14:paraId="2F9ED30D" w14:textId="77777777" w:rsidR="00EF34C7" w:rsidRPr="00EF34C7" w:rsidRDefault="00EF34C7" w:rsidP="00EF34C7">
      <w:pPr>
        <w:spacing w:before="320"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Anurag Mishra (AM)</w:t>
      </w:r>
    </w:p>
    <w:p w14:paraId="7B137641"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Department of General Surgery, Maulana Azad Medical College, New Delhi, India</w:t>
      </w:r>
    </w:p>
    <w:p w14:paraId="34ACA854" w14:textId="77777777" w:rsidR="00EF34C7" w:rsidRPr="00EF34C7" w:rsidRDefault="00EF34C7" w:rsidP="00EF34C7">
      <w:pPr>
        <w:spacing w:before="320"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Anna Olofsson (AO)</w:t>
      </w:r>
    </w:p>
    <w:p w14:paraId="5EC27D00"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Institute of Environmental Medicine, Karolinska Institutet, Stockholm, Sweden</w:t>
      </w:r>
    </w:p>
    <w:p w14:paraId="664244B6" w14:textId="77777777" w:rsidR="00EF34C7" w:rsidRPr="00EF34C7" w:rsidRDefault="00EF34C7" w:rsidP="00EF34C7">
      <w:pPr>
        <w:spacing w:before="320"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Nobhojit Roy (NR)</w:t>
      </w:r>
    </w:p>
    <w:p w14:paraId="1752E08C" w14:textId="77777777" w:rsidR="00EF34C7" w:rsidRPr="00EF34C7" w:rsidRDefault="00EF34C7" w:rsidP="00EF34C7">
      <w:pPr>
        <w:numPr>
          <w:ilvl w:val="0"/>
          <w:numId w:val="4"/>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Program for Global Surgery and Trauma, The George Institute for Global Health, New Delhi, India</w:t>
      </w:r>
    </w:p>
    <w:p w14:paraId="617D19F3" w14:textId="77777777" w:rsidR="00EF34C7" w:rsidRPr="00EF34C7" w:rsidRDefault="00EF34C7" w:rsidP="00EF34C7">
      <w:pPr>
        <w:numPr>
          <w:ilvl w:val="0"/>
          <w:numId w:val="4"/>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Department of Global Public Health, Karolinska Institutet, Stockholm, Sweden</w:t>
      </w:r>
    </w:p>
    <w:p w14:paraId="175956DF" w14:textId="77777777" w:rsidR="00EF34C7" w:rsidRPr="00EF34C7" w:rsidRDefault="00EF34C7" w:rsidP="00EF34C7">
      <w:pPr>
        <w:spacing w:before="320"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Rajdeep Singh (RS)</w:t>
      </w:r>
    </w:p>
    <w:p w14:paraId="59666973"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Department of General Surgery, Maulana Azad Medical College, New Delhi, India</w:t>
      </w:r>
    </w:p>
    <w:p w14:paraId="48E842B5" w14:textId="77777777" w:rsidR="00EF34C7" w:rsidRPr="00EF34C7" w:rsidRDefault="00EF34C7" w:rsidP="00EF34C7">
      <w:pPr>
        <w:spacing w:before="320"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Kapil Dev Soni (KDS)</w:t>
      </w:r>
    </w:p>
    <w:p w14:paraId="1154031B"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Critical and Intensive Care, JPN Apex Trauma Center, All India Institute of Medical Sciences, New Delhi, India</w:t>
      </w:r>
    </w:p>
    <w:p w14:paraId="5F07E51E" w14:textId="77777777" w:rsidR="00EF34C7" w:rsidRPr="00EF34C7" w:rsidRDefault="00EF34C7" w:rsidP="00EF34C7">
      <w:pPr>
        <w:spacing w:before="320" w:after="120"/>
        <w:rPr>
          <w:rFonts w:ascii="Times New Roman" w:eastAsia="Times New Roman" w:hAnsi="Times New Roman" w:cs="Times New Roman"/>
          <w:kern w:val="0"/>
          <w:u w:color="004C7F"/>
          <w:lang w:val="en-GB" w:eastAsia="en-GB"/>
          <w14:ligatures w14:val="none"/>
        </w:rPr>
      </w:pPr>
      <w:r w:rsidRPr="00EF34C7">
        <w:rPr>
          <w:rFonts w:ascii="Times New Roman" w:eastAsia="Times New Roman" w:hAnsi="Times New Roman" w:cs="Times New Roman"/>
          <w:kern w:val="0"/>
          <w:u w:color="004C7F"/>
          <w:lang w:val="en-GB" w:eastAsia="en-GB"/>
          <w14:ligatures w14:val="none"/>
        </w:rPr>
        <w:t>Martin Gerdin Wärnberg (MGW)</w:t>
      </w:r>
    </w:p>
    <w:p w14:paraId="4CEDA696" w14:textId="77777777" w:rsidR="00EF34C7" w:rsidRPr="00EF34C7" w:rsidRDefault="00EF34C7" w:rsidP="00EF34C7">
      <w:pPr>
        <w:numPr>
          <w:ilvl w:val="0"/>
          <w:numId w:val="3"/>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Department of Global Public Health, Karolinska Institutet, Stockholm, Sweden</w:t>
      </w:r>
    </w:p>
    <w:p w14:paraId="541C978A" w14:textId="77777777" w:rsidR="00EF34C7" w:rsidRPr="00EF34C7" w:rsidRDefault="00EF34C7" w:rsidP="00EF34C7">
      <w:pPr>
        <w:numPr>
          <w:ilvl w:val="0"/>
          <w:numId w:val="3"/>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Perioperative Medicine and Intensive Care, Karolinska University Hospital, Stockholm, Sweden</w:t>
      </w:r>
    </w:p>
    <w:p w14:paraId="67EE7B2C" w14:textId="77777777" w:rsidR="00EF34C7" w:rsidRPr="00EF34C7" w:rsidRDefault="00EF34C7" w:rsidP="00EF34C7">
      <w:pPr>
        <w:pBdr>
          <w:top w:val="nil"/>
          <w:left w:val="nil"/>
          <w:bottom w:val="nil"/>
          <w:right w:val="nil"/>
          <w:between w:val="nil"/>
          <w:bar w:val="nil"/>
        </w:pBdr>
        <w:rPr>
          <w:rFonts w:ascii="Times New Roman" w:eastAsia="Arial Unicode MS" w:hAnsi="Times New Roman" w:cs="Times New Roman"/>
          <w:b/>
          <w:bCs/>
          <w:color w:val="000000"/>
          <w:kern w:val="0"/>
          <w:sz w:val="28"/>
          <w:szCs w:val="28"/>
          <w:u w:color="000000"/>
          <w:bdr w:val="nil"/>
          <w:lang w:val="en-US" w:eastAsia="en-GB"/>
          <w14:ligatures w14:val="none"/>
        </w:rPr>
      </w:pPr>
      <w:r w:rsidRPr="00EF34C7">
        <w:rPr>
          <w:rFonts w:ascii="Times New Roman" w:eastAsia="Times New Roman" w:hAnsi="Times New Roman" w:cs="Times New Roman"/>
          <w:kern w:val="0"/>
          <w:u w:color="004C7F"/>
          <w:lang w:eastAsia="en-GB"/>
          <w14:ligatures w14:val="none"/>
        </w:rPr>
        <w:br w:type="page"/>
      </w:r>
    </w:p>
    <w:p w14:paraId="42F8325B" w14:textId="77777777" w:rsidR="00EF34C7" w:rsidRPr="00EF34C7" w:rsidRDefault="00EF34C7" w:rsidP="00EF34C7">
      <w:pPr>
        <w:widowControl w:val="0"/>
        <w:pBdr>
          <w:top w:val="nil"/>
          <w:left w:val="nil"/>
          <w:bottom w:val="nil"/>
          <w:right w:val="nil"/>
          <w:between w:val="nil"/>
          <w:bar w:val="nil"/>
        </w:pBdr>
        <w:spacing w:before="200" w:after="80"/>
        <w:outlineLvl w:val="0"/>
        <w:rPr>
          <w:rFonts w:ascii="Times New Roman" w:eastAsia="Arial Unicode MS" w:hAnsi="Times New Roman" w:cs="Times New Roman"/>
          <w:b/>
          <w:bCs/>
          <w:color w:val="000000"/>
          <w:kern w:val="0"/>
          <w:sz w:val="28"/>
          <w:szCs w:val="28"/>
          <w:u w:color="000000"/>
          <w:bdr w:val="nil"/>
          <w:lang w:val="en-US" w:eastAsia="en-GB"/>
          <w14:ligatures w14:val="none"/>
        </w:rPr>
      </w:pPr>
      <w:r w:rsidRPr="00EF34C7">
        <w:rPr>
          <w:rFonts w:ascii="Times New Roman" w:eastAsia="Arial Unicode MS" w:hAnsi="Times New Roman" w:cs="Times New Roman"/>
          <w:b/>
          <w:bCs/>
          <w:color w:val="000000"/>
          <w:kern w:val="0"/>
          <w:sz w:val="28"/>
          <w:szCs w:val="28"/>
          <w:u w:color="000000"/>
          <w:bdr w:val="nil"/>
          <w:lang w:val="en-US" w:eastAsia="en-GB"/>
          <w14:ligatures w14:val="none"/>
        </w:rPr>
        <w:lastRenderedPageBreak/>
        <w:t>Abstract</w:t>
      </w:r>
    </w:p>
    <w:p w14:paraId="46B0B210"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b/>
          <w:bCs/>
          <w:kern w:val="0"/>
          <w:u w:color="004C7F"/>
          <w:lang w:eastAsia="en-GB"/>
          <w14:ligatures w14:val="none"/>
        </w:rPr>
        <w:t>Background</w:t>
      </w:r>
      <w:r w:rsidRPr="00EF34C7">
        <w:rPr>
          <w:rFonts w:ascii="Times New Roman" w:eastAsia="Times New Roman" w:hAnsi="Times New Roman" w:cs="Times New Roman"/>
          <w:kern w:val="0"/>
          <w:u w:color="004C7F"/>
          <w:lang w:eastAsia="en-GB"/>
          <w14:ligatures w14:val="none"/>
        </w:rPr>
        <w:t>: Advanced Trauma Life Support® (ATLS®) is the most widely adopted trauma life support training worldwide, but there is no high-quality evidence that it improves patient outcomes. This trial aims to compare the effects of ATLS® training with standard care on outcomes in adult trauma patients.</w:t>
      </w:r>
    </w:p>
    <w:p w14:paraId="03ABE3F6"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b/>
          <w:bCs/>
          <w:kern w:val="0"/>
          <w:u w:color="004C7F"/>
          <w:lang w:eastAsia="en-GB"/>
          <w14:ligatures w14:val="none"/>
        </w:rPr>
        <w:t>Methods</w:t>
      </w:r>
      <w:r w:rsidRPr="00EF34C7">
        <w:rPr>
          <w:rFonts w:ascii="Times New Roman" w:eastAsia="Times New Roman" w:hAnsi="Times New Roman" w:cs="Times New Roman"/>
          <w:kern w:val="0"/>
          <w:u w:color="004C7F"/>
          <w:lang w:eastAsia="en-GB"/>
          <w14:ligatures w14:val="none"/>
        </w:rPr>
        <w:t xml:space="preserve">: </w:t>
      </w:r>
      <w:r w:rsidRPr="00EF34C7">
        <w:rPr>
          <w:rFonts w:ascii="Times New Roman" w:eastAsia="Times New Roman" w:hAnsi="Times New Roman" w:cs="Times New Roman"/>
          <w:kern w:val="0"/>
          <w:highlight w:val="yellow"/>
          <w:u w:color="004C7F"/>
          <w:lang w:eastAsia="en-GB"/>
          <w14:ligatures w14:val="none"/>
        </w:rPr>
        <w:t>ADVANCE TRAUMA is a batched stepped-wedge cluster randomised controlled trial in India, where ATLS® is not routinely implemented. The trial will be conducted in 30 clusters (hospitals), organised into six batches of five clusters each. All clusters transition through three phases: first, a standard care phase; second, a one-month transition phase, during which the training is delivered; and finally, an intervention phase, for a total of 13 months. Each cluster is randomised to an implementation sequence that defines the duration of standard care and intervention phases. The trial will include at least 4,320 adult trauma patients (≥15 years) who present to emergency departments and are subsequently admitted or transferred for admission. The primary outcome is in-hospital mortality within 30 days of arrival at the emergency department.</w:t>
      </w:r>
      <w:r w:rsidRPr="00EF34C7">
        <w:rPr>
          <w:rFonts w:ascii="Times New Roman" w:eastAsia="Times New Roman" w:hAnsi="Times New Roman" w:cs="Times New Roman"/>
          <w:kern w:val="0"/>
          <w:u w:color="004C7F"/>
          <w:lang w:eastAsia="en-GB"/>
          <w14:ligatures w14:val="none"/>
        </w:rPr>
        <w:t xml:space="preserve">  </w:t>
      </w:r>
    </w:p>
    <w:p w14:paraId="7455072A"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b/>
          <w:bCs/>
          <w:kern w:val="0"/>
          <w:u w:color="004C7F"/>
          <w:lang w:eastAsia="en-GB"/>
          <w14:ligatures w14:val="none"/>
        </w:rPr>
        <w:t>Discussion</w:t>
      </w:r>
      <w:r w:rsidRPr="00EF34C7">
        <w:rPr>
          <w:rFonts w:ascii="Times New Roman" w:eastAsia="Times New Roman" w:hAnsi="Times New Roman" w:cs="Times New Roman"/>
          <w:kern w:val="0"/>
          <w:u w:color="004C7F"/>
          <w:lang w:eastAsia="en-GB"/>
          <w14:ligatures w14:val="none"/>
        </w:rPr>
        <w:t>: This will be the first large-scale trial to provide robust evidence of the effectiveness of ATLS® since the programme was initiated in 1978. Regardless of the findings, this study will have important implications for trauma life support training globally. If ATLS® training improves patient outcomes, ways to promote its use and optimise its implementation, especially in low- and middle income countries such as India, should be explored. If patient outcomes do not improve, trauma life support training needs to change.</w:t>
      </w:r>
    </w:p>
    <w:p w14:paraId="7D00DC4D"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b/>
          <w:bCs/>
          <w:kern w:val="0"/>
          <w:u w:color="004C7F"/>
          <w:lang w:eastAsia="en-GB"/>
          <w14:ligatures w14:val="none"/>
        </w:rPr>
        <w:t>Trial registration</w:t>
      </w:r>
      <w:r w:rsidRPr="00EF34C7">
        <w:rPr>
          <w:rFonts w:ascii="Times New Roman" w:eastAsia="Times New Roman" w:hAnsi="Times New Roman" w:cs="Times New Roman"/>
          <w:kern w:val="0"/>
          <w:u w:color="004C7F"/>
          <w:lang w:eastAsia="en-GB"/>
          <w14:ligatures w14:val="none"/>
        </w:rPr>
        <w:t>: Clinical Trials Registry – India (CTRI/2024/07/071336), ClinicalTrials.gov (NCT06321419, first registered 2024-03-20)</w:t>
      </w:r>
    </w:p>
    <w:p w14:paraId="25107487" w14:textId="77777777" w:rsidR="00EF34C7" w:rsidRPr="00EF34C7" w:rsidRDefault="00EF34C7" w:rsidP="00EF34C7">
      <w:pPr>
        <w:widowControl w:val="0"/>
        <w:pBdr>
          <w:top w:val="nil"/>
          <w:left w:val="nil"/>
          <w:bottom w:val="nil"/>
          <w:right w:val="nil"/>
          <w:between w:val="nil"/>
          <w:bar w:val="nil"/>
        </w:pBdr>
        <w:spacing w:before="200" w:after="80"/>
        <w:outlineLvl w:val="0"/>
        <w:rPr>
          <w:rFonts w:ascii="Times New Roman" w:eastAsia="Arial Unicode MS" w:hAnsi="Times New Roman" w:cs="Times New Roman"/>
          <w:b/>
          <w:bCs/>
          <w:color w:val="000000"/>
          <w:kern w:val="0"/>
          <w:sz w:val="28"/>
          <w:szCs w:val="28"/>
          <w:u w:color="000000"/>
          <w:bdr w:val="nil"/>
          <w:lang w:val="en-US" w:eastAsia="en-GB"/>
          <w14:ligatures w14:val="none"/>
        </w:rPr>
      </w:pPr>
      <w:r w:rsidRPr="00EF34C7">
        <w:rPr>
          <w:rFonts w:ascii="Times New Roman" w:eastAsia="Arial Unicode MS" w:hAnsi="Times New Roman" w:cs="Times New Roman"/>
          <w:b/>
          <w:bCs/>
          <w:color w:val="000000"/>
          <w:kern w:val="0"/>
          <w:sz w:val="28"/>
          <w:szCs w:val="28"/>
          <w:u w:color="000000"/>
          <w:bdr w:val="nil"/>
          <w:lang w:val="en-US" w:eastAsia="en-GB"/>
          <w14:ligatures w14:val="none"/>
        </w:rPr>
        <w:t>Keywords</w:t>
      </w:r>
    </w:p>
    <w:p w14:paraId="035330F2"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Advanced Trauma Life Support, Traumatology, Life Support Care</w:t>
      </w:r>
    </w:p>
    <w:p w14:paraId="2989557C" w14:textId="77777777" w:rsidR="00EF34C7" w:rsidRPr="00EF34C7" w:rsidRDefault="00EF34C7" w:rsidP="00EF34C7">
      <w:pPr>
        <w:pBdr>
          <w:top w:val="nil"/>
          <w:left w:val="nil"/>
          <w:bottom w:val="nil"/>
          <w:right w:val="nil"/>
          <w:between w:val="nil"/>
          <w:bar w:val="nil"/>
        </w:pBdr>
        <w:rPr>
          <w:rFonts w:ascii="Times New Roman" w:eastAsia="Arial Unicode MS" w:hAnsi="Times New Roman" w:cs="Times New Roman"/>
          <w:b/>
          <w:bCs/>
          <w:color w:val="000000"/>
          <w:kern w:val="0"/>
          <w:sz w:val="28"/>
          <w:szCs w:val="28"/>
          <w:u w:color="000000"/>
          <w:bdr w:val="nil"/>
          <w:lang w:val="en-US" w:eastAsia="en-GB"/>
          <w14:ligatures w14:val="none"/>
        </w:rPr>
      </w:pPr>
      <w:r w:rsidRPr="00EF34C7">
        <w:rPr>
          <w:rFonts w:ascii="Times New Roman" w:eastAsia="Times New Roman" w:hAnsi="Times New Roman" w:cs="Times New Roman"/>
          <w:kern w:val="0"/>
          <w:u w:color="004C7F"/>
          <w:lang w:eastAsia="en-GB"/>
          <w14:ligatures w14:val="none"/>
        </w:rPr>
        <w:br w:type="page"/>
      </w:r>
    </w:p>
    <w:p w14:paraId="14A137EA" w14:textId="77777777" w:rsidR="00EF34C7" w:rsidRPr="00EF34C7" w:rsidRDefault="00EF34C7" w:rsidP="00EF34C7">
      <w:pPr>
        <w:widowControl w:val="0"/>
        <w:pBdr>
          <w:top w:val="nil"/>
          <w:left w:val="nil"/>
          <w:bottom w:val="nil"/>
          <w:right w:val="nil"/>
          <w:between w:val="nil"/>
          <w:bar w:val="nil"/>
        </w:pBdr>
        <w:spacing w:before="200" w:after="80"/>
        <w:outlineLvl w:val="0"/>
        <w:rPr>
          <w:rFonts w:ascii="Verdana" w:eastAsia="Verdana" w:hAnsi="Verdana" w:cs="Verdana"/>
          <w:b/>
          <w:bCs/>
          <w:i/>
          <w:iCs/>
          <w:color w:val="000000"/>
          <w:kern w:val="0"/>
          <w:u w:color="000000"/>
          <w:bdr w:val="nil"/>
          <w:lang w:val="en-US" w:eastAsia="en-GB"/>
          <w14:ligatures w14:val="none"/>
        </w:rPr>
      </w:pPr>
      <w:r w:rsidRPr="00EF34C7">
        <w:rPr>
          <w:rFonts w:ascii="Times New Roman" w:eastAsia="Arial Unicode MS" w:hAnsi="Times New Roman" w:cs="Times New Roman"/>
          <w:b/>
          <w:bCs/>
          <w:color w:val="000000"/>
          <w:kern w:val="0"/>
          <w:sz w:val="28"/>
          <w:szCs w:val="28"/>
          <w:u w:color="000000"/>
          <w:bdr w:val="nil"/>
          <w:lang w:val="en-US" w:eastAsia="en-GB"/>
          <w14:ligatures w14:val="none"/>
        </w:rPr>
        <w:lastRenderedPageBreak/>
        <w:t>Administrative information</w:t>
      </w:r>
    </w:p>
    <w:tbl>
      <w:tblPr>
        <w:tblW w:w="9592" w:type="dxa"/>
        <w:tblInd w:w="324"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ADFFF"/>
        <w:tblLayout w:type="fixed"/>
        <w:tblLook w:val="04A0" w:firstRow="1" w:lastRow="0" w:firstColumn="1" w:lastColumn="0" w:noHBand="0" w:noVBand="1"/>
      </w:tblPr>
      <w:tblGrid>
        <w:gridCol w:w="3270"/>
        <w:gridCol w:w="6322"/>
      </w:tblGrid>
      <w:tr w:rsidR="00EF34C7" w:rsidRPr="00EF34C7" w14:paraId="5EE2DE95" w14:textId="77777777" w:rsidTr="009059F4">
        <w:trPr>
          <w:trHeight w:val="1605"/>
        </w:trPr>
        <w:tc>
          <w:tcPr>
            <w:tcW w:w="3270" w:type="dxa"/>
            <w:tcBorders>
              <w:top w:val="single" w:sz="16" w:space="0" w:color="000000"/>
              <w:left w:val="single" w:sz="16" w:space="0" w:color="000000"/>
              <w:bottom w:val="single" w:sz="16" w:space="0" w:color="000000"/>
              <w:right w:val="single" w:sz="4" w:space="0" w:color="000000"/>
            </w:tcBorders>
            <w:tcMar>
              <w:top w:w="80" w:type="dxa"/>
              <w:left w:w="80" w:type="dxa"/>
              <w:bottom w:w="80" w:type="dxa"/>
              <w:right w:w="80" w:type="dxa"/>
            </w:tcMar>
          </w:tcPr>
          <w:p w14:paraId="07EAC987"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Title {1}</w:t>
            </w:r>
          </w:p>
        </w:tc>
        <w:tc>
          <w:tcPr>
            <w:tcW w:w="6322" w:type="dxa"/>
            <w:tcBorders>
              <w:top w:val="single" w:sz="16" w:space="0" w:color="000000"/>
              <w:left w:val="single" w:sz="4" w:space="0" w:color="000000"/>
              <w:bottom w:val="single" w:sz="16" w:space="0" w:color="000000"/>
              <w:right w:val="single" w:sz="16" w:space="0" w:color="000000"/>
            </w:tcBorders>
            <w:tcMar>
              <w:top w:w="80" w:type="dxa"/>
              <w:left w:w="80" w:type="dxa"/>
              <w:bottom w:w="80" w:type="dxa"/>
              <w:right w:w="80" w:type="dxa"/>
            </w:tcMar>
          </w:tcPr>
          <w:p w14:paraId="5541F863"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Effects of Advanced Trauma Life Support® Training Compared with Standard Care on Adult Trauma Patient Outcomes (ADVANCE TRAUMA): A Stepped-Wedge Cluster Randomised Trial</w:t>
            </w:r>
          </w:p>
        </w:tc>
      </w:tr>
      <w:tr w:rsidR="00EF34C7" w:rsidRPr="00EF34C7" w14:paraId="1E1D5044" w14:textId="77777777" w:rsidTr="009059F4">
        <w:trPr>
          <w:trHeight w:val="1605"/>
        </w:trPr>
        <w:tc>
          <w:tcPr>
            <w:tcW w:w="3270" w:type="dxa"/>
            <w:tcBorders>
              <w:top w:val="single" w:sz="16" w:space="0" w:color="000000"/>
              <w:left w:val="single" w:sz="16" w:space="0" w:color="000000"/>
              <w:bottom w:val="single" w:sz="4" w:space="0" w:color="000000"/>
              <w:right w:val="single" w:sz="4" w:space="0" w:color="000000"/>
            </w:tcBorders>
            <w:tcMar>
              <w:top w:w="80" w:type="dxa"/>
              <w:left w:w="80" w:type="dxa"/>
              <w:bottom w:w="80" w:type="dxa"/>
              <w:right w:w="80" w:type="dxa"/>
            </w:tcMar>
          </w:tcPr>
          <w:p w14:paraId="4081D431"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Trial registration {2a and 2b}.</w:t>
            </w:r>
          </w:p>
        </w:tc>
        <w:tc>
          <w:tcPr>
            <w:tcW w:w="6322" w:type="dxa"/>
            <w:tcBorders>
              <w:top w:val="single" w:sz="16" w:space="0" w:color="000000"/>
              <w:left w:val="single" w:sz="4" w:space="0" w:color="000000"/>
              <w:bottom w:val="single" w:sz="4" w:space="0" w:color="000000"/>
              <w:right w:val="single" w:sz="16" w:space="0" w:color="000000"/>
            </w:tcBorders>
            <w:tcMar>
              <w:top w:w="80" w:type="dxa"/>
              <w:left w:w="80" w:type="dxa"/>
              <w:bottom w:w="80" w:type="dxa"/>
              <w:right w:w="80" w:type="dxa"/>
            </w:tcMar>
          </w:tcPr>
          <w:p w14:paraId="4FB64261"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Clinical Trials Registry – India (CTRI/2024/07/071336), ClinicalTrials.gov (NCT06321419, 2024-03-20)</w:t>
            </w:r>
          </w:p>
        </w:tc>
      </w:tr>
      <w:tr w:rsidR="00EF34C7" w:rsidRPr="00EF34C7" w14:paraId="50FA1A51" w14:textId="77777777" w:rsidTr="009059F4">
        <w:trPr>
          <w:trHeight w:val="270"/>
        </w:trPr>
        <w:tc>
          <w:tcPr>
            <w:tcW w:w="3270" w:type="dxa"/>
            <w:tcBorders>
              <w:top w:val="single" w:sz="4" w:space="0" w:color="000000"/>
              <w:left w:val="single" w:sz="16" w:space="0" w:color="000000"/>
              <w:bottom w:val="single" w:sz="4" w:space="0" w:color="000000"/>
              <w:right w:val="single" w:sz="4" w:space="0" w:color="000000"/>
            </w:tcBorders>
            <w:tcMar>
              <w:top w:w="80" w:type="dxa"/>
              <w:left w:w="80" w:type="dxa"/>
              <w:bottom w:w="80" w:type="dxa"/>
              <w:right w:w="80" w:type="dxa"/>
            </w:tcMar>
          </w:tcPr>
          <w:p w14:paraId="659D100D"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Protocol version {3}</w:t>
            </w:r>
          </w:p>
        </w:tc>
        <w:tc>
          <w:tcPr>
            <w:tcW w:w="6322" w:type="dxa"/>
            <w:tcBorders>
              <w:top w:val="single" w:sz="4" w:space="0" w:color="000000"/>
              <w:left w:val="single" w:sz="4" w:space="0" w:color="000000"/>
              <w:bottom w:val="single" w:sz="4" w:space="0" w:color="000000"/>
              <w:right w:val="single" w:sz="16" w:space="0" w:color="000000"/>
            </w:tcBorders>
            <w:tcMar>
              <w:top w:w="80" w:type="dxa"/>
              <w:left w:w="80" w:type="dxa"/>
              <w:bottom w:w="80" w:type="dxa"/>
              <w:right w:w="80" w:type="dxa"/>
            </w:tcMar>
          </w:tcPr>
          <w:p w14:paraId="557DAA46"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1.5.0, 2025-06-12</w:t>
            </w:r>
          </w:p>
        </w:tc>
      </w:tr>
      <w:tr w:rsidR="00EF34C7" w:rsidRPr="00EF34C7" w14:paraId="0CD904CA" w14:textId="77777777" w:rsidTr="009059F4">
        <w:trPr>
          <w:trHeight w:val="790"/>
        </w:trPr>
        <w:tc>
          <w:tcPr>
            <w:tcW w:w="3270" w:type="dxa"/>
            <w:tcBorders>
              <w:top w:val="single" w:sz="4" w:space="0" w:color="000000"/>
              <w:left w:val="single" w:sz="16" w:space="0" w:color="000000"/>
              <w:bottom w:val="single" w:sz="4" w:space="0" w:color="000000"/>
              <w:right w:val="single" w:sz="4" w:space="0" w:color="000000"/>
            </w:tcBorders>
            <w:tcMar>
              <w:top w:w="80" w:type="dxa"/>
              <w:left w:w="80" w:type="dxa"/>
              <w:bottom w:w="80" w:type="dxa"/>
              <w:right w:w="80" w:type="dxa"/>
            </w:tcMar>
          </w:tcPr>
          <w:p w14:paraId="25D07BEE"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Funding {4}</w:t>
            </w:r>
          </w:p>
        </w:tc>
        <w:tc>
          <w:tcPr>
            <w:tcW w:w="6322" w:type="dxa"/>
            <w:tcBorders>
              <w:top w:val="single" w:sz="4" w:space="0" w:color="000000"/>
              <w:left w:val="single" w:sz="4" w:space="0" w:color="000000"/>
              <w:bottom w:val="single" w:sz="4" w:space="0" w:color="000000"/>
              <w:right w:val="single" w:sz="16" w:space="0" w:color="000000"/>
            </w:tcBorders>
            <w:tcMar>
              <w:top w:w="80" w:type="dxa"/>
              <w:left w:w="80" w:type="dxa"/>
              <w:bottom w:w="80" w:type="dxa"/>
              <w:right w:w="80" w:type="dxa"/>
            </w:tcMar>
          </w:tcPr>
          <w:p w14:paraId="4A2F1F85"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Swedish Research Council (reg. no. 2023-03128) and Laerdal Foundation (reg. no. 2023-0297).</w:t>
            </w:r>
          </w:p>
        </w:tc>
      </w:tr>
      <w:tr w:rsidR="00EF34C7" w:rsidRPr="00EF34C7" w14:paraId="0D5B8B30" w14:textId="77777777" w:rsidTr="009059F4">
        <w:trPr>
          <w:trHeight w:val="790"/>
        </w:trPr>
        <w:tc>
          <w:tcPr>
            <w:tcW w:w="3270" w:type="dxa"/>
            <w:tcBorders>
              <w:top w:val="single" w:sz="4" w:space="0" w:color="000000"/>
              <w:left w:val="single" w:sz="16" w:space="0" w:color="000000"/>
              <w:bottom w:val="single" w:sz="4" w:space="0" w:color="000000"/>
              <w:right w:val="single" w:sz="4" w:space="0" w:color="000000"/>
            </w:tcBorders>
            <w:tcMar>
              <w:top w:w="80" w:type="dxa"/>
              <w:left w:w="80" w:type="dxa"/>
              <w:bottom w:w="80" w:type="dxa"/>
              <w:right w:w="80" w:type="dxa"/>
            </w:tcMar>
          </w:tcPr>
          <w:p w14:paraId="7C997A31"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Author details {5a}</w:t>
            </w:r>
          </w:p>
        </w:tc>
        <w:tc>
          <w:tcPr>
            <w:tcW w:w="6322" w:type="dxa"/>
            <w:tcBorders>
              <w:top w:val="single" w:sz="4" w:space="0" w:color="000000"/>
              <w:left w:val="single" w:sz="4" w:space="0" w:color="000000"/>
              <w:bottom w:val="single" w:sz="4" w:space="0" w:color="000000"/>
              <w:right w:val="single" w:sz="16" w:space="0" w:color="000000"/>
            </w:tcBorders>
            <w:tcMar>
              <w:top w:w="80" w:type="dxa"/>
              <w:left w:w="80" w:type="dxa"/>
              <w:bottom w:w="80" w:type="dxa"/>
              <w:right w:w="80" w:type="dxa"/>
            </w:tcMar>
          </w:tcPr>
          <w:p w14:paraId="26F1AE93"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Samriddhi Ranjan (SR)</w:t>
            </w:r>
          </w:p>
          <w:p w14:paraId="20C31226"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The George Institute for Global Health, New Delhi, India</w:t>
            </w:r>
          </w:p>
          <w:p w14:paraId="769BFFFD" w14:textId="77777777" w:rsidR="00EF34C7" w:rsidRPr="00EF34C7" w:rsidRDefault="00EF34C7" w:rsidP="00EF34C7">
            <w:pPr>
              <w:spacing w:before="320" w:after="120"/>
              <w:rPr>
                <w:rFonts w:ascii="Times New Roman" w:eastAsia="Times New Roman" w:hAnsi="Times New Roman" w:cs="Times New Roman"/>
                <w:kern w:val="0"/>
                <w:u w:color="004C7F"/>
                <w:lang w:val="en-GB" w:eastAsia="en-GB"/>
                <w14:ligatures w14:val="none"/>
              </w:rPr>
            </w:pPr>
            <w:r w:rsidRPr="00EF34C7">
              <w:rPr>
                <w:rFonts w:ascii="Times New Roman" w:eastAsia="Times New Roman" w:hAnsi="Times New Roman" w:cs="Times New Roman"/>
                <w:kern w:val="0"/>
                <w:u w:color="004C7F"/>
                <w:lang w:val="en-GB" w:eastAsia="en-GB"/>
                <w14:ligatures w14:val="none"/>
              </w:rPr>
              <w:t xml:space="preserve">Sara </w:t>
            </w:r>
            <w:proofErr w:type="spellStart"/>
            <w:r w:rsidRPr="00EF34C7">
              <w:rPr>
                <w:rFonts w:ascii="Times New Roman" w:eastAsia="Times New Roman" w:hAnsi="Times New Roman" w:cs="Times New Roman"/>
                <w:kern w:val="0"/>
                <w:u w:color="004C7F"/>
                <w:lang w:val="en-GB" w:eastAsia="en-GB"/>
                <w14:ligatures w14:val="none"/>
              </w:rPr>
              <w:t>Fälth</w:t>
            </w:r>
            <w:proofErr w:type="spellEnd"/>
            <w:r w:rsidRPr="00EF34C7">
              <w:rPr>
                <w:rFonts w:ascii="Times New Roman" w:eastAsia="Times New Roman" w:hAnsi="Times New Roman" w:cs="Times New Roman"/>
                <w:kern w:val="0"/>
                <w:u w:color="004C7F"/>
                <w:lang w:val="en-GB" w:eastAsia="en-GB"/>
                <w14:ligatures w14:val="none"/>
              </w:rPr>
              <w:t xml:space="preserve"> (SF)</w:t>
            </w:r>
          </w:p>
          <w:p w14:paraId="59B871FD" w14:textId="77777777" w:rsidR="00EF34C7" w:rsidRPr="00EF34C7" w:rsidRDefault="00EF34C7" w:rsidP="00EF34C7">
            <w:pPr>
              <w:spacing w:after="120"/>
              <w:rPr>
                <w:rFonts w:ascii="Times New Roman" w:eastAsia="Times New Roman" w:hAnsi="Times New Roman" w:cs="Times New Roman"/>
                <w:kern w:val="0"/>
                <w:u w:color="004C7F"/>
                <w:lang w:val="en-IN" w:eastAsia="en-GB"/>
                <w14:ligatures w14:val="none"/>
              </w:rPr>
            </w:pPr>
            <w:r w:rsidRPr="00EF34C7">
              <w:rPr>
                <w:rFonts w:ascii="Times New Roman" w:eastAsia="Times New Roman" w:hAnsi="Times New Roman" w:cs="Times New Roman"/>
                <w:kern w:val="0"/>
                <w:u w:color="004C7F"/>
                <w:lang w:eastAsia="en-GB"/>
                <w14:ligatures w14:val="none"/>
              </w:rPr>
              <w:t xml:space="preserve">Department of Global Public Health, </w:t>
            </w:r>
            <w:r w:rsidRPr="00EF34C7">
              <w:rPr>
                <w:rFonts w:ascii="Times New Roman" w:eastAsia="Times New Roman" w:hAnsi="Times New Roman" w:cs="Times New Roman"/>
                <w:kern w:val="0"/>
                <w:u w:color="004C7F"/>
                <w:lang w:val="en-GB" w:eastAsia="en-GB"/>
                <w14:ligatures w14:val="none"/>
              </w:rPr>
              <w:t xml:space="preserve">Karolinska </w:t>
            </w:r>
            <w:proofErr w:type="spellStart"/>
            <w:r w:rsidRPr="00EF34C7">
              <w:rPr>
                <w:rFonts w:ascii="Times New Roman" w:eastAsia="Times New Roman" w:hAnsi="Times New Roman" w:cs="Times New Roman"/>
                <w:kern w:val="0"/>
                <w:u w:color="004C7F"/>
                <w:lang w:val="en-GB" w:eastAsia="en-GB"/>
                <w14:ligatures w14:val="none"/>
              </w:rPr>
              <w:t>Institutet</w:t>
            </w:r>
            <w:proofErr w:type="spellEnd"/>
            <w:r w:rsidRPr="00EF34C7">
              <w:rPr>
                <w:rFonts w:ascii="Times New Roman" w:eastAsia="Times New Roman" w:hAnsi="Times New Roman" w:cs="Times New Roman"/>
                <w:kern w:val="0"/>
                <w:u w:color="004C7F"/>
                <w:lang w:val="en-GB" w:eastAsia="en-GB"/>
                <w14:ligatures w14:val="none"/>
              </w:rPr>
              <w:t>, Stockholm, Sweden</w:t>
            </w:r>
          </w:p>
          <w:p w14:paraId="13F9D21A" w14:textId="77777777" w:rsidR="00EF34C7" w:rsidRPr="00EF34C7" w:rsidRDefault="00EF34C7" w:rsidP="00EF34C7">
            <w:pPr>
              <w:spacing w:before="320" w:after="120"/>
              <w:rPr>
                <w:rFonts w:ascii="Times New Roman" w:eastAsia="Times New Roman" w:hAnsi="Times New Roman" w:cs="Times New Roman"/>
                <w:kern w:val="0"/>
                <w:u w:color="004C7F"/>
                <w:lang w:val="en-GB" w:eastAsia="en-GB"/>
                <w14:ligatures w14:val="none"/>
              </w:rPr>
            </w:pPr>
            <w:r w:rsidRPr="00EF34C7">
              <w:rPr>
                <w:rFonts w:ascii="Times New Roman" w:eastAsia="Times New Roman" w:hAnsi="Times New Roman" w:cs="Times New Roman"/>
                <w:kern w:val="0"/>
                <w:u w:color="004C7F"/>
                <w:lang w:val="en-GB" w:eastAsia="en-GB"/>
                <w14:ligatures w14:val="none"/>
              </w:rPr>
              <w:t>Prashant Kharat (PK)</w:t>
            </w:r>
          </w:p>
          <w:p w14:paraId="71FDE517" w14:textId="77777777" w:rsidR="00EF34C7" w:rsidRPr="00EF34C7" w:rsidRDefault="00EF34C7" w:rsidP="00EF34C7">
            <w:pPr>
              <w:spacing w:after="120"/>
              <w:rPr>
                <w:rFonts w:ascii="Times New Roman" w:eastAsia="Times New Roman" w:hAnsi="Times New Roman" w:cs="Times New Roman"/>
                <w:kern w:val="0"/>
                <w:u w:color="004C7F"/>
                <w:lang w:val="en-IN" w:eastAsia="en-GB"/>
                <w14:ligatures w14:val="none"/>
              </w:rPr>
            </w:pPr>
            <w:r w:rsidRPr="00EF34C7">
              <w:rPr>
                <w:rFonts w:ascii="Times New Roman" w:eastAsia="Times New Roman" w:hAnsi="Times New Roman" w:cs="Times New Roman"/>
                <w:kern w:val="0"/>
                <w:u w:color="004C7F"/>
                <w:lang w:eastAsia="en-GB"/>
                <w14:ligatures w14:val="none"/>
              </w:rPr>
              <w:t>The George Institute for Global Health, New Delhi, India</w:t>
            </w:r>
          </w:p>
          <w:p w14:paraId="344AA5A8" w14:textId="77777777" w:rsidR="00EF34C7" w:rsidRPr="00EF34C7" w:rsidRDefault="00EF34C7" w:rsidP="00EF34C7">
            <w:pPr>
              <w:spacing w:before="320"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Abhinav Bassi (AB)</w:t>
            </w:r>
          </w:p>
          <w:p w14:paraId="2EC1F314"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The George Institute for Global Health, New Delhi, India</w:t>
            </w:r>
          </w:p>
          <w:p w14:paraId="6196FFF5" w14:textId="77777777" w:rsidR="00EF34C7" w:rsidRPr="00EF34C7" w:rsidRDefault="00EF34C7" w:rsidP="00EF34C7">
            <w:pPr>
              <w:spacing w:before="320"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G D Bakhshi (GB)</w:t>
            </w:r>
          </w:p>
          <w:p w14:paraId="78E654F5"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Department of General Surgery, Grant Medical College and Sir Jamshedjee Jeejeebhoy Group of Hospitals, Mumbai, India</w:t>
            </w:r>
          </w:p>
          <w:p w14:paraId="37563DFB" w14:textId="77777777" w:rsidR="00EF34C7" w:rsidRPr="00EF34C7" w:rsidRDefault="00EF34C7" w:rsidP="00EF34C7">
            <w:pPr>
              <w:spacing w:before="320"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Debojit Basak (DB)</w:t>
            </w:r>
          </w:p>
          <w:p w14:paraId="02948D25"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Institute of Post Graduate Medical Education and Research, Kolkata, India</w:t>
            </w:r>
          </w:p>
          <w:p w14:paraId="17F77872" w14:textId="77777777" w:rsidR="00EF34C7" w:rsidRPr="00EF34C7" w:rsidRDefault="00EF34C7" w:rsidP="00EF34C7">
            <w:pPr>
              <w:spacing w:before="320"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Johanna Berg (JB)</w:t>
            </w:r>
          </w:p>
          <w:p w14:paraId="0BD46325" w14:textId="77777777" w:rsidR="00EF34C7" w:rsidRPr="00EF34C7" w:rsidRDefault="00EF34C7" w:rsidP="00EF34C7">
            <w:pPr>
              <w:numPr>
                <w:ilvl w:val="0"/>
                <w:numId w:val="6"/>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Department of Global Public Health, Karolinska Institutet, Stockholm, Sweden</w:t>
            </w:r>
          </w:p>
          <w:p w14:paraId="6DEC2F9F" w14:textId="77777777" w:rsidR="00EF34C7" w:rsidRPr="00EF34C7" w:rsidRDefault="00EF34C7" w:rsidP="00EF34C7">
            <w:pPr>
              <w:numPr>
                <w:ilvl w:val="0"/>
                <w:numId w:val="6"/>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lastRenderedPageBreak/>
              <w:t>Emergency Medicine, Department of Internal and Emergency Medicine, Skåne University Hospital, Malmö, Sweden</w:t>
            </w:r>
          </w:p>
          <w:p w14:paraId="18EBD4E9" w14:textId="77777777" w:rsidR="00EF34C7" w:rsidRPr="00EF34C7" w:rsidRDefault="00EF34C7" w:rsidP="00EF34C7">
            <w:pPr>
              <w:spacing w:before="320"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Shamita Chatterjee (SC)</w:t>
            </w:r>
          </w:p>
          <w:p w14:paraId="2A53A292"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Department of General Surgery, Institute of Post Graduate Medical Education and Research, Kolkata, India</w:t>
            </w:r>
          </w:p>
          <w:p w14:paraId="65909028" w14:textId="77777777" w:rsidR="00EF34C7" w:rsidRPr="00EF34C7" w:rsidRDefault="00EF34C7" w:rsidP="00EF34C7">
            <w:pPr>
              <w:spacing w:before="320"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Li Felländer-Tsai (LFT)</w:t>
            </w:r>
          </w:p>
          <w:p w14:paraId="75F7358E" w14:textId="77777777" w:rsidR="00EF34C7" w:rsidRPr="00EF34C7" w:rsidRDefault="00EF34C7" w:rsidP="00EF34C7">
            <w:pPr>
              <w:numPr>
                <w:ilvl w:val="0"/>
                <w:numId w:val="5"/>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Department of Clinical Science, Intervention and Technology, Karolinska Institutet, Stockholm, Sweden</w:t>
            </w:r>
          </w:p>
          <w:p w14:paraId="27CE7F6D" w14:textId="77777777" w:rsidR="00EF34C7" w:rsidRPr="00EF34C7" w:rsidRDefault="00EF34C7" w:rsidP="00EF34C7">
            <w:pPr>
              <w:numPr>
                <w:ilvl w:val="0"/>
                <w:numId w:val="5"/>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Department of Reconstructive Orthopedics, Karolinska University Hospital, Stockholm, Sweden</w:t>
            </w:r>
          </w:p>
          <w:p w14:paraId="37FB2F39" w14:textId="77777777" w:rsidR="00EF34C7" w:rsidRPr="00EF34C7" w:rsidRDefault="00EF34C7" w:rsidP="00EF34C7">
            <w:pPr>
              <w:spacing w:before="320"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Karla Hemming (KH)</w:t>
            </w:r>
          </w:p>
          <w:p w14:paraId="3A4F6125"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Institute of Applied Health Research, University of Birmingham, Birmingham, UK</w:t>
            </w:r>
          </w:p>
          <w:p w14:paraId="124E8E34" w14:textId="77777777" w:rsidR="00EF34C7" w:rsidRPr="00EF34C7" w:rsidRDefault="00EF34C7" w:rsidP="00EF34C7">
            <w:pPr>
              <w:spacing w:before="320"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Vivekanand Jha (VJ)</w:t>
            </w:r>
          </w:p>
          <w:p w14:paraId="6AB2187C"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The George Institute for Global Health, New Delhi, India</w:t>
            </w:r>
          </w:p>
          <w:p w14:paraId="4D6244B5" w14:textId="77777777" w:rsidR="00EF34C7" w:rsidRPr="00EF34C7" w:rsidRDefault="00EF34C7" w:rsidP="00EF34C7">
            <w:pPr>
              <w:spacing w:before="320"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Jessica Kasza (JK)</w:t>
            </w:r>
          </w:p>
          <w:p w14:paraId="4DF2B0AA"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School of Public Health and Preventive Medicine, Monash University, Melbourne, Australia</w:t>
            </w:r>
          </w:p>
          <w:p w14:paraId="72704C96" w14:textId="77777777" w:rsidR="00EF34C7" w:rsidRPr="00EF34C7" w:rsidRDefault="00EF34C7" w:rsidP="00EF34C7">
            <w:pPr>
              <w:spacing w:before="320"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Monty Khajanchi (MK)</w:t>
            </w:r>
          </w:p>
          <w:p w14:paraId="593706BC"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Seth G. S. Medical College and K.E.M. Hospital, Mumbai, India</w:t>
            </w:r>
          </w:p>
          <w:p w14:paraId="2F0A37E2" w14:textId="77777777" w:rsidR="00EF34C7" w:rsidRPr="00EF34C7" w:rsidRDefault="00EF34C7" w:rsidP="00EF34C7">
            <w:pPr>
              <w:spacing w:before="320"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James Martin (JM)</w:t>
            </w:r>
          </w:p>
          <w:p w14:paraId="360EADEC"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Institute of Applied Health Research, University of Birmingham, Birmingham, UK</w:t>
            </w:r>
          </w:p>
          <w:p w14:paraId="6C3301E3" w14:textId="77777777" w:rsidR="00EF34C7" w:rsidRPr="00EF34C7" w:rsidRDefault="00EF34C7" w:rsidP="00EF34C7">
            <w:pPr>
              <w:spacing w:before="320"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Anurag Mishra (AM)</w:t>
            </w:r>
          </w:p>
          <w:p w14:paraId="7BDC426B"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Department of General Surgery, Maulana Azad Medical College, New Delhi, India</w:t>
            </w:r>
          </w:p>
          <w:p w14:paraId="4BED04B9" w14:textId="77777777" w:rsidR="00EF34C7" w:rsidRPr="00EF34C7" w:rsidRDefault="00EF34C7" w:rsidP="00EF34C7">
            <w:pPr>
              <w:spacing w:before="320"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Anna Olofsson (AO)</w:t>
            </w:r>
          </w:p>
          <w:p w14:paraId="5EDAFECD"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Institute of Environmental Medicine, Karolinska Institutet, Stockholm, Sweden</w:t>
            </w:r>
          </w:p>
          <w:p w14:paraId="126DF743" w14:textId="77777777" w:rsidR="00EF34C7" w:rsidRPr="00EF34C7" w:rsidRDefault="00EF34C7" w:rsidP="00EF34C7">
            <w:pPr>
              <w:spacing w:before="320"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Nobhojit Roy (NR)</w:t>
            </w:r>
          </w:p>
          <w:p w14:paraId="1FB37153" w14:textId="77777777" w:rsidR="00EF34C7" w:rsidRPr="00EF34C7" w:rsidRDefault="00EF34C7" w:rsidP="00EF34C7">
            <w:pPr>
              <w:numPr>
                <w:ilvl w:val="0"/>
                <w:numId w:val="4"/>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Program for Global Surgery and Trauma, The George Institute for Global Health, New Delhi, India</w:t>
            </w:r>
          </w:p>
          <w:p w14:paraId="420F4888" w14:textId="77777777" w:rsidR="00EF34C7" w:rsidRPr="00EF34C7" w:rsidRDefault="00EF34C7" w:rsidP="00EF34C7">
            <w:pPr>
              <w:numPr>
                <w:ilvl w:val="0"/>
                <w:numId w:val="4"/>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lastRenderedPageBreak/>
              <w:t>Department of Global Public Health, Karolinska Institutet, Stockholm, Sweden</w:t>
            </w:r>
          </w:p>
          <w:p w14:paraId="5F5E58E7" w14:textId="77777777" w:rsidR="00EF34C7" w:rsidRPr="00EF34C7" w:rsidRDefault="00EF34C7" w:rsidP="00EF34C7">
            <w:pPr>
              <w:spacing w:before="320"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Rajdeep Singh (RS)</w:t>
            </w:r>
          </w:p>
          <w:p w14:paraId="41858B68"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Department of General Surgery, Maulana Azad Medical College, New Delhi, India</w:t>
            </w:r>
          </w:p>
          <w:p w14:paraId="3B41E76E" w14:textId="77777777" w:rsidR="00EF34C7" w:rsidRPr="00EF34C7" w:rsidRDefault="00EF34C7" w:rsidP="00EF34C7">
            <w:pPr>
              <w:spacing w:before="320"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Kapil Dev Soni (KDS)</w:t>
            </w:r>
          </w:p>
          <w:p w14:paraId="6A5827D9"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Critical and Intensive Care, JPN Apex Trauma Center, All India Institute of Medical Sciences, New Delhi, India</w:t>
            </w:r>
          </w:p>
          <w:p w14:paraId="52FD9536" w14:textId="77777777" w:rsidR="00EF34C7" w:rsidRPr="00EF34C7" w:rsidRDefault="00EF34C7" w:rsidP="00EF34C7">
            <w:pPr>
              <w:spacing w:before="320" w:after="120"/>
              <w:rPr>
                <w:rFonts w:ascii="Times New Roman" w:eastAsia="Times New Roman" w:hAnsi="Times New Roman" w:cs="Times New Roman"/>
                <w:kern w:val="0"/>
                <w:u w:color="004C7F"/>
                <w:lang w:val="en-GB" w:eastAsia="en-GB"/>
                <w14:ligatures w14:val="none"/>
              </w:rPr>
            </w:pPr>
            <w:r w:rsidRPr="00EF34C7">
              <w:rPr>
                <w:rFonts w:ascii="Times New Roman" w:eastAsia="Times New Roman" w:hAnsi="Times New Roman" w:cs="Times New Roman"/>
                <w:kern w:val="0"/>
                <w:u w:color="004C7F"/>
                <w:lang w:val="en-GB" w:eastAsia="en-GB"/>
                <w14:ligatures w14:val="none"/>
              </w:rPr>
              <w:t>Martin Gerdin Wärnberg (MGW)</w:t>
            </w:r>
          </w:p>
          <w:p w14:paraId="6552093D" w14:textId="77777777" w:rsidR="00EF34C7" w:rsidRPr="00EF34C7" w:rsidRDefault="00EF34C7" w:rsidP="00EF34C7">
            <w:pPr>
              <w:numPr>
                <w:ilvl w:val="0"/>
                <w:numId w:val="3"/>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Department of Global Public Health, Karolinska Institutet, Stockholm, Sweden</w:t>
            </w:r>
          </w:p>
          <w:p w14:paraId="17395416" w14:textId="77777777" w:rsidR="00EF34C7" w:rsidRPr="00EF34C7" w:rsidRDefault="00EF34C7" w:rsidP="00EF34C7">
            <w:pPr>
              <w:numPr>
                <w:ilvl w:val="0"/>
                <w:numId w:val="3"/>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Perioperative Medicine and Intensive Care, Karolinska University Hospital, Stockholm, Sweden</w:t>
            </w:r>
          </w:p>
        </w:tc>
      </w:tr>
      <w:tr w:rsidR="00EF34C7" w:rsidRPr="00EF34C7" w14:paraId="6FA692AC" w14:textId="77777777" w:rsidTr="009059F4">
        <w:trPr>
          <w:trHeight w:val="1110"/>
        </w:trPr>
        <w:tc>
          <w:tcPr>
            <w:tcW w:w="3270" w:type="dxa"/>
            <w:tcBorders>
              <w:top w:val="single" w:sz="4" w:space="0" w:color="000000"/>
              <w:left w:val="single" w:sz="16" w:space="0" w:color="000000"/>
              <w:bottom w:val="single" w:sz="4" w:space="0" w:color="000000"/>
              <w:right w:val="single" w:sz="4" w:space="0" w:color="000000"/>
            </w:tcBorders>
            <w:tcMar>
              <w:top w:w="80" w:type="dxa"/>
              <w:left w:w="80" w:type="dxa"/>
              <w:bottom w:w="80" w:type="dxa"/>
              <w:right w:w="80" w:type="dxa"/>
            </w:tcMar>
          </w:tcPr>
          <w:p w14:paraId="0BF776F3"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lastRenderedPageBreak/>
              <w:t>Name and contact information for the trial sponsor {5b}</w:t>
            </w:r>
          </w:p>
        </w:tc>
        <w:tc>
          <w:tcPr>
            <w:tcW w:w="6322" w:type="dxa"/>
            <w:tcBorders>
              <w:top w:val="single" w:sz="4" w:space="0" w:color="000000"/>
              <w:left w:val="single" w:sz="4" w:space="0" w:color="000000"/>
              <w:bottom w:val="single" w:sz="4" w:space="0" w:color="000000"/>
              <w:right w:val="single" w:sz="16" w:space="0" w:color="000000"/>
            </w:tcBorders>
            <w:tcMar>
              <w:top w:w="80" w:type="dxa"/>
              <w:left w:w="80" w:type="dxa"/>
              <w:bottom w:w="80" w:type="dxa"/>
              <w:right w:w="80" w:type="dxa"/>
            </w:tcMar>
          </w:tcPr>
          <w:p w14:paraId="2F9AF8D5"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Karolinska Institutet, 171 77 Stockholm, Sweden</w:t>
            </w:r>
          </w:p>
          <w:p w14:paraId="6748D1D4"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Contact person: Martin Gerdin Wärnberg, martin.gerdin@ki.se</w:t>
            </w:r>
          </w:p>
        </w:tc>
      </w:tr>
      <w:tr w:rsidR="00EF34C7" w:rsidRPr="00EF34C7" w14:paraId="57557133" w14:textId="77777777" w:rsidTr="009059F4">
        <w:trPr>
          <w:trHeight w:val="1555"/>
        </w:trPr>
        <w:tc>
          <w:tcPr>
            <w:tcW w:w="3270" w:type="dxa"/>
            <w:tcBorders>
              <w:top w:val="single" w:sz="4" w:space="0" w:color="000000"/>
              <w:left w:val="single" w:sz="16" w:space="0" w:color="000000"/>
              <w:bottom w:val="single" w:sz="16" w:space="0" w:color="000000"/>
              <w:right w:val="single" w:sz="4" w:space="0" w:color="000000"/>
            </w:tcBorders>
            <w:tcMar>
              <w:top w:w="80" w:type="dxa"/>
              <w:left w:w="80" w:type="dxa"/>
              <w:bottom w:w="80" w:type="dxa"/>
              <w:right w:w="80" w:type="dxa"/>
            </w:tcMar>
          </w:tcPr>
          <w:p w14:paraId="6455B676"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Role of sponsor {5c}</w:t>
            </w:r>
          </w:p>
        </w:tc>
        <w:tc>
          <w:tcPr>
            <w:tcW w:w="6322" w:type="dxa"/>
            <w:tcBorders>
              <w:top w:val="single" w:sz="4" w:space="0" w:color="000000"/>
              <w:left w:val="single" w:sz="4" w:space="0" w:color="000000"/>
              <w:bottom w:val="single" w:sz="16" w:space="0" w:color="000000"/>
              <w:right w:val="single" w:sz="16" w:space="0" w:color="000000"/>
            </w:tcBorders>
            <w:tcMar>
              <w:top w:w="80" w:type="dxa"/>
              <w:left w:w="80" w:type="dxa"/>
              <w:bottom w:w="80" w:type="dxa"/>
              <w:right w:w="80" w:type="dxa"/>
            </w:tcMar>
          </w:tcPr>
          <w:p w14:paraId="4745AEF3"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This is an investigator-initiated study. The sponsor contact person is also the principal investigator. The funding bodies had no role in the design of this trial, the preparation of it, nor the decision to submit this protocol for publication.</w:t>
            </w:r>
          </w:p>
        </w:tc>
      </w:tr>
    </w:tbl>
    <w:p w14:paraId="03E491F7" w14:textId="77777777" w:rsidR="00EF34C7" w:rsidRPr="00EF34C7" w:rsidRDefault="00EF34C7" w:rsidP="00EF34C7">
      <w:pPr>
        <w:widowControl w:val="0"/>
        <w:pBdr>
          <w:top w:val="nil"/>
          <w:left w:val="nil"/>
          <w:bottom w:val="nil"/>
          <w:right w:val="nil"/>
          <w:between w:val="nil"/>
          <w:bar w:val="nil"/>
        </w:pBdr>
        <w:spacing w:before="200" w:after="80"/>
        <w:outlineLvl w:val="0"/>
        <w:rPr>
          <w:rFonts w:ascii="Times New Roman" w:eastAsia="Arial Unicode MS" w:hAnsi="Times New Roman" w:cs="Times New Roman"/>
          <w:b/>
          <w:bCs/>
          <w:color w:val="000000"/>
          <w:kern w:val="0"/>
          <w:sz w:val="28"/>
          <w:szCs w:val="28"/>
          <w:u w:color="000000"/>
          <w:bdr w:val="nil"/>
          <w:lang w:val="en-US" w:eastAsia="en-GB"/>
          <w14:ligatures w14:val="none"/>
        </w:rPr>
      </w:pPr>
    </w:p>
    <w:p w14:paraId="72C05B70" w14:textId="77777777" w:rsidR="00EF34C7" w:rsidRPr="00EF34C7" w:rsidRDefault="00EF34C7" w:rsidP="00EF34C7">
      <w:pPr>
        <w:spacing w:after="120"/>
        <w:rPr>
          <w:rFonts w:ascii="Times New Roman" w:eastAsia="Verdana" w:hAnsi="Times New Roman" w:cs="Times New Roman"/>
          <w:color w:val="000000"/>
          <w:kern w:val="0"/>
          <w:sz w:val="28"/>
          <w:szCs w:val="28"/>
          <w:u w:color="000000"/>
          <w:bdr w:val="nil"/>
          <w:lang w:val="en-US" w:eastAsia="en-GB"/>
          <w14:ligatures w14:val="none"/>
        </w:rPr>
      </w:pPr>
      <w:r w:rsidRPr="00EF34C7">
        <w:rPr>
          <w:rFonts w:ascii="Times New Roman" w:eastAsia="Verdana" w:hAnsi="Times New Roman" w:cs="Times New Roman"/>
          <w:kern w:val="0"/>
          <w:u w:color="004C7F"/>
          <w:lang w:eastAsia="en-GB"/>
          <w14:ligatures w14:val="none"/>
        </w:rPr>
        <w:br w:type="page"/>
      </w:r>
    </w:p>
    <w:p w14:paraId="5880C60E" w14:textId="77777777" w:rsidR="00EF34C7" w:rsidRPr="00EF34C7" w:rsidRDefault="00EF34C7" w:rsidP="00EF34C7">
      <w:pPr>
        <w:widowControl w:val="0"/>
        <w:pBdr>
          <w:top w:val="nil"/>
          <w:left w:val="nil"/>
          <w:bottom w:val="nil"/>
          <w:right w:val="nil"/>
          <w:between w:val="nil"/>
          <w:bar w:val="nil"/>
        </w:pBdr>
        <w:spacing w:before="200" w:after="80"/>
        <w:outlineLvl w:val="0"/>
        <w:rPr>
          <w:rFonts w:ascii="Times New Roman" w:eastAsia="Arial Unicode MS" w:hAnsi="Times New Roman" w:cs="Times New Roman"/>
          <w:b/>
          <w:bCs/>
          <w:color w:val="000000"/>
          <w:kern w:val="0"/>
          <w:sz w:val="28"/>
          <w:szCs w:val="28"/>
          <w:u w:color="000000"/>
          <w:bdr w:val="nil"/>
          <w:lang w:val="en-US" w:eastAsia="en-GB"/>
          <w14:ligatures w14:val="none"/>
        </w:rPr>
      </w:pPr>
      <w:r w:rsidRPr="00EF34C7">
        <w:rPr>
          <w:rFonts w:ascii="Times New Roman" w:eastAsia="Verdana" w:hAnsi="Times New Roman" w:cs="Times New Roman"/>
          <w:b/>
          <w:bCs/>
          <w:color w:val="000000"/>
          <w:kern w:val="0"/>
          <w:sz w:val="28"/>
          <w:szCs w:val="28"/>
          <w:u w:color="000000"/>
          <w:bdr w:val="nil"/>
          <w:lang w:val="en-US" w:eastAsia="en-GB"/>
          <w14:ligatures w14:val="none"/>
        </w:rPr>
        <w:lastRenderedPageBreak/>
        <w:t>I</w:t>
      </w:r>
      <w:r w:rsidRPr="00EF34C7">
        <w:rPr>
          <w:rFonts w:ascii="Times New Roman" w:eastAsia="Arial Unicode MS" w:hAnsi="Times New Roman" w:cs="Times New Roman"/>
          <w:b/>
          <w:bCs/>
          <w:color w:val="000000"/>
          <w:kern w:val="0"/>
          <w:sz w:val="28"/>
          <w:szCs w:val="28"/>
          <w:u w:color="000000"/>
          <w:bdr w:val="nil"/>
          <w:lang w:val="en-US" w:eastAsia="en-GB"/>
          <w14:ligatures w14:val="none"/>
        </w:rPr>
        <w:t>ntroduction</w:t>
      </w:r>
    </w:p>
    <w:p w14:paraId="5F3AF65A"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t>Background and rationale {6a}</w:t>
      </w:r>
    </w:p>
    <w:p w14:paraId="7409D0C8"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Each year, 4.3 million people die from trauma </w:t>
      </w:r>
      <w:r w:rsidRPr="00EF34C7">
        <w:rPr>
          <w:rFonts w:ascii="Times New Roman" w:eastAsia="Times New Roman" w:hAnsi="Times New Roman" w:cs="Times New Roman"/>
          <w:kern w:val="0"/>
          <w:u w:color="004C7F"/>
          <w:lang w:eastAsia="en-GB"/>
          <w14:ligatures w14:val="none"/>
        </w:rPr>
        <w:fldChar w:fldCharType="begin"/>
      </w:r>
      <w:r w:rsidRPr="00EF34C7">
        <w:rPr>
          <w:rFonts w:ascii="Times New Roman" w:eastAsia="Times New Roman" w:hAnsi="Times New Roman" w:cs="Times New Roman"/>
          <w:kern w:val="0"/>
          <w:u w:color="004C7F"/>
          <w:lang w:eastAsia="en-GB"/>
          <w14:ligatures w14:val="none"/>
        </w:rPr>
        <w:instrText xml:space="preserve"> ADDIN ZOTERO_ITEM CSL_CITATION {"citationID":"dy1JDYeY","properties":{"formattedCitation":"(1)","plainCitation":"(1)","noteIndex":0},"citationItems":[{"id":1990,"uris":["http://zotero.org/users/6304864/items/FYZTTFF5"],"itemData":{"id":1990,"type":"article-journal","container-title":"Lancet","issue":"10440","page":"1951-2262","title":"Injuries - Level 1 cause","volume":"403","author":[{"literal":"GBD 2021 Collaborators"}],"issued":{"date-parts":[["2024",5,18]]}},"locator":"1"}],"schema":"https://github.com/citation-style-language/schema/raw/master/csl-citation.json"} </w:instrText>
      </w:r>
      <w:r w:rsidRPr="00EF34C7">
        <w:rPr>
          <w:rFonts w:ascii="Times New Roman" w:eastAsia="Times New Roman" w:hAnsi="Times New Roman" w:cs="Times New Roman"/>
          <w:kern w:val="0"/>
          <w:u w:color="004C7F"/>
          <w:lang w:eastAsia="en-GB"/>
          <w14:ligatures w14:val="none"/>
        </w:rPr>
        <w:fldChar w:fldCharType="separate"/>
      </w:r>
      <w:r w:rsidRPr="00EF34C7">
        <w:rPr>
          <w:rFonts w:ascii="Times New Roman" w:eastAsia="Times New Roman" w:hAnsi="Times New Roman" w:cs="Times New Roman"/>
          <w:kern w:val="0"/>
          <w:u w:color="004C7F"/>
          <w:lang w:eastAsia="en-GB"/>
          <w14:ligatures w14:val="none"/>
        </w:rPr>
        <w:t>(1)</w:t>
      </w:r>
      <w:r w:rsidRPr="00EF34C7">
        <w:rPr>
          <w:rFonts w:ascii="Times New Roman" w:eastAsia="Times New Roman" w:hAnsi="Times New Roman" w:cs="Times New Roman"/>
          <w:kern w:val="0"/>
          <w:u w:color="004C7F"/>
          <w:lang w:eastAsia="en-GB"/>
          <w14:ligatures w14:val="none"/>
        </w:rPr>
        <w:fldChar w:fldCharType="end"/>
      </w:r>
      <w:r w:rsidRPr="00EF34C7">
        <w:rPr>
          <w:rFonts w:ascii="Times New Roman" w:eastAsia="Times New Roman" w:hAnsi="Times New Roman" w:cs="Times New Roman"/>
          <w:kern w:val="0"/>
          <w:u w:color="004C7F"/>
          <w:lang w:eastAsia="en-GB"/>
          <w14:ligatures w14:val="none"/>
        </w:rPr>
        <w:t xml:space="preserve">, and trauma is the largest cause of deaths related to poor health care quality </w:t>
      </w:r>
      <w:r w:rsidRPr="00EF34C7">
        <w:rPr>
          <w:rFonts w:ascii="Times New Roman" w:eastAsia="Times New Roman" w:hAnsi="Times New Roman" w:cs="Times New Roman"/>
          <w:kern w:val="0"/>
          <w:u w:color="004C7F"/>
          <w:lang w:eastAsia="en-GB"/>
          <w14:ligatures w14:val="none"/>
        </w:rPr>
        <w:fldChar w:fldCharType="begin"/>
      </w:r>
      <w:r w:rsidRPr="00EF34C7">
        <w:rPr>
          <w:rFonts w:ascii="Times New Roman" w:eastAsia="Times New Roman" w:hAnsi="Times New Roman" w:cs="Times New Roman"/>
          <w:kern w:val="0"/>
          <w:u w:color="004C7F"/>
          <w:lang w:eastAsia="en-GB"/>
          <w14:ligatures w14:val="none"/>
        </w:rPr>
        <w:instrText xml:space="preserve"> ADDIN ZOTERO_ITEM CSL_CITATION {"citationID":"8ICoZmQU","properties":{"formattedCitation":"(2)","plainCitation":"(2)","noteIndex":0},"citationItems":[{"id":2559,"uris":["http://zotero.org/users/6304864/items/V2AYMMB7"],"itemData":{"id":2559,"type":"book","event-place":"Washington, D.C.","ISBN":"978-0-309-47789-5","note":"DOI: 10.17226/25152","publisher":"National Academies Press","publisher-place":"Washington, D.C.","source":"National Academies Press","title":"Crossing the Global Quality Chasm: Improving Health Care Worldwide","title-short":"Crossing the Global Quality Chasm","URL":"https://www.nap.edu/catalog/25152","contributor":[{"literal":"Committee on Improving the Quality of Health Care Globally"},{"literal":"Board on Global Health"},{"literal":"Board on Health Care Services"},{"literal":"Health and Medicine Division"},{"literal":"National Academies of Sciences, Engineering, and Medicine"}],"accessed":{"date-parts":[["2025",9,29]]},"issued":{"date-parts":[["2018",12,27]]}}}],"schema":"https://github.com/citation-style-language/schema/raw/master/csl-citation.json"} </w:instrText>
      </w:r>
      <w:r w:rsidRPr="00EF34C7">
        <w:rPr>
          <w:rFonts w:ascii="Times New Roman" w:eastAsia="Times New Roman" w:hAnsi="Times New Roman" w:cs="Times New Roman"/>
          <w:kern w:val="0"/>
          <w:u w:color="004C7F"/>
          <w:lang w:eastAsia="en-GB"/>
          <w14:ligatures w14:val="none"/>
        </w:rPr>
        <w:fldChar w:fldCharType="separate"/>
      </w:r>
      <w:r w:rsidRPr="00EF34C7">
        <w:rPr>
          <w:rFonts w:ascii="Times New Roman" w:eastAsia="Times New Roman" w:hAnsi="Times New Roman" w:cs="Times New Roman"/>
          <w:noProof/>
          <w:kern w:val="0"/>
          <w:u w:color="004C7F"/>
          <w:lang w:eastAsia="en-GB"/>
          <w14:ligatures w14:val="none"/>
        </w:rPr>
        <w:t>(2)</w:t>
      </w:r>
      <w:r w:rsidRPr="00EF34C7">
        <w:rPr>
          <w:rFonts w:ascii="Times New Roman" w:eastAsia="Times New Roman" w:hAnsi="Times New Roman" w:cs="Times New Roman"/>
          <w:kern w:val="0"/>
          <w:u w:color="004C7F"/>
          <w:lang w:eastAsia="en-GB"/>
          <w14:ligatures w14:val="none"/>
        </w:rPr>
        <w:fldChar w:fldCharType="end"/>
      </w:r>
      <w:r w:rsidRPr="00EF34C7">
        <w:rPr>
          <w:rFonts w:ascii="Times New Roman" w:eastAsia="Times New Roman" w:hAnsi="Times New Roman" w:cs="Times New Roman"/>
          <w:kern w:val="0"/>
          <w:u w:color="004C7F"/>
          <w:lang w:eastAsia="en-GB"/>
          <w14:ligatures w14:val="none"/>
        </w:rPr>
        <w:t xml:space="preserve">. Trauma is the largest cause of disability adjusted life years among people aged 10-49-years </w:t>
      </w:r>
      <w:r w:rsidRPr="00EF34C7">
        <w:rPr>
          <w:rFonts w:ascii="Times New Roman" w:eastAsia="Times New Roman" w:hAnsi="Times New Roman" w:cs="Times New Roman"/>
          <w:kern w:val="0"/>
          <w:u w:color="004C7F"/>
          <w:lang w:eastAsia="en-GB"/>
          <w14:ligatures w14:val="none"/>
        </w:rPr>
        <w:fldChar w:fldCharType="begin"/>
      </w:r>
      <w:r w:rsidRPr="00EF34C7">
        <w:rPr>
          <w:rFonts w:ascii="Times New Roman" w:eastAsia="Times New Roman" w:hAnsi="Times New Roman" w:cs="Times New Roman"/>
          <w:kern w:val="0"/>
          <w:u w:color="004C7F"/>
          <w:lang w:eastAsia="en-GB"/>
          <w14:ligatures w14:val="none"/>
        </w:rPr>
        <w:instrText xml:space="preserve"> ADDIN ZOTERO_ITEM CSL_CITATION {"citationID":"nZPsEC3G","properties":{"formattedCitation":"(3)","plainCitation":"(3)","noteIndex":0},"citationItems":[{"id":57,"uris":["http://zotero.org/users/6304864/items/54KHJCYJ"],"itemData":{"id":57,"type":"article-journal","container-title":"The Lancet","DOI":"10.1016/s0140-6736(20)30925-9","ISSN":"0140-6736","issue":"10258","note":"publisher: Elsevier BV","page":"1204–1222","title":"Global burden of 369 diseases and injuries in 204 countries and territories, 1990–2019: a systematic analysis for the Global Burden of Disease Study 2019","volume":"396","author":[{"literal":"GBD 2019 Diseases and Injuries Collaborators"}],"issued":{"date-parts":[["2020",10]]}}}],"schema":"https://github.com/citation-style-language/schema/raw/master/csl-citation.json"} </w:instrText>
      </w:r>
      <w:r w:rsidRPr="00EF34C7">
        <w:rPr>
          <w:rFonts w:ascii="Times New Roman" w:eastAsia="Times New Roman" w:hAnsi="Times New Roman" w:cs="Times New Roman"/>
          <w:kern w:val="0"/>
          <w:u w:color="004C7F"/>
          <w:lang w:eastAsia="en-GB"/>
          <w14:ligatures w14:val="none"/>
        </w:rPr>
        <w:fldChar w:fldCharType="separate"/>
      </w:r>
      <w:r w:rsidRPr="00EF34C7">
        <w:rPr>
          <w:rFonts w:ascii="Times New Roman" w:eastAsia="Times New Roman" w:hAnsi="Times New Roman" w:cs="Times New Roman"/>
          <w:kern w:val="0"/>
          <w:u w:color="004C7F"/>
          <w:lang w:eastAsia="en-GB"/>
          <w14:ligatures w14:val="none"/>
        </w:rPr>
        <w:t>(3)</w:t>
      </w:r>
      <w:r w:rsidRPr="00EF34C7">
        <w:rPr>
          <w:rFonts w:ascii="Times New Roman" w:eastAsia="Times New Roman" w:hAnsi="Times New Roman" w:cs="Times New Roman"/>
          <w:kern w:val="0"/>
          <w:u w:color="004C7F"/>
          <w:lang w:eastAsia="en-GB"/>
          <w14:ligatures w14:val="none"/>
        </w:rPr>
        <w:fldChar w:fldCharType="end"/>
      </w:r>
      <w:r w:rsidRPr="00EF34C7">
        <w:rPr>
          <w:rFonts w:ascii="Times New Roman" w:eastAsia="Times New Roman" w:hAnsi="Times New Roman" w:cs="Times New Roman"/>
          <w:kern w:val="0"/>
          <w:u w:color="004C7F"/>
          <w:lang w:eastAsia="en-GB"/>
          <w14:ligatures w14:val="none"/>
        </w:rPr>
        <w:t xml:space="preserve">, and most deaths from trauma occur within the first 24-48 hours </w:t>
      </w:r>
      <w:r w:rsidRPr="00EF34C7">
        <w:rPr>
          <w:rFonts w:ascii="Times New Roman" w:eastAsia="Times New Roman" w:hAnsi="Times New Roman" w:cs="Times New Roman"/>
          <w:kern w:val="0"/>
          <w:u w:color="004C7F"/>
          <w:lang w:eastAsia="en-GB"/>
          <w14:ligatures w14:val="none"/>
        </w:rPr>
        <w:fldChar w:fldCharType="begin"/>
      </w:r>
      <w:r w:rsidRPr="00EF34C7">
        <w:rPr>
          <w:rFonts w:ascii="Times New Roman" w:eastAsia="Times New Roman" w:hAnsi="Times New Roman" w:cs="Times New Roman"/>
          <w:kern w:val="0"/>
          <w:u w:color="004C7F"/>
          <w:lang w:eastAsia="en-GB"/>
          <w14:ligatures w14:val="none"/>
        </w:rPr>
        <w:instrText xml:space="preserve"> ADDIN ZOTERO_ITEM CSL_CITATION {"citationID":"P2f4EkWF","properties":{"formattedCitation":"(4)","plainCitation":"(4)","noteIndex":0},"citationItems":[{"id":141,"uris":["http://zotero.org/users/6304864/items/M6LLLHCH"],"itemData":{"id":141,"type":"article-journal","container-title":"PLOS ONE","DOI":"10.1371/journal.pone.0212095","ISSN":"1932-6203","issue":"2","note":"publisher: Public Library of Science (PLoS)","page":"e0212095","title":"Changes in the temporal distribution of in-hospital mortality in severely injured patients—An analysis of the TraumaRegister DGU","volume":"14","author":[{"family":"Rauf","given":"Rauend"},{"family":"Matthey","given":"Francesca","non-dropping-particle":"von"},{"family":"Croenlein","given":"Moritz"},{"family":"Zyskowski","given":"Michael"},{"family":"Griensven","given":"Martijn","non-dropping-particle":"van"},{"family":"Biberthaler","given":"Peter"},{"family":"Lefering","given":"Rolf"},{"family":"Huber-Wagner","given":"Stefan"}],"editor":[{"family":"Patman","given":"Shane"}],"issued":{"date-parts":[["2019",2]]}}}],"schema":"https://github.com/citation-style-language/schema/raw/master/csl-citation.json"} </w:instrText>
      </w:r>
      <w:r w:rsidRPr="00EF34C7">
        <w:rPr>
          <w:rFonts w:ascii="Times New Roman" w:eastAsia="Times New Roman" w:hAnsi="Times New Roman" w:cs="Times New Roman"/>
          <w:kern w:val="0"/>
          <w:u w:color="004C7F"/>
          <w:lang w:eastAsia="en-GB"/>
          <w14:ligatures w14:val="none"/>
        </w:rPr>
        <w:fldChar w:fldCharType="separate"/>
      </w:r>
      <w:r w:rsidRPr="00EF34C7">
        <w:rPr>
          <w:rFonts w:ascii="Times New Roman" w:eastAsia="Times New Roman" w:hAnsi="Times New Roman" w:cs="Times New Roman"/>
          <w:kern w:val="0"/>
          <w:u w:color="004C7F"/>
          <w:lang w:eastAsia="en-GB"/>
          <w14:ligatures w14:val="none"/>
        </w:rPr>
        <w:t>(4)</w:t>
      </w:r>
      <w:r w:rsidRPr="00EF34C7">
        <w:rPr>
          <w:rFonts w:ascii="Times New Roman" w:eastAsia="Times New Roman" w:hAnsi="Times New Roman" w:cs="Times New Roman"/>
          <w:kern w:val="0"/>
          <w:u w:color="004C7F"/>
          <w:lang w:eastAsia="en-GB"/>
          <w14:ligatures w14:val="none"/>
        </w:rPr>
        <w:fldChar w:fldCharType="end"/>
      </w:r>
      <w:r w:rsidRPr="00EF34C7">
        <w:rPr>
          <w:rFonts w:ascii="Times New Roman" w:eastAsia="Times New Roman" w:hAnsi="Times New Roman" w:cs="Times New Roman"/>
          <w:kern w:val="0"/>
          <w:u w:color="004C7F"/>
          <w:lang w:eastAsia="en-GB"/>
          <w14:ligatures w14:val="none"/>
        </w:rPr>
        <w:t xml:space="preserve">. Traumatic brain injury and exsanguination are the most common causes of trauma related deaths </w:t>
      </w:r>
      <w:r w:rsidRPr="00EF34C7">
        <w:rPr>
          <w:rFonts w:ascii="Times New Roman" w:eastAsia="Times New Roman" w:hAnsi="Times New Roman" w:cs="Times New Roman"/>
          <w:kern w:val="0"/>
          <w:u w:color="004C7F"/>
          <w:lang w:eastAsia="en-GB"/>
          <w14:ligatures w14:val="none"/>
        </w:rPr>
        <w:fldChar w:fldCharType="begin"/>
      </w:r>
      <w:r w:rsidRPr="00EF34C7">
        <w:rPr>
          <w:rFonts w:ascii="Times New Roman" w:eastAsia="Times New Roman" w:hAnsi="Times New Roman" w:cs="Times New Roman"/>
          <w:kern w:val="0"/>
          <w:u w:color="004C7F"/>
          <w:lang w:eastAsia="en-GB"/>
          <w14:ligatures w14:val="none"/>
        </w:rPr>
        <w:instrText xml:space="preserve"> ADDIN ZOTERO_ITEM CSL_CITATION {"citationID":"v1mMWo0O","properties":{"formattedCitation":"(5,6)","plainCitation":"(5,6)","noteIndex":0},"citationItems":[{"id":148,"uris":["http://zotero.org/users/6304864/items/RHFUKWJQ"],"itemData":{"id":148,"type":"article-journal","container-title":"BMC Health Services Research","DOI":"10.1186/s12913-017-2085-7","ISSN":"1472-6963","issue":"1","note":"publisher: Springer Science and Business Media LLC","title":"Learning from 2523 trauma deaths in India- opportunities to prevent in-hospital deaths","URL":"http://dx.doi.org/10.1186/s12913-017-2085-7","volume":"17","author":[{"family":"Roy","given":"Nobhojit"},{"family":"Kizhakke Veetil","given":"Deepa"},{"family":"Khajanchi","given":"Monty Uttam"},{"family":"Kumar","given":"Vineet"},{"family":"Solomon","given":"Harris"},{"family":"Kamble","given":"Jyoti"},{"family":"Basak","given":"Debojit"},{"family":"Tomson","given":"Göran"},{"family":"Schreeb","given":"Johan","non-dropping-particle":"von"}],"issued":{"date-parts":[["2017",2]]}}},{"id":462,"uris":["http://zotero.org/users/6304864/items/2IA7FJ3H"],"itemData":{"id":462,"type":"article-journal","abstract":"BACKGROUND: Historically, hemorrhage has been attributed as the leading cause (40%) of early death. However, a rigorous, real-time classification of the cause of death (COD) has not been performed. This study sought to prospectively adjudicate and classify COD to determine the epidemiology of trauma mortality.\nMETHODS: Eighteen trauma centers prospectively enrolled all adult trauma patients at the time of death during December 2015 to August 2017. Immediately following death, attending providers adjudicated the primary and contributing secondary COD using standardized definitions. Data were confirmed by autopsies, if performed.\nRESULTS: One thousand five hundred thirty-six patients were enrolled with a median age of 55 years (interquartile range, 32–75 years), 74.5% were male. Penetrating mechanism (n = 412) patients were younger (32 vs. 64, p &lt; 0.0001) and more likely to be male (86.7% vs. 69.9%, p &lt; 0.0001). Falls were the most common mechanism of injury (26.6%), with gunshot wounds second (24.3%). The most common overall primary COD was traumatic brain injury (TBI) (45%), followed by exsanguination (23%). Traumatic brain injury was nonsurvivable in 82.2% of cases. Blunt patients were more likely to have TBI (47.8% vs. 37.4%, p &lt; 0.0001) and penetrating patients exsanguination (51.7% vs. 12.5%, p &lt; 0.0001) as the primary COD. Exsanguination was the predominant prehospital (44.7%) and early COD (39.1%) with TBI as the most common later. Penetrating mechanism patients died earlier with 80.1% on day 0 (vs. 38.5%, p &lt; 0.0001). Most deaths were deemed disease-related (69.3%), rather than by limitation of further aggressive care (30.7%). Hemorrhage was a contributing cause to 38.8% of deaths that occurred due to withdrawal of care.\nCONCLUSION:","container-title":"Journal of Trauma and Acute Care Surgery","DOI":"10.1097/TA.0000000000002205","ISSN":"2163-0763, 2163-0755","issue":"5","journalAbbreviation":"J Trauma Acute Care Surg","language":"en","page":"864-870","source":"DOI.org (Crossref)","title":"The why and how our trauma patients die: A prospective Multicenter Western Trauma Association study","title-short":"The why and how our trauma patients die","volume":"86","author":[{"family":"Callcut","given":"Rachael A."},{"family":"Kornblith","given":"Lucy Z."},{"family":"Conroy","given":"Amanda S."},{"family":"Robles","given":"Anamaria J."},{"family":"Meizoso","given":"Jonathan P."},{"family":"Namias","given":"Nicholas"},{"family":"Meyer","given":"David E."},{"family":"Haymaker","given":"Amanda"},{"family":"Truitt","given":"Michael S."},{"family":"Agrawal","given":"Vaidehi"},{"family":"Haan","given":"James M."},{"family":"Lightwine","given":"Kelly L."},{"family":"Porter","given":"John M."},{"family":"San Roman","given":"Janika L."},{"family":"Biffl","given":"Walter L."},{"family":"Hayashi","given":"Michael S."},{"family":"Sise","given":"Michael J."},{"family":"Badiee","given":"Jayraan"},{"family":"Recinos","given":"Gustavo"},{"family":"Inaba","given":"Kenji"},{"family":"Schroeppel","given":"Thomas J."},{"family":"Callaghan","given":"Emma"},{"family":"Dunn","given":"Julie A."},{"family":"Godin","given":"Samuel"},{"family":"McIntyre","given":"Robert C."},{"family":"Peltz","given":"Erik D."},{"family":"O'Neill","given":"Patrick J."},{"family":"Diven","given":"Conrad F."},{"family":"Scifres","given":"Aaron M."},{"family":"Switzer","given":"Emily E."},{"family":"West","given":"Michaela A."},{"family":"Storrs","given":"Sarah"},{"family":"Cullinane","given":"Daniel C."},{"family":"Cordova","given":"John F."},{"family":"Moore","given":"Ernest E."},{"family":"Moore","given":"Hunter B."},{"family":"Privette","given":"Alicia R."},{"family":"Eriksson","given":"Evert A."},{"family":"Cohen","given":"Mitchell Jay"}],"issued":{"date-parts":[["2019",5]]}}}],"schema":"https://github.com/citation-style-language/schema/raw/master/csl-citation.json"} </w:instrText>
      </w:r>
      <w:r w:rsidRPr="00EF34C7">
        <w:rPr>
          <w:rFonts w:ascii="Times New Roman" w:eastAsia="Times New Roman" w:hAnsi="Times New Roman" w:cs="Times New Roman"/>
          <w:kern w:val="0"/>
          <w:u w:color="004C7F"/>
          <w:lang w:eastAsia="en-GB"/>
          <w14:ligatures w14:val="none"/>
        </w:rPr>
        <w:fldChar w:fldCharType="separate"/>
      </w:r>
      <w:r w:rsidRPr="00EF34C7">
        <w:rPr>
          <w:rFonts w:ascii="Times New Roman" w:eastAsia="Times New Roman" w:hAnsi="Times New Roman" w:cs="Times New Roman"/>
          <w:kern w:val="0"/>
          <w:u w:color="004C7F"/>
          <w:lang w:eastAsia="en-GB"/>
          <w14:ligatures w14:val="none"/>
        </w:rPr>
        <w:t>(5,6)</w:t>
      </w:r>
      <w:r w:rsidRPr="00EF34C7">
        <w:rPr>
          <w:rFonts w:ascii="Times New Roman" w:eastAsia="Times New Roman" w:hAnsi="Times New Roman" w:cs="Times New Roman"/>
          <w:kern w:val="0"/>
          <w:u w:color="004C7F"/>
          <w:lang w:eastAsia="en-GB"/>
          <w14:ligatures w14:val="none"/>
        </w:rPr>
        <w:fldChar w:fldCharType="end"/>
      </w:r>
      <w:r w:rsidRPr="00EF34C7">
        <w:rPr>
          <w:rFonts w:ascii="Times New Roman" w:eastAsia="Times New Roman" w:hAnsi="Times New Roman" w:cs="Times New Roman"/>
          <w:kern w:val="0"/>
          <w:u w:color="004C7F"/>
          <w:lang w:eastAsia="en-GB"/>
          <w14:ligatures w14:val="none"/>
        </w:rPr>
        <w:t xml:space="preserve">. Most preventable trauma deaths from trauma are caused by errors in clinical judgement during initial resuscitation or early care, including airway management and haemorrhage control, even when the deaths occur later during the hospital stay </w:t>
      </w:r>
      <w:r w:rsidRPr="00EF34C7">
        <w:rPr>
          <w:rFonts w:ascii="Times New Roman" w:eastAsia="Times New Roman" w:hAnsi="Times New Roman" w:cs="Times New Roman"/>
          <w:kern w:val="0"/>
          <w:u w:color="004C7F"/>
          <w:lang w:eastAsia="en-GB"/>
          <w14:ligatures w14:val="none"/>
        </w:rPr>
        <w:fldChar w:fldCharType="begin"/>
      </w:r>
      <w:r w:rsidRPr="00EF34C7">
        <w:rPr>
          <w:rFonts w:ascii="Times New Roman" w:eastAsia="Times New Roman" w:hAnsi="Times New Roman" w:cs="Times New Roman"/>
          <w:kern w:val="0"/>
          <w:u w:color="004C7F"/>
          <w:lang w:eastAsia="en-GB"/>
          <w14:ligatures w14:val="none"/>
        </w:rPr>
        <w:instrText xml:space="preserve"> ADDIN ZOTERO_ITEM CSL_CITATION {"citationID":"fzZg6Z98","properties":{"formattedCitation":"(5,7)","plainCitation":"(5,7)","noteIndex":0},"citationItems":[{"id":148,"uris":["http://zotero.org/users/6304864/items/RHFUKWJQ"],"itemData":{"id":148,"type":"article-journal","container-title":"BMC Health Services Research","DOI":"10.1186/s12913-017-2085-7","ISSN":"1472-6963","issue":"1","note":"publisher: Springer Science and Business Media LLC","title":"Learning from 2523 trauma deaths in India- opportunities to prevent in-hospital deaths","URL":"http://dx.doi.org/10.1186/s12913-017-2085-7","volume":"17","author":[{"family":"Roy","given":"Nobhojit"},{"family":"Kizhakke Veetil","given":"Deepa"},{"family":"Khajanchi","given":"Monty Uttam"},{"family":"Kumar","given":"Vineet"},{"family":"Solomon","given":"Harris"},{"family":"Kamble","given":"Jyoti"},{"family":"Basak","given":"Debojit"},{"family":"Tomson","given":"Göran"},{"family":"Schreeb","given":"Johan","non-dropping-particle":"von"}],"issued":{"date-parts":[["2017",2]]}}},{"id":64,"uris":["http://zotero.org/users/6304864/items/YAAQYA5P"],"itemData":{"id":64,"type":"article-journal","container-title":"Acta Anaesthesiologica Scandinavica","DOI":"10.1111/aas.13151","ISSN":"0001-5172","issue":"8","note":"publisher: Wiley","page":"1146–1153","title":"Analysis of preventable deaths and errors in trauma care in a Scandinavian trauma level-I centre","volume":"62","author":[{"family":"Ghorbani","given":"P."},{"family":"Strömmer","given":"L."}],"issued":{"date-parts":[["2018",5]]}}}],"schema":"https://github.com/citation-style-language/schema/raw/master/csl-citation.json"} </w:instrText>
      </w:r>
      <w:r w:rsidRPr="00EF34C7">
        <w:rPr>
          <w:rFonts w:ascii="Times New Roman" w:eastAsia="Times New Roman" w:hAnsi="Times New Roman" w:cs="Times New Roman"/>
          <w:kern w:val="0"/>
          <w:u w:color="004C7F"/>
          <w:lang w:eastAsia="en-GB"/>
          <w14:ligatures w14:val="none"/>
        </w:rPr>
        <w:fldChar w:fldCharType="separate"/>
      </w:r>
      <w:r w:rsidRPr="00EF34C7">
        <w:rPr>
          <w:rFonts w:ascii="Times New Roman" w:eastAsia="Times New Roman" w:hAnsi="Times New Roman" w:cs="Times New Roman"/>
          <w:kern w:val="0"/>
          <w:u w:color="004C7F"/>
          <w:lang w:eastAsia="en-GB"/>
          <w14:ligatures w14:val="none"/>
        </w:rPr>
        <w:t>(5,7)</w:t>
      </w:r>
      <w:r w:rsidRPr="00EF34C7">
        <w:rPr>
          <w:rFonts w:ascii="Times New Roman" w:eastAsia="Times New Roman" w:hAnsi="Times New Roman" w:cs="Times New Roman"/>
          <w:kern w:val="0"/>
          <w:u w:color="004C7F"/>
          <w:lang w:eastAsia="en-GB"/>
          <w14:ligatures w14:val="none"/>
        </w:rPr>
        <w:fldChar w:fldCharType="end"/>
      </w:r>
      <w:r w:rsidRPr="00EF34C7">
        <w:rPr>
          <w:rFonts w:ascii="Times New Roman" w:eastAsia="Times New Roman" w:hAnsi="Times New Roman" w:cs="Times New Roman"/>
          <w:kern w:val="0"/>
          <w:u w:color="004C7F"/>
          <w:lang w:eastAsia="en-GB"/>
          <w14:ligatures w14:val="none"/>
        </w:rPr>
        <w:t>.</w:t>
      </w:r>
    </w:p>
    <w:p w14:paraId="379B6CB0"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Several trauma life support training programmes have been developed to improve the early management of patients in hospitals by providing a structured framework for assessment and treatment </w:t>
      </w:r>
      <w:r w:rsidRPr="00EF34C7">
        <w:rPr>
          <w:rFonts w:ascii="Times New Roman" w:eastAsia="Times New Roman" w:hAnsi="Times New Roman" w:cs="Times New Roman"/>
          <w:kern w:val="0"/>
          <w:u w:color="004C7F"/>
          <w:lang w:eastAsia="en-GB"/>
          <w14:ligatures w14:val="none"/>
        </w:rPr>
        <w:fldChar w:fldCharType="begin"/>
      </w:r>
      <w:r w:rsidRPr="00EF34C7">
        <w:rPr>
          <w:rFonts w:ascii="Times New Roman" w:eastAsia="Times New Roman" w:hAnsi="Times New Roman" w:cs="Times New Roman"/>
          <w:kern w:val="0"/>
          <w:u w:color="004C7F"/>
          <w:lang w:eastAsia="en-GB"/>
          <w14:ligatures w14:val="none"/>
        </w:rPr>
        <w:instrText xml:space="preserve"> ADDIN ZOTERO_ITEM CSL_CITATION {"citationID":"iwMpz04i","properties":{"formattedCitation":"(8\\uc0\\u8211{}12)","plainCitation":"(8–12)","noteIndex":0},"citationItems":[{"id":117,"uris":["http://zotero.org/users/6304864/items/9MHTX5CZ"],"itemData":{"id":117,"type":"article-journal","container-title":"World Journal of Surgery","DOI":"10.1007/s00268-013-2294-0","ISSN":"1432-2323","issue":"2","note":"publisher: Springer Science and Business Media LLC","page":"322–329","title":"Educational and Clinical Impact of Advanced Trauma Life Support (ATLS) Courses: A Systematic Review","volume":"38","author":[{"family":"Mohammad","given":"Alshafi"},{"family":"Branicki","given":"Frank"},{"family":"Abu-Zidan","given":"Fikri M."}],"issued":{"date-parts":[["2013",10]]}}},{"id":93,"uris":["http://zotero.org/users/6304864/items/QT5EIRN2"],"itemData":{"id":93,"type":"article-journal","container-title":"Cochrane Database of Systematic Reviews","DOI":"10.1002/14651858.cd004173.pub4","ISSN":"1465-1858","note":"publisher: Wiley","title":"Advanced trauma life support training for hospital staff","URL":"http://dx.doi.org/10.1002/14651858.CD004173.pub4","author":[{"family":"Jayaraman","given":"Sudha"},{"family":"Sethi","given":"Dinesh"},{"family":"Chinnock","given":"Paul"},{"family":"Wong","given":"Roger"}],"issued":{"date-parts":[["2014",8]]}}},{"id":96,"uris":["http://zotero.org/users/6304864/items/8879QKVQ"],"itemData":{"id":96,"type":"article-journal","container-title":"Injury","DOI":"10.1016/j.injury.2019.10.084","ISSN":"0020-1383","issue":"2","note":"publisher: Elsevier BV","page":"136–141","title":"Are Primary Trauma Care (PTC) courses beneficial in low- and middle-income countries - A systematic review","volume":"51","author":[{"family":"Kadhum","given":"Murtaza"},{"family":"Sinclair","given":"Pierre"},{"family":"Lavy","given":"Chris"}],"issued":{"date-parts":[["2020",2]]}}},{"id":94,"uris":["http://zotero.org/users/6304864/items/Y6ESL52D"],"itemData":{"id":94,"type":"article-journal","container-title":"World Journal of Surgery","DOI":"10.1007/s00268-021-06065-9","ISSN":"1432-2323","issue":"7","note":"publisher: Springer Science and Business Media LLC","page":"1982–1998","title":"Effectiveness of Quality Improvement Processes, Interventions, and Structure in Trauma Systems in Low- and Middle-Income Countries: A Systematic Review and Meta-analysis","volume":"45","author":[{"family":"Jin","given":"James"},{"family":"Akau’ola","given":"Salesi’"},{"family":"Yip","given":"Cheng-Har"},{"family":"Nthumba","given":"Peter"},{"family":"Ameh","given":"Emmanuel A."},{"family":"Jonge","given":"Stijn","non-dropping-particle":"de"},{"family":"Mehes","given":"Mira"},{"family":"Waiqanabete","given":"Iferemi"},{"family":"Henry","given":"Jaymie"},{"family":"Hill","given":"Andrew"}],"issued":{"date-parts":[["2021",4]]}}},{"id":741,"uris":["http://zotero.org/users/6304864/items/2XDFLSQQ"],"itemData":{"id":741,"type":"article-journal","abstract":"Background: Due to complex geography and resource constraints, trauma patients are often initially transported to community or rural facilities rather than a larger Level I or II trauma center. The objective of this scoping review was to synthesize evidence on interventions that improved the quality of trauma care and/or reduced healthcare costs at non-Level I or II facilities.\nMethods: A scoping review was performed to identify studies implementing a Quality Improvement (QI) initiative at a non-major trauma center (i.e., non-Level I or II trauma center [or equivalent]). We searched 3 electronic databases (MEDLINE, Embase, CINAHL) and the grey literature (relevant networks, organizations/associations). Methodological quality was evaluated using NIH and JBI study quality assessment tools. Studies were included if they evaluated the effect of implementing a trauma care QI initiative on one or more of the following: 1) trauma outcomes (mortality, morbidity); 2) system outcomes (e.g., length of stay [LOS], transfer times, provider factors); 3) provider knowledge or perception; or 4) healthcare costs. Pediatric trauma, pre-hospital and tele-trauma specific studies were excluded.\nResults: Of 1046 data sources screened, 36 were included for full review (29 journal articles, 7 abstracts/posters without full text). Educational initiatives including the Rural Trauma Team Development Course and the Advanced Trauma Life Support course were the most common QI interventions investigated. Study outcomes included process metrics such as transfer time to tertiary care and hospital LOS, along with measures of provider perception and knowledge. Improvement in mortality was reported in a single study evaluating the impact of establishing a dedicated trauma service at a community hospital.\nConclusions: Our review captured a broad spectrum of trauma QI projects implemented at non-major trauma centers. Educational interventions did result in process outcome improvements and high rates of self-reported improvements in trauma care. Given the heterogeneous capabilities of community and rural hospitals, there is no panacea for trauma QI at these facilities. Future research should focus on patient outcomes like mortality and morbidity, and locally relevant initiatives.","container-title":"Injury","DOI":"10.1016/j.injury.2024.111492","ISSN":"00201383","issue":"6","journalAbbreviation":"Injury","language":"en","page":"111492","source":"DOI.org (Crossref)","title":"Effect of trauma quality improvement initiatives on outcomes and costs at community hospitals: A scoping review","title-short":"Effect of trauma quality improvement initiatives on outcomes and costs at community hospitals","volume":"55","author":[{"family":"McIver","given":"Reba"},{"family":"Erdogan","given":"Mete"},{"family":"Parker","given":"Robin"},{"family":"Evans","given":"Allyson"},{"family":"Green","given":"Robert"},{"family":"Gomez","given":"David"},{"family":"Johnston","given":"Tyler"}],"issued":{"date-parts":[["2024",6]]}}}],"schema":"https://github.com/citation-style-language/schema/raw/master/csl-citation.json"} </w:instrText>
      </w:r>
      <w:r w:rsidRPr="00EF34C7">
        <w:rPr>
          <w:rFonts w:ascii="Times New Roman" w:eastAsia="Times New Roman" w:hAnsi="Times New Roman" w:cs="Times New Roman"/>
          <w:kern w:val="0"/>
          <w:u w:color="004C7F"/>
          <w:lang w:eastAsia="en-GB"/>
          <w14:ligatures w14:val="none"/>
        </w:rPr>
        <w:fldChar w:fldCharType="separate"/>
      </w:r>
      <w:r w:rsidRPr="00EF34C7">
        <w:rPr>
          <w:rFonts w:ascii="Times New Roman" w:eastAsia="Arial Unicode MS" w:hAnsi="Times New Roman" w:cs="Times New Roman"/>
          <w:kern w:val="0"/>
          <w:u w:color="004C7F"/>
          <w:bdr w:val="nil"/>
          <w:lang w:val="en-GB" w:eastAsia="en-GB"/>
          <w14:ligatures w14:val="none"/>
        </w:rPr>
        <w:t>(8–12)</w:t>
      </w:r>
      <w:r w:rsidRPr="00EF34C7">
        <w:rPr>
          <w:rFonts w:ascii="Times New Roman" w:eastAsia="Times New Roman" w:hAnsi="Times New Roman" w:cs="Times New Roman"/>
          <w:kern w:val="0"/>
          <w:u w:color="004C7F"/>
          <w:lang w:eastAsia="en-GB"/>
          <w14:ligatures w14:val="none"/>
        </w:rPr>
        <w:fldChar w:fldCharType="end"/>
      </w:r>
      <w:r w:rsidRPr="00EF34C7">
        <w:rPr>
          <w:rFonts w:ascii="Times New Roman" w:eastAsia="Times New Roman" w:hAnsi="Times New Roman" w:cs="Times New Roman"/>
          <w:kern w:val="0"/>
          <w:u w:color="004C7F"/>
          <w:lang w:eastAsia="en-GB"/>
          <w14:ligatures w14:val="none"/>
        </w:rPr>
        <w:t xml:space="preserve">. The proprietary Advanced Trauma Life Support® (ATLS®) is the most established trauma life support training programme and more than one million physicians in over 80 countries have been trained in the programme since the first course in 1978 </w:t>
      </w:r>
      <w:r w:rsidRPr="00EF34C7">
        <w:rPr>
          <w:rFonts w:ascii="Times New Roman" w:eastAsia="Times New Roman" w:hAnsi="Times New Roman" w:cs="Times New Roman"/>
          <w:kern w:val="0"/>
          <w:u w:color="004C7F"/>
          <w:lang w:eastAsia="en-GB"/>
          <w14:ligatures w14:val="none"/>
        </w:rPr>
        <w:fldChar w:fldCharType="begin"/>
      </w:r>
      <w:r w:rsidRPr="00EF34C7">
        <w:rPr>
          <w:rFonts w:ascii="Times New Roman" w:eastAsia="Times New Roman" w:hAnsi="Times New Roman" w:cs="Times New Roman"/>
          <w:kern w:val="0"/>
          <w:u w:color="004C7F"/>
          <w:lang w:eastAsia="en-GB"/>
          <w14:ligatures w14:val="none"/>
        </w:rPr>
        <w:instrText xml:space="preserve"> ADDIN ZOTERO_ITEM CSL_CITATION {"citationID":"IKri1sQV","properties":{"formattedCitation":"(13)","plainCitation":"(13)","noteIndex":0},"citationItems":[{"id":4,"uris":["http://zotero.org/users/6304864/items/EMM4BBSS"],"itemData":{"id":4,"type":"book","edition":"10th","event-place":"633 N. Saint Clair Street, Chicago, IL 60611-3211","publisher":"American College of Surgeons","publisher-place":"633 N. Saint Clair Street, Chicago, IL 60611-3211","title":"Advanced Trauma Life Support® Student Course Manual","author":[{"family":"American College of Surgeons","given":"Committee on Trauma"}],"issued":{"date-parts":[["2018"]]}}}],"schema":"https://github.com/citation-style-language/schema/raw/master/csl-citation.json"} </w:instrText>
      </w:r>
      <w:r w:rsidRPr="00EF34C7">
        <w:rPr>
          <w:rFonts w:ascii="Times New Roman" w:eastAsia="Times New Roman" w:hAnsi="Times New Roman" w:cs="Times New Roman"/>
          <w:kern w:val="0"/>
          <w:u w:color="004C7F"/>
          <w:lang w:eastAsia="en-GB"/>
          <w14:ligatures w14:val="none"/>
        </w:rPr>
        <w:fldChar w:fldCharType="separate"/>
      </w:r>
      <w:r w:rsidRPr="00EF34C7">
        <w:rPr>
          <w:rFonts w:ascii="Times New Roman" w:eastAsia="Times New Roman" w:hAnsi="Times New Roman" w:cs="Times New Roman"/>
          <w:kern w:val="0"/>
          <w:u w:color="004C7F"/>
          <w:lang w:eastAsia="en-GB"/>
          <w14:ligatures w14:val="none"/>
        </w:rPr>
        <w:t>(13)</w:t>
      </w:r>
      <w:r w:rsidRPr="00EF34C7">
        <w:rPr>
          <w:rFonts w:ascii="Times New Roman" w:eastAsia="Times New Roman" w:hAnsi="Times New Roman" w:cs="Times New Roman"/>
          <w:kern w:val="0"/>
          <w:u w:color="004C7F"/>
          <w:lang w:eastAsia="en-GB"/>
          <w14:ligatures w14:val="none"/>
        </w:rPr>
        <w:fldChar w:fldCharType="end"/>
      </w:r>
      <w:r w:rsidRPr="00EF34C7">
        <w:rPr>
          <w:rFonts w:ascii="Times New Roman" w:eastAsia="Times New Roman" w:hAnsi="Times New Roman" w:cs="Times New Roman"/>
          <w:kern w:val="0"/>
          <w:u w:color="004C7F"/>
          <w:lang w:eastAsia="en-GB"/>
          <w14:ligatures w14:val="none"/>
        </w:rPr>
        <w:t xml:space="preserve">. In the US and many other countries training in ATLS® is virtually mandatory for trauma care physicians </w:t>
      </w:r>
      <w:r w:rsidRPr="00EF34C7">
        <w:rPr>
          <w:rFonts w:ascii="Times New Roman" w:eastAsia="Times New Roman" w:hAnsi="Times New Roman" w:cs="Times New Roman"/>
          <w:kern w:val="0"/>
          <w:u w:color="004C7F"/>
          <w:lang w:eastAsia="en-GB"/>
          <w14:ligatures w14:val="none"/>
        </w:rPr>
        <w:fldChar w:fldCharType="begin"/>
      </w:r>
      <w:r w:rsidRPr="00EF34C7">
        <w:rPr>
          <w:rFonts w:ascii="Times New Roman" w:eastAsia="Times New Roman" w:hAnsi="Times New Roman" w:cs="Times New Roman"/>
          <w:kern w:val="0"/>
          <w:u w:color="004C7F"/>
          <w:lang w:eastAsia="en-GB"/>
          <w14:ligatures w14:val="none"/>
        </w:rPr>
        <w:instrText xml:space="preserve"> ADDIN ZOTERO_ITEM CSL_CITATION {"citationID":"OCN1k1z4","properties":{"formattedCitation":"(14)","plainCitation":"(14)","noteIndex":0},"citationItems":[{"id":3,"uris":["http://zotero.org/users/6304864/items/GETCU3M5"],"itemData":{"id":3,"type":"book","event-place":"Chicago, IL 60611-3295","ISBN":"978-1-7369212-9-6","publisher":"American College of Surgeons","publisher-place":"Chicago, IL 60611-3295","title":"Resources for Optimal Care of the Injured Patient","author":[{"literal":"American College of Surgeons"}],"issued":{"date-parts":[["2022"]]}}}],"schema":"https://github.com/citation-style-language/schema/raw/master/csl-citation.json"} </w:instrText>
      </w:r>
      <w:r w:rsidRPr="00EF34C7">
        <w:rPr>
          <w:rFonts w:ascii="Times New Roman" w:eastAsia="Times New Roman" w:hAnsi="Times New Roman" w:cs="Times New Roman"/>
          <w:kern w:val="0"/>
          <w:u w:color="004C7F"/>
          <w:lang w:eastAsia="en-GB"/>
          <w14:ligatures w14:val="none"/>
        </w:rPr>
        <w:fldChar w:fldCharType="separate"/>
      </w:r>
      <w:r w:rsidRPr="00EF34C7">
        <w:rPr>
          <w:rFonts w:ascii="Times New Roman" w:eastAsia="Times New Roman" w:hAnsi="Times New Roman" w:cs="Times New Roman"/>
          <w:kern w:val="0"/>
          <w:u w:color="004C7F"/>
          <w:lang w:eastAsia="en-GB"/>
          <w14:ligatures w14:val="none"/>
        </w:rPr>
        <w:t>(14)</w:t>
      </w:r>
      <w:r w:rsidRPr="00EF34C7">
        <w:rPr>
          <w:rFonts w:ascii="Times New Roman" w:eastAsia="Times New Roman" w:hAnsi="Times New Roman" w:cs="Times New Roman"/>
          <w:kern w:val="0"/>
          <w:u w:color="004C7F"/>
          <w:lang w:eastAsia="en-GB"/>
          <w14:ligatures w14:val="none"/>
        </w:rPr>
        <w:fldChar w:fldCharType="end"/>
      </w:r>
      <w:r w:rsidRPr="00EF34C7">
        <w:rPr>
          <w:rFonts w:ascii="Times New Roman" w:eastAsia="Times New Roman" w:hAnsi="Times New Roman" w:cs="Times New Roman"/>
          <w:kern w:val="0"/>
          <w:u w:color="004C7F"/>
          <w:lang w:eastAsia="en-GB"/>
          <w14:ligatures w14:val="none"/>
        </w:rPr>
        <w:t xml:space="preserve">. However, uptake in lower resourced settings has been slow, potentially due to high costs </w:t>
      </w:r>
      <w:r w:rsidRPr="00EF34C7">
        <w:rPr>
          <w:rFonts w:ascii="Times New Roman" w:eastAsia="Times New Roman" w:hAnsi="Times New Roman" w:cs="Times New Roman"/>
          <w:kern w:val="0"/>
          <w:u w:color="004C7F"/>
          <w:lang w:eastAsia="en-GB"/>
          <w14:ligatures w14:val="none"/>
        </w:rPr>
        <w:fldChar w:fldCharType="begin"/>
      </w:r>
      <w:r w:rsidRPr="00EF34C7">
        <w:rPr>
          <w:rFonts w:ascii="Times New Roman" w:eastAsia="Times New Roman" w:hAnsi="Times New Roman" w:cs="Times New Roman"/>
          <w:kern w:val="0"/>
          <w:u w:color="004C7F"/>
          <w:lang w:eastAsia="en-GB"/>
          <w14:ligatures w14:val="none"/>
        </w:rPr>
        <w:instrText xml:space="preserve"> ADDIN ZOTERO_ITEM CSL_CITATION {"citationID":"rd8yeLuj","properties":{"formattedCitation":"(10)","plainCitation":"(10)","noteIndex":0},"citationItems":[{"id":96,"uris":["http://zotero.org/users/6304864/items/8879QKVQ"],"itemData":{"id":96,"type":"article-journal","container-title":"Injury","DOI":"10.1016/j.injury.2019.10.084","ISSN":"0020-1383","issue":"2","note":"publisher: Elsevier BV","page":"136–141","title":"Are Primary Trauma Care (PTC) courses beneficial in low- and middle-income countries - A systematic review","volume":"51","author":[{"family":"Kadhum","given":"Murtaza"},{"family":"Sinclair","given":"Pierre"},{"family":"Lavy","given":"Chris"}],"issued":{"date-parts":[["2020",2]]}}}],"schema":"https://github.com/citation-style-language/schema/raw/master/csl-citation.json"} </w:instrText>
      </w:r>
      <w:r w:rsidRPr="00EF34C7">
        <w:rPr>
          <w:rFonts w:ascii="Times New Roman" w:eastAsia="Times New Roman" w:hAnsi="Times New Roman" w:cs="Times New Roman"/>
          <w:kern w:val="0"/>
          <w:u w:color="004C7F"/>
          <w:lang w:eastAsia="en-GB"/>
          <w14:ligatures w14:val="none"/>
        </w:rPr>
        <w:fldChar w:fldCharType="separate"/>
      </w:r>
      <w:r w:rsidRPr="00EF34C7">
        <w:rPr>
          <w:rFonts w:ascii="Times New Roman" w:eastAsia="Times New Roman" w:hAnsi="Times New Roman" w:cs="Times New Roman"/>
          <w:kern w:val="0"/>
          <w:u w:color="004C7F"/>
          <w:lang w:eastAsia="en-GB"/>
          <w14:ligatures w14:val="none"/>
        </w:rPr>
        <w:t>(10)</w:t>
      </w:r>
      <w:r w:rsidRPr="00EF34C7">
        <w:rPr>
          <w:rFonts w:ascii="Times New Roman" w:eastAsia="Times New Roman" w:hAnsi="Times New Roman" w:cs="Times New Roman"/>
          <w:kern w:val="0"/>
          <w:u w:color="004C7F"/>
          <w:lang w:eastAsia="en-GB"/>
          <w14:ligatures w14:val="none"/>
        </w:rPr>
        <w:fldChar w:fldCharType="end"/>
      </w:r>
      <w:r w:rsidRPr="00EF34C7">
        <w:rPr>
          <w:rFonts w:ascii="Times New Roman" w:eastAsia="Times New Roman" w:hAnsi="Times New Roman" w:cs="Times New Roman"/>
          <w:kern w:val="0"/>
          <w:u w:color="004C7F"/>
          <w:lang w:eastAsia="en-GB"/>
          <w14:ligatures w14:val="none"/>
        </w:rPr>
        <w:t>.</w:t>
      </w:r>
    </w:p>
    <w:p w14:paraId="60A5624B" w14:textId="77777777" w:rsidR="00EF34C7" w:rsidRPr="00EF34C7" w:rsidRDefault="00EF34C7" w:rsidP="00EF34C7">
      <w:pPr>
        <w:spacing w:after="120"/>
        <w:rPr>
          <w:rFonts w:ascii="Times New Roman" w:eastAsia="Times New Roman" w:hAnsi="Times New Roman" w:cs="Times New Roman"/>
          <w:color w:val="006600"/>
          <w:kern w:val="0"/>
          <w:sz w:val="20"/>
          <w:szCs w:val="2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Three randomised studies show that ATLS® improves knowledge and clinical skills </w:t>
      </w:r>
      <w:r w:rsidRPr="00EF34C7">
        <w:rPr>
          <w:rFonts w:ascii="Times New Roman" w:eastAsia="Times New Roman" w:hAnsi="Times New Roman" w:cs="Times New Roman"/>
          <w:kern w:val="0"/>
          <w:u w:color="004C7F"/>
          <w:lang w:eastAsia="en-GB"/>
          <w14:ligatures w14:val="none"/>
        </w:rPr>
        <w:fldChar w:fldCharType="begin"/>
      </w:r>
      <w:r w:rsidRPr="00EF34C7">
        <w:rPr>
          <w:rFonts w:ascii="Times New Roman" w:eastAsia="Times New Roman" w:hAnsi="Times New Roman" w:cs="Times New Roman"/>
          <w:kern w:val="0"/>
          <w:u w:color="004C7F"/>
          <w:lang w:eastAsia="en-GB"/>
          <w14:ligatures w14:val="none"/>
        </w:rPr>
        <w:instrText xml:space="preserve"> ADDIN ZOTERO_ITEM CSL_CITATION {"citationID":"QAouttsG","properties":{"formattedCitation":"(15\\uc0\\u8211{}17)","plainCitation":"(15–17)","noteIndex":0},"citationItems":[{"id":8,"uris":["http://zotero.org/users/6304864/items/9Z2GY27E"],"itemData":{"id":8,"type":"article-journal","container-title":"The Journal of Trauma: Injury, Infection, and Critical Care","ISSN":"0022-5282","issue":"5","note":"publisher: Williams &amp; Wilkins","page":"687-691","title":"Demonstration of Acquisition of Trauma Management Skills by Senior Medical Students Completing the ATLS Program","volume":"38","author":[{"family":"Ali","given":"Jameel"},{"family":"Cohen","given":"Robert"},{"family":"Reznick","given":"R"}],"issued":{"date-parts":[["1995",5]]}}},{"id":9,"uris":["http://zotero.org/users/6304864/items/DTUM4TBN"],"itemData":{"id":9,"type":"article-journal","container-title":"World Journal of Surgery","DOI":"10.1007/s002689900171","ISSN":"1432-2323","issue":"8","note":"publisher: Springer Science and Business Media LLC","page":"1121–1126","title":"Teaching Effectiveness of the Advanced Trauma Life Support Program as Demonstrated by an Objective Structured Clinical Examination for Practicing Physicians","volume":"20","author":[{"family":"Ali","given":"Jameel"},{"family":"Cohen","given":"Robert"},{"family":"Adam","given":"Rasheed"},{"family":"Theophilus J.","given":"Gana"},{"family":"Pierre","given":"Ian"},{"family":"Bedaysie","given":"Henry"},{"family":"Ali","given":"Ernest"},{"family":"West","given":"Undine"},{"family":"Winn","given":"Jennifer"}],"issued":{"date-parts":[["1996",10]]}}},{"id":11,"uris":["http://zotero.org/users/6304864/items/MYQF49CU"],"itemData":{"id":11,"type":"article-journal","container-title":"The Journal of Trauma: Injury, Infection, and Critical Care","DOI":"10.1097/00005373-199901000-00013","ISSN":"1079-6061","issue":"1","note":"publisher: Ovid Technologies (Wolters Kluwer Health)","page":"80–86","title":"Comparison of Performance of Interns Completing the Old (1993) and New Interactive (1997) Advanced Trauma Life Support Courses","volume":"46","author":[{"family":"Ali","given":"Jameel"},{"family":"Adam","given":"Rasheed U."},{"family":"Josa","given":"David"},{"family":"Pierre","given":"Ian"},{"family":"Bedaysie","given":"Henry"},{"family":"West","given":"Undine"},{"family":"Winn","given":"Jennifer"},{"family":"Haynes","given":"Beresford"}],"issued":{"date-parts":[["1999",1]]}}}],"schema":"https://github.com/citation-style-language/schema/raw/master/csl-citation.json"} </w:instrText>
      </w:r>
      <w:r w:rsidRPr="00EF34C7">
        <w:rPr>
          <w:rFonts w:ascii="Times New Roman" w:eastAsia="Times New Roman" w:hAnsi="Times New Roman" w:cs="Times New Roman"/>
          <w:kern w:val="0"/>
          <w:u w:color="004C7F"/>
          <w:lang w:eastAsia="en-GB"/>
          <w14:ligatures w14:val="none"/>
        </w:rPr>
        <w:fldChar w:fldCharType="separate"/>
      </w:r>
      <w:r w:rsidRPr="00EF34C7">
        <w:rPr>
          <w:rFonts w:ascii="Times New Roman" w:eastAsia="Arial Unicode MS" w:hAnsi="Times New Roman" w:cs="Times New Roman"/>
          <w:kern w:val="0"/>
          <w:u w:color="004C7F"/>
          <w:bdr w:val="nil"/>
          <w:lang w:val="en-GB" w:eastAsia="en-GB"/>
          <w14:ligatures w14:val="none"/>
        </w:rPr>
        <w:t>(15–17)</w:t>
      </w:r>
      <w:r w:rsidRPr="00EF34C7">
        <w:rPr>
          <w:rFonts w:ascii="Times New Roman" w:eastAsia="Times New Roman" w:hAnsi="Times New Roman" w:cs="Times New Roman"/>
          <w:kern w:val="0"/>
          <w:u w:color="004C7F"/>
          <w:lang w:eastAsia="en-GB"/>
          <w14:ligatures w14:val="none"/>
        </w:rPr>
        <w:fldChar w:fldCharType="end"/>
      </w:r>
      <w:r w:rsidRPr="00EF34C7">
        <w:rPr>
          <w:rFonts w:ascii="Times New Roman" w:eastAsia="Times New Roman" w:hAnsi="Times New Roman" w:cs="Times New Roman"/>
          <w:kern w:val="0"/>
          <w:u w:color="004C7F"/>
          <w:lang w:eastAsia="en-GB"/>
          <w14:ligatures w14:val="none"/>
        </w:rPr>
        <w:t xml:space="preserve">, but no randomised controlled trials or high-quality quasi-experimental trials indicate that ATLS® improves patient outcomes </w:t>
      </w:r>
      <w:r w:rsidRPr="00EF34C7">
        <w:rPr>
          <w:rFonts w:ascii="Times New Roman" w:eastAsia="Times New Roman" w:hAnsi="Times New Roman" w:cs="Times New Roman"/>
          <w:kern w:val="0"/>
          <w:u w:color="004C7F"/>
          <w:lang w:eastAsia="en-GB"/>
          <w14:ligatures w14:val="none"/>
        </w:rPr>
        <w:fldChar w:fldCharType="begin"/>
      </w:r>
      <w:r w:rsidRPr="00EF34C7">
        <w:rPr>
          <w:rFonts w:ascii="Times New Roman" w:eastAsia="Times New Roman" w:hAnsi="Times New Roman" w:cs="Times New Roman"/>
          <w:kern w:val="0"/>
          <w:u w:color="004C7F"/>
          <w:lang w:eastAsia="en-GB"/>
          <w14:ligatures w14:val="none"/>
        </w:rPr>
        <w:instrText xml:space="preserve"> ADDIN ZOTERO_ITEM CSL_CITATION {"citationID":"KaxMlTZ2","properties":{"formattedCitation":"(8,9,11,12,18)","plainCitation":"(8,9,11,12,18)","noteIndex":0},"citationItems":[{"id":117,"uris":["http://zotero.org/users/6304864/items/9MHTX5CZ"],"itemData":{"id":117,"type":"article-journal","container-title":"World Journal of Surgery","DOI":"10.1007/s00268-013-2294-0","ISSN":"1432-2323","issue":"2","note":"publisher: Springer Science and Business Media LLC","page":"322–329","title":"Educational and Clinical Impact of Advanced Trauma Life Support (ATLS) Courses: A Systematic Review","volume":"38","author":[{"family":"Mohammad","given":"Alshafi"},{"family":"Branicki","given":"Frank"},{"family":"Abu-Zidan","given":"Fikri M."}],"issued":{"date-parts":[["2013",10]]}}},{"id":93,"uris":["http://zotero.org/users/6304864/items/QT5EIRN2"],"itemData":{"id":93,"type":"article-journal","container-title":"Cochrane Database of Systematic Reviews","DOI":"10.1002/14651858.cd004173.pub4","ISSN":"1465-1858","note":"publisher: Wiley","title":"Advanced trauma life support training for hospital staff","URL":"http://dx.doi.org/10.1002/14651858.CD004173.pub4","author":[{"family":"Jayaraman","given":"Sudha"},{"family":"Sethi","given":"Dinesh"},{"family":"Chinnock","given":"Paul"},{"family":"Wong","given":"Roger"}],"issued":{"date-parts":[["2014",8]]}}},{"id":94,"uris":["http://zotero.org/users/6304864/items/Y6ESL52D"],"itemData":{"id":94,"type":"article-journal","container-title":"World Journal of Surgery","DOI":"10.1007/s00268-021-06065-9","ISSN":"1432-2323","issue":"7","note":"publisher: Springer Science and Business Media LLC","page":"1982–1998","title":"Effectiveness of Quality Improvement Processes, Interventions, and Structure in Trauma Systems in Low- and Middle-Income Countries: A Systematic Review and Meta-analysis","volume":"45","author":[{"family":"Jin","given":"James"},{"family":"Akau’ola","given":"Salesi’"},{"family":"Yip","given":"Cheng-Har"},{"family":"Nthumba","given":"Peter"},{"family":"Ameh","given":"Emmanuel A."},{"family":"Jonge","given":"Stijn","non-dropping-particle":"de"},{"family":"Mehes","given":"Mira"},{"family":"Waiqanabete","given":"Iferemi"},{"family":"Henry","given":"Jaymie"},{"family":"Hill","given":"Andrew"}],"issued":{"date-parts":[["2021",4]]}}},{"id":741,"uris":["http://zotero.org/users/6304864/items/2XDFLSQQ"],"itemData":{"id":741,"type":"article-journal","abstract":"Background: Due to complex geography and resource constraints, trauma patients are often initially transported to community or rural facilities rather than a larger Level I or II trauma center. The objective of this scoping review was to synthesize evidence on interventions that improved the quality of trauma care and/or reduced healthcare costs at non-Level I or II facilities.\nMethods: A scoping review was performed to identify studies implementing a Quality Improvement (QI) initiative at a non-major trauma center (i.e., non-Level I or II trauma center [or equivalent]). We searched 3 electronic databases (MEDLINE, Embase, CINAHL) and the grey literature (relevant networks, organizations/associations). Methodological quality was evaluated using NIH and JBI study quality assessment tools. Studies were included if they evaluated the effect of implementing a trauma care QI initiative on one or more of the following: 1) trauma outcomes (mortality, morbidity); 2) system outcomes (e.g., length of stay [LOS], transfer times, provider factors); 3) provider knowledge or perception; or 4) healthcare costs. Pediatric trauma, pre-hospital and tele-trauma specific studies were excluded.\nResults: Of 1046 data sources screened, 36 were included for full review (29 journal articles, 7 abstracts/posters without full text). Educational initiatives including the Rural Trauma Team Development Course and the Advanced Trauma Life Support course were the most common QI interventions investigated. Study outcomes included process metrics such as transfer time to tertiary care and hospital LOS, along with measures of provider perception and knowledge. Improvement in mortality was reported in a single study evaluating the impact of establishing a dedicated trauma service at a community hospital.\nConclusions: Our review captured a broad spectrum of trauma QI projects implemented at non-major trauma centers. Educational interventions did result in process outcome improvements and high rates of self-reported improvements in trauma care. Given the heterogeneous capabilities of community and rural hospitals, there is no panacea for trauma QI at these facilities. Future research should focus on patient outcomes like mortality and morbidity, and locally relevant initiatives.","container-title":"Injury","DOI":"10.1016/j.injury.2024.111492","ISSN":"00201383","issue":"6","journalAbbreviation":"Injury","language":"en","page":"111492","source":"DOI.org (Crossref)","title":"Effect of trauma quality improvement initiatives on outcomes and costs at community hospitals: A scoping review","title-short":"Effect of trauma quality improvement initiatives on outcomes and costs at community hospitals","volume":"55","author":[{"family":"McIver","given":"Reba"},{"family":"Erdogan","given":"Mete"},{"family":"Parker","given":"Robin"},{"family":"Evans","given":"Allyson"},{"family":"Green","given":"Robert"},{"family":"Gomez","given":"David"},{"family":"Johnston","given":"Tyler"}],"issued":{"date-parts":[["2024",6]]}}},{"id":138,"uris":["http://zotero.org/users/6304864/items/GYPL86TT"],"itemData":{"id":138,"type":"article-journal","container-title":"The New Ropanasury Journal of Surgery","DOI":"10.7454/nrjs.v8i2.1152","ISSN":"2549-7871","issue":"2","note":"publisher: Universitas Indonesia, Directorate of Research and Public Service","title":"Impact of Advanced Trauma Life Support Training for Improving Mortality Outcome: A Systematic Review and Meta-analysis","URL":"http://dx.doi.org/10.7454/nrjs.v8i2.1152","volume":"8","author":[{"family":"Putra","given":"Afid B."},{"family":"Nurachman","given":"Luthfian A."},{"family":"Suryawiditya","given":"Bagus A."},{"family":"Risyaldi","given":"Muftah"},{"family":"Sihardo","given":"Lam"}],"issued":{"date-parts":[["2023",6]]}}}],"schema":"https://github.com/citation-style-language/schema/raw/master/csl-citation.json"} </w:instrText>
      </w:r>
      <w:r w:rsidRPr="00EF34C7">
        <w:rPr>
          <w:rFonts w:ascii="Times New Roman" w:eastAsia="Times New Roman" w:hAnsi="Times New Roman" w:cs="Times New Roman"/>
          <w:kern w:val="0"/>
          <w:u w:color="004C7F"/>
          <w:lang w:eastAsia="en-GB"/>
          <w14:ligatures w14:val="none"/>
        </w:rPr>
        <w:fldChar w:fldCharType="separate"/>
      </w:r>
      <w:r w:rsidRPr="00EF34C7">
        <w:rPr>
          <w:rFonts w:ascii="Times New Roman" w:eastAsia="Times New Roman" w:hAnsi="Times New Roman" w:cs="Times New Roman"/>
          <w:kern w:val="0"/>
          <w:u w:color="004C7F"/>
          <w:lang w:eastAsia="en-GB"/>
          <w14:ligatures w14:val="none"/>
        </w:rPr>
        <w:t>(8,9,11,12,18)</w:t>
      </w:r>
      <w:r w:rsidRPr="00EF34C7">
        <w:rPr>
          <w:rFonts w:ascii="Times New Roman" w:eastAsia="Times New Roman" w:hAnsi="Times New Roman" w:cs="Times New Roman"/>
          <w:kern w:val="0"/>
          <w:u w:color="004C7F"/>
          <w:lang w:eastAsia="en-GB"/>
          <w14:ligatures w14:val="none"/>
        </w:rPr>
        <w:fldChar w:fldCharType="end"/>
      </w:r>
      <w:r w:rsidRPr="00EF34C7">
        <w:rPr>
          <w:rFonts w:ascii="Times New Roman" w:eastAsia="Times New Roman" w:hAnsi="Times New Roman" w:cs="Times New Roman"/>
          <w:kern w:val="0"/>
          <w:u w:color="004C7F"/>
          <w:lang w:eastAsia="en-GB"/>
          <w14:ligatures w14:val="none"/>
        </w:rPr>
        <w:t>. We have conducted an updated systematic review (unpublished), and estimate a pooled odds ratio of 0.51 (95% CI 0.37; 0.69) from ten heterogeneous (I</w:t>
      </w:r>
      <w:r w:rsidRPr="00EF34C7">
        <w:rPr>
          <w:rFonts w:ascii="Times New Roman" w:eastAsia="Times New Roman" w:hAnsi="Times New Roman" w:cs="Times New Roman"/>
          <w:kern w:val="0"/>
          <w:u w:color="004C7F"/>
          <w:vertAlign w:val="superscript"/>
          <w:lang w:eastAsia="en-GB"/>
          <w14:ligatures w14:val="none"/>
        </w:rPr>
        <w:t>2</w:t>
      </w:r>
      <w:r w:rsidRPr="00EF34C7">
        <w:rPr>
          <w:rFonts w:ascii="Times New Roman" w:eastAsia="Times New Roman" w:hAnsi="Times New Roman" w:cs="Times New Roman"/>
          <w:kern w:val="0"/>
          <w:u w:color="004C7F"/>
          <w:lang w:eastAsia="en-GB"/>
          <w14:ligatures w14:val="none"/>
        </w:rPr>
        <w:t xml:space="preserve"> 0.7) observational studies on the effect of ATLS®on mortality </w:t>
      </w:r>
      <w:r w:rsidRPr="00EF34C7">
        <w:rPr>
          <w:rFonts w:ascii="Times New Roman" w:eastAsia="Times New Roman" w:hAnsi="Times New Roman" w:cs="Times New Roman"/>
          <w:kern w:val="0"/>
          <w:u w:color="004C7F"/>
          <w:lang w:eastAsia="en-GB"/>
          <w14:ligatures w14:val="none"/>
        </w:rPr>
        <w:fldChar w:fldCharType="begin"/>
      </w:r>
      <w:r w:rsidRPr="00EF34C7">
        <w:rPr>
          <w:rFonts w:ascii="Times New Roman" w:eastAsia="Times New Roman" w:hAnsi="Times New Roman" w:cs="Times New Roman"/>
          <w:kern w:val="0"/>
          <w:u w:color="004C7F"/>
          <w:lang w:eastAsia="en-GB"/>
          <w14:ligatures w14:val="none"/>
        </w:rPr>
        <w:instrText xml:space="preserve"> ADDIN ZOTERO_ITEM CSL_CITATION {"citationID":"eiL34o5u","properties":{"formattedCitation":"(19\\uc0\\u8211{}28)","plainCitation":"(19–28)","noteIndex":0},"citationItems":[{"id":176,"uris":["http://zotero.org/users/6304864/items/27E5PVFX"],"itemData":{"id":176,"type":"article-journal","container-title":"The American Journal of Surgery","DOI":"10.1016/s0002-9610(88)80150-8","ISSN":"0002-9610","issue":"5","note":"publisher: Elsevier BV","page":"704–707","title":"Impact of advanced trauma life support training on early trauma management","volume":"155","author":[{"family":"Vestrup","given":"Judith A."},{"family":"Stormorken","given":"Anne"},{"family":"Wood","given":"Victor"}],"issued":{"date-parts":[["1988",5]]}}},{"id":7,"uris":["http://zotero.org/users/6304864/items/24WCPK99"],"itemData":{"id":7,"type":"article-journal","container-title":"The Journal of Trauma: Injury, Infection, and Critical Care","DOI":"10.1097/00005373-199306000-00022","ISSN":"0022-5282","issue":"6","note":"publisher: Ovid Technologies (Wolters Kluwer Health)","page":"890–899","title":"Trauma outcome improves following the advanced trauma life support program in a developing country","volume":"34","author":[{"family":"Ali","given":"Jameel"},{"family":"Adam","given":"R."},{"family":"Butler","given":"A. K."},{"family":"Chang","given":"H."},{"family":"Howard","given":"M."},{"family":"Gonsalves","given":"D."},{"family":"Pitt-Miller","given":"P."},{"family":"Stedman","given":"M."},{"family":"Winn","given":"J."},{"family":"Williams","given":"J. I."}],"issued":{"date-parts":[["1993",6]]}}},{"id":173,"uris":["http://zotero.org/users/6304864/items/LUJY8JAC"],"itemData":{"id":173,"type":"article-journal","container-title":"The American Journal of Emergency Medicine","DOI":"10.1016/j.ajem.2004.08.013","ISSN":"0735-6757","issue":"7","note":"publisher: Elsevier BV","page":"522–525","title":"Clinical impact of advanced trauma life support","volume":"22","author":[{"family":"Olden","given":"Ger D.J.","non-dropping-particle":"van"},{"family":"Dik Meeuwis","given":"J."},{"family":"Bolhuis","given":"Hugo W."},{"family":"Boxma","given":"Han"},{"family":"Goris","given":"R.Jan A."}],"issued":{"date-parts":[["2004",11]]}}},{"id":133,"uris":["http://zotero.org/users/6304864/items/KRFQUX4X"],"itemData":{"id":133,"type":"article-journal","container-title":"Chinese Journal of Traumatology","ISSN":"1008-1275","issue":"6","note":"publisher: Elsevier BV","page":"341-344","title":"Comparison of severe trauma care effect before and after advanced trauma life support training","volume":"13","author":[{"family":"Wang","given":"Peng"},{"family":"Li","given":"Neng-Ping"},{"family":"Gu","given":"Yong-Feng"},{"family":"Lu","given":"Xiao-Bing"},{"family":"Cong","given":"Jian-Nong"},{"family":"Yang","given":"Xin"},{"family":"Ling","given":"Yun"}],"issued":{"date-parts":[["2010",12]]}}},{"id":128,"uris":["http://zotero.org/users/6304864/items/E4UXV2B7"],"itemData":{"id":128,"type":"article-journal","container-title":"International Journal of Surgery","DOI":"10.1016/j.ijsu.2010.09.009","ISSN":"1743-9191","issue":"1","note":"publisher: Ovid Technologies (Wolters Kluwer Health)","page":"75–78","title":"Evolution of trauma management at a tertiary care hospital: A cohort study","volume":"9","author":[{"family":"Noordin","given":"Shahryar"},{"family":"Allana","given":"Salim"},{"family":"Ahmad","given":"Tashfeen"},{"family":"Bhatti","given":"Ata-ul-Aleem"},{"family":"Zafar","given":"Hasnain"},{"family":"Wajid","given":"Muhammad Abdul"}],"issued":{"date-parts":[["2011"]]}}},{"id":72,"uris":["http://zotero.org/users/6304864/items/MLQEA5VH"],"itemData":{"id":72,"type":"article-journal","container-title":"Journal of Trauma and Acute Care Surgery","DOI":"10.1097/ta.0b013e31829880a0","ISSN":"2163-0755","issue":"1","note":"publisher: Ovid Technologies (Wolters Kluwer Health)","page":"60–68","title":"Hospital-based trauma quality improvement initiatives: First step toward improving trauma outcomes in the developing world","volume":"75","author":[{"family":"Hashmi","given":"Zain G."},{"family":"Haider","given":"Adil H."},{"family":"Zafar","given":"Syed Nabeel"},{"family":"Kisat","given":"Mehreen"},{"family":"Moosa","given":"Asad"},{"family":"Siddiqui","given":"Farjad"},{"family":"Pardhan","given":"Amyn"},{"family":"Latif","given":"Asad"},{"family":"Zafar","given":"Hasnain"}],"issued":{"date-parts":[["2013",7]]}}},{"id":135,"uris":["http://zotero.org/users/6304864/items/25M37CRG"],"itemData":{"id":135,"type":"article-journal","container-title":"World Journal of Surgery","DOI":"10.1007/s00268-014-2899-y","ISSN":"1432-2323","issue":"4","note":"publisher: Springer Science and Business Media LLC","page":"926–933","title":"Can Focused Trauma Education Initiatives Reduce Mortality or Improve Resource Utilization in a Low-Resource Setting?","volume":"39","author":[{"family":"Petroze","given":"Robin T."},{"family":"Byiringiro","given":"Jean Claude"},{"family":"Ntakiyiruta","given":"Georges"},{"family":"Briggs","given":"Susan M."},{"family":"Deckelbaum","given":"Dan L."},{"family":"Razek","given":"Tarek"},{"family":"Riviello","given":"Robert"},{"family":"Kyamanywa","given":"Patrick"},{"family":"Reid","given":"Jennifer"},{"family":"Sawyer","given":"Robert G."},{"family":"Calland","given":"J. Forrest"}],"issued":{"date-parts":[["2014",12]]}}},{"id":452,"uris":["http://zotero.org/users/6304864/items/9LFN3584"],"itemData":{"id":452,"type":"article-journal","container-title":"Ann. Ital. Chir.","issue":"1","language":"en","page":"68-74","source":"Zotero","title":"How formative courses about damage control surgery and non-operative management improved outcome and survival in unstable politrauma patients in a Mountain Trauma Center","volume":"87","author":[{"family":"Bellanova","given":"Giovanni"},{"family":"Buccelletti","given":"Francesco"},{"family":"Berletti","given":"Riccardo"},{"family":"Cavana","given":"Marco"},{"family":"Folgheraiter","given":"Giorgio"},{"family":"Groppo","given":"Francesca"},{"family":"Marchetti","given":"Chiara"},{"family":"Marzano","given":"Amelia"},{"family":"Massè","given":"Alessandro"},{"family":"Musetti","given":"Antonio"},{"family":"Pelanda","given":"Tina"},{"family":"Ricci","given":"Nicola"},{"family":"Tugnoli","given":"Gregorio"},{"family":"Papadia","given":"Damiano"},{"family":"Ramponi","given":"Claudio"}],"issued":{"date-parts":[["2016"]]}}},{"id":111,"uris":["http://zotero.org/users/6304864/items/GMAVXRIN"],"itemData":{"id":111,"type":"article-journal","container-title":"Turkish Journal of Trauma and Emergency Surgery","DOI":"10.5505/tjtes.2015.19540","ISSN":"1306-696X","note":"publisher: Kare Publishing","title":"Impact of ATLS Guidelines and Trauma Team Introduction an 24 Hours Mortality in Severe Trauma in a Busy Italian Metropolitan Hospital: a Case Control Study.","URL":"http://dx.doi.org/10.5505/tjtes.2015.19540","author":[{"family":"Magnone","given":"Stefano"},{"family":"Allegri","given":"Andrea"},{"family":"Belotti","given":"Eugenia"},{"family":"Castelli","given":"Claudio Carlo"},{"family":"Ceresoli","given":"Marco"},{"family":"Coccolini","given":"Federico"},{"family":"Manfredi","given":"Roberto"},{"family":"Merli","given":"Cecilia"},{"family":"Palamara","given":"Fabrizio"},{"family":"Piazzalunga","given":"Dario"},{"family":"Valetti","given":"Tino Martino"},{"family":"Ansaloni","given":"Luca"}],"issued":{"date-parts":[["2015"]]}}},{"id":867,"uris":["http://zotero.org/users/6304864/items/HEE75AG9"],"itemData":{"id":867,"type":"article-journal","abstract":"Trauma is a leading cause of mortality worldwide, particularly in low and middle-income countries (LMICs) like Kenya. This study evaluates the impact of Advanced Trauma Life Support (ATLS) training on 30-day mortality outcomes in severely injured patients at a tertiary care center in Kenya.","container-title":"International Journal of Emergency Medicine","DOI":"10.1186/s12245-024-00713-2","ISSN":"1865-1380","issue":"1","journalAbbreviation":"International Journal of Emergency Medicine","page":"153","source":"BioMed Central","title":"Impact of advanced trauma life support training on 30-day mortality in severely injured patients at a Kenyan tertiary center: a retrospective matched case-control study","title-short":"Impact of advanced trauma life support training on 30-day mortality in severely injured patients at a Kenyan tertiary center","volume":"17","author":[{"family":"Kamau","given":"Charbel"},{"family":"Chikophe","given":"Idris"},{"family":"Abdallah","given":"Abdulkarim"},{"family":"Mogere","given":"Edwin"}],"issued":{"date-parts":[["2024",10,10]]}}}],"schema":"https://github.com/citation-style-language/schema/raw/master/csl-citation.json"} </w:instrText>
      </w:r>
      <w:r w:rsidRPr="00EF34C7">
        <w:rPr>
          <w:rFonts w:ascii="Times New Roman" w:eastAsia="Times New Roman" w:hAnsi="Times New Roman" w:cs="Times New Roman"/>
          <w:kern w:val="0"/>
          <w:u w:color="004C7F"/>
          <w:lang w:eastAsia="en-GB"/>
          <w14:ligatures w14:val="none"/>
        </w:rPr>
        <w:fldChar w:fldCharType="separate"/>
      </w:r>
      <w:r w:rsidRPr="00EF34C7">
        <w:rPr>
          <w:rFonts w:ascii="Times New Roman" w:eastAsia="Arial Unicode MS" w:hAnsi="Times New Roman" w:cs="Times New Roman"/>
          <w:kern w:val="0"/>
          <w:u w:color="004C7F"/>
          <w:bdr w:val="nil"/>
          <w:lang w:val="en-GB" w:eastAsia="en-GB"/>
          <w14:ligatures w14:val="none"/>
        </w:rPr>
        <w:t>(19–28)</w:t>
      </w:r>
      <w:r w:rsidRPr="00EF34C7">
        <w:rPr>
          <w:rFonts w:ascii="Times New Roman" w:eastAsia="Times New Roman" w:hAnsi="Times New Roman" w:cs="Times New Roman"/>
          <w:kern w:val="0"/>
          <w:u w:color="004C7F"/>
          <w:lang w:eastAsia="en-GB"/>
          <w14:ligatures w14:val="none"/>
        </w:rPr>
        <w:fldChar w:fldCharType="end"/>
      </w:r>
      <w:r w:rsidRPr="00EF34C7">
        <w:rPr>
          <w:rFonts w:ascii="Times New Roman" w:eastAsia="Times New Roman" w:hAnsi="Times New Roman" w:cs="Times New Roman"/>
          <w:kern w:val="0"/>
          <w:u w:color="004C7F"/>
          <w:lang w:eastAsia="en-GB"/>
          <w14:ligatures w14:val="none"/>
        </w:rPr>
        <w:t xml:space="preserve">. We also conducted a pilot study showing that a full scale trial should be feasible </w:t>
      </w:r>
      <w:r w:rsidRPr="00EF34C7">
        <w:rPr>
          <w:rFonts w:ascii="Times New Roman" w:eastAsia="Times New Roman" w:hAnsi="Times New Roman" w:cs="Times New Roman"/>
          <w:kern w:val="0"/>
          <w:u w:color="004C7F"/>
          <w:lang w:eastAsia="en-GB"/>
          <w14:ligatures w14:val="none"/>
        </w:rPr>
        <w:fldChar w:fldCharType="begin"/>
      </w:r>
      <w:r w:rsidRPr="00EF34C7">
        <w:rPr>
          <w:rFonts w:ascii="Times New Roman" w:eastAsia="Times New Roman" w:hAnsi="Times New Roman" w:cs="Times New Roman"/>
          <w:kern w:val="0"/>
          <w:u w:color="004C7F"/>
          <w:lang w:eastAsia="en-GB"/>
          <w14:ligatures w14:val="none"/>
        </w:rPr>
        <w:instrText xml:space="preserve"> ADDIN ZOTERO_ITEM CSL_CITATION {"citationID":"MqMaKIn8","properties":{"formattedCitation":"(29,30)","plainCitation":"(29,30)","noteIndex":0},"citationItems":[{"id":62,"uris":["http://zotero.org/users/6304864/items/4T586LE7"],"itemData":{"id":62,"type":"article-journal","container-title":"BMJ Open","DOI":"10.1136/bmjopen-2021-057504","ISSN":"2044-6055","issue":"4","note":"publisher: BMJ","page":"e057504","title":"A pilot multicentre cluster randomised trial to compare the effect of trauma life support training programmes on patient and provider outcomes","volume":"12","author":[{"family":"Gerdin Wärnberg","given":"Martin"},{"family":"Berg","given":"Johanna"},{"family":"Bhandarkar","given":"Prashant"},{"family":"Chatterjee","given":"Anirban"},{"family":"Chatterjee","given":"Shamita"},{"family":"Chintamani","given":"Chintamani"},{"family":"Felländer-Tsai","given":"Li"},{"family":"Gadgil","given":"Anita"},{"family":"Ghag","given":"Geeta"},{"family":"Hasselberg","given":"Marie"},{"family":"Juillard","given":"Catherine"},{"family":"Khajanchi","given":"Monty"},{"family":"Kizhakke Veetil","given":"Deepa"},{"family":"Kumar","given":"Vineet"},{"family":"Kundu","given":"Debabrata"},{"family":"Mishra","given":"Anurag"},{"family":"Patil","given":"Priti"},{"family":"Roy","given":"Nobhojit"},{"family":"Roy","given":"Amit"},{"family":"David","given":"Siddarth"},{"family":"Singh","given":"Rajdeep"},{"family":"Solomon","given":"Harris"},{"family":"Soni","given":"Kapil Dev"},{"family":"Strömmer","given":"Lovisa"},{"family":"Tandon","given":"Megha"}],"issued":{"date-parts":[["2022",4]]}}},{"id":849,"uris":["http://zotero.org/users/6304864/items/667QPVZ3"],"itemData":{"id":849,"type":"article-journal","abstract":"&lt;h3&gt;Abstract&lt;/h3&gt; &lt;h3&gt;Importance&lt;/h3&gt; &lt;p&gt;There is no high-quality evidence to show that trauma life support training programmes improve patient outcomes.&lt;/p&gt;&lt;h3&gt;Objective&lt;/h3&gt; &lt;p&gt;To assess the feasibility of conducting a cluster randomised controlled trial comparing the effect of Advanced Trauma Life Support&lt;sup&gt;®&lt;/sup&gt; (ATLS&lt;sup&gt;®&lt;/sup&gt;) and Primary Trauma Care (PTC) with standard care on patient outcomes, and to estimate probable effect sizes and other measures needed for the sample size calculations of a full-scale trial.&lt;/p&gt;&lt;h3&gt;Design&lt;/h3&gt; &lt;p&gt;A pilot pragmatic three-armed parallel, cluster randomised, controlled trial between April 2022 and February 2023. Patient follow up was 30 days.&lt;/p&gt;&lt;h3&gt;Setting&lt;/h3&gt; &lt;p&gt;Tertiary care hospitals across metropolitan areas in India.&lt;/p&gt;&lt;h3&gt;Participants&lt;/h3&gt; &lt;p&gt;Adult trauma patients and residents managing these patients.&lt;/p&gt;&lt;h3&gt;Interventions&lt;/h3&gt; &lt;p&gt;ATLS&lt;sup&gt;®&lt;/sup&gt; or PTC training for residents in the intervention arms.&lt;/p&gt;&lt;h3&gt;Main Outcomes and Measures&lt;/h3&gt; &lt;p&gt;The outcomes were consent rate, lost to follow up rate, pass rate, missing data rates, differences in distribution between observed and data extracted from medical records as well as all cause and in-hospital mortality at 30 days from the time of arrival to the emergency department.&lt;/p&gt;&lt;h3&gt;Results&lt;/h3&gt; &lt;p&gt;Two hospitals were randomised to ATLS&lt;sup&gt;®&lt;/sup&gt;, two to PTC, and three to standard care. We included 376 patients and 22 residents. The percentage of patients who consented to follow up was 77% and the percentage of residents who consented to training was 100%. The lost to follow up rate was 14%. The pass rate was 100%. The missing data was overall low for key variables. Data collected through observations were similar to data extracted from medical records, but there was more missing data in the extracted data. Twenty-two (16%) patients died within 30 days in the standard care arm, one (4%) patient in the ATLS&lt;sup&gt;®&lt;/sup&gt; arm, and three (5%) patients in the PTC arm.&lt;/p&gt;&lt;h3&gt;Conclusions and Relevance&lt;/h3&gt; &lt;p&gt;Conducting a full-scale cluster randomised controlled trial comparing the effects of ATLS&lt;sup&gt;®&lt;/sup&gt;, PTC, and standard care on patient outcomes will be feasible, especially if such a trial would use data and outcomes available in medical records.&lt;/p&gt;&lt;h3&gt;Key Points&lt;/h3&gt; &lt;h3&gt;Question&lt;/h3&gt; &lt;p&gt;Is it feasible to conduct a cluster randomised trial comparing trauma life support training with standard care?&lt;/p&gt;&lt;h3&gt;Findings&lt;/h3&gt; &lt;p&gt;In this pilot cluster randomized trial that included 376 patients and 22 residents from seven hospitals, we found high consent rates, low lost to follow up rates, and low missing data for key variables.&lt;/p&gt;&lt;h3&gt;Meaning&lt;/h3&gt; &lt;p&gt;Conducting a full-scale cluster cluster trial comparing the effects of trauma life support training with standard care on patient outcomes will be feasible, especially if such a trial would use data and outcomes available in medical records.&lt;/p&gt;","container-title":"medRxiv","DOI":"10.1101/2024.03.13.24304236","language":"en","license":"© 2024, Posted by Cold Spring Harbor Laboratory. This pre-print is available under a Creative Commons License (Attribution 4.0 International), CC BY 4.0, as described at http://creativecommons.org/licenses/by/4.0/","note":"publisher: Cold Spring Harbor Laboratory Press","page":"2024.03.13.24304236","source":"www.medrxiv.org","title":"Feasibility of a Cluster Randomised Trial on the Effect of Trauma Life Support Training: A Pilot Study","title-short":"Feasibility of a Cluster Randomised Trial on the Effect of Trauma Life Support Training","author":[{"family":"Gerdin Wärnberg","given":"Martin"},{"family":"Basak","given":"Debojit"},{"family":"Berg","given":"Johanna"},{"family":"Chatterjee","given":"Shamita"},{"family":"Felländer-Tsai","given":"Li"},{"family":"Ghag","given":"Geeta"},{"family":"Khajanchi","given":"Monty"},{"family":"Khan","given":"Tamal"},{"family":"Juillard","given":"Catherine"},{"family":"Nandu","given":"Vipul"},{"family":"Roy","given":"Nobhojit"},{"family":"Singh","given":"Rajdeep"},{"family":"Soni","given":"Kapil Dev"},{"family":"Strömmer","given":"Lovisa"},{"literal":"Trauma life support training Effectiveness Research Network (TERN) Collaborators"}],"issued":{"date-parts":[["2024",11,26]]}}}],"schema":"https://github.com/citation-style-language/schema/raw/master/csl-citation.json"} </w:instrText>
      </w:r>
      <w:r w:rsidRPr="00EF34C7">
        <w:rPr>
          <w:rFonts w:ascii="Times New Roman" w:eastAsia="Times New Roman" w:hAnsi="Times New Roman" w:cs="Times New Roman"/>
          <w:kern w:val="0"/>
          <w:u w:color="004C7F"/>
          <w:lang w:eastAsia="en-GB"/>
          <w14:ligatures w14:val="none"/>
        </w:rPr>
        <w:fldChar w:fldCharType="separate"/>
      </w:r>
      <w:r w:rsidRPr="00EF34C7">
        <w:rPr>
          <w:rFonts w:ascii="Times New Roman" w:eastAsia="Times New Roman" w:hAnsi="Times New Roman" w:cs="Times New Roman"/>
          <w:kern w:val="0"/>
          <w:u w:color="004C7F"/>
          <w:lang w:eastAsia="en-GB"/>
          <w14:ligatures w14:val="none"/>
        </w:rPr>
        <w:t>(29,30)</w:t>
      </w:r>
      <w:r w:rsidRPr="00EF34C7">
        <w:rPr>
          <w:rFonts w:ascii="Times New Roman" w:eastAsia="Times New Roman" w:hAnsi="Times New Roman" w:cs="Times New Roman"/>
          <w:kern w:val="0"/>
          <w:u w:color="004C7F"/>
          <w:lang w:eastAsia="en-GB"/>
          <w14:ligatures w14:val="none"/>
        </w:rPr>
        <w:fldChar w:fldCharType="end"/>
      </w:r>
      <w:r w:rsidRPr="00EF34C7">
        <w:rPr>
          <w:rFonts w:ascii="Times New Roman" w:eastAsia="Times New Roman" w:hAnsi="Times New Roman" w:cs="Times New Roman"/>
          <w:kern w:val="0"/>
          <w:u w:color="004C7F"/>
          <w:lang w:eastAsia="en-GB"/>
          <w14:ligatures w14:val="none"/>
        </w:rPr>
        <w:t xml:space="preserve">, as well as semi-structured interviews that indicated high acceptability of our research and helped to identify important outcomes </w:t>
      </w:r>
      <w:r w:rsidRPr="00EF34C7">
        <w:rPr>
          <w:rFonts w:ascii="Times New Roman" w:eastAsia="Times New Roman" w:hAnsi="Times New Roman" w:cs="Times New Roman"/>
          <w:kern w:val="0"/>
          <w:u w:color="004C7F"/>
          <w:lang w:eastAsia="en-GB"/>
          <w14:ligatures w14:val="none"/>
        </w:rPr>
        <w:fldChar w:fldCharType="begin"/>
      </w:r>
      <w:r w:rsidRPr="00EF34C7">
        <w:rPr>
          <w:rFonts w:ascii="Times New Roman" w:eastAsia="Times New Roman" w:hAnsi="Times New Roman" w:cs="Times New Roman"/>
          <w:kern w:val="0"/>
          <w:u w:color="004C7F"/>
          <w:lang w:eastAsia="en-GB"/>
          <w14:ligatures w14:val="none"/>
        </w:rPr>
        <w:instrText xml:space="preserve"> ADDIN ZOTERO_ITEM CSL_CITATION {"citationID":"RBu834XT","properties":{"formattedCitation":"(31)","plainCitation":"(31)","noteIndex":0},"citationItems":[{"id":800,"uris":["http://zotero.org/users/6304864/items/2FU64ZHV"],"itemData":{"id":800,"type":"article","abstract":"Trauma is a major global health burden with long-term consequences to patients. Patient-reported outcomes (PROs) are increasingly being recognized and utilised to improve trauma care. It is imperative to identify the PROs that are most relevant, applicable, and suitable to a context. However, there is limited research on PROs in trauma care in low- and middle-income countries, like India, that bear a disproportionate burden of global trauma. This paper aims to examine PROs considered to be most relevant for trauma patients after discharge in the context of urban India.\nWe conducted semi-structured qualitative interviews of 11 adult post discharge trauma patients, across demographic and injury groups, and two persons working with trauma patients from five tertiary-care public hospitals in the Indian cities of Mumbai and Kolkata. We performed thematic analysis to identify themes within the participants responses on PROs important to them based on their experiences.\nFour themes emerged in the analysis of the participant interviews. The need for full physical functioning, the need to address psychological consequences, the need to alleviate economic cost of trauma, and the need for social interactions. Outcomes related to these themes were most relevant to the participants.\nThe findings of this paper can help researchers and clinicians select appropriate PROs, based on the four themes, for trauma research and to improve trauma care in urban India. Future research should focus on PROs relevant to specific demographic and injury groups in India and other LMICs.","DOI":"10.1101/2024.02.20.24302971","language":"en","license":"© 2024, Posted by Cold Spring Harbor Laboratory. This pre-print is available under a Creative Commons License (Attribution-NonCommercial-NoDerivs 4.0 International), CC BY-NC-ND 4.0, as described at http://creativecommons.org/licenses/by-nc-nd/4.0/","note":"page: 2024.02.20.24302971","publisher":"medRxiv","source":"medRxiv","title":"Patient-reported outcomes relevant to post-discharge trauma patients in urban India","URL":"https://www.medrxiv.org/content/10.1101/2024.02.20.24302971v2","author":[{"family":"David","given":"Siddarth"},{"family":"Gerdin Wärnberg","given":"Martin"},{"literal":"Trauma life support training Effectiveness Research Network (TERN) Collaborators"}],"accessed":{"date-parts":[["2024",11,11]]},"issued":{"date-parts":[["2024",3,15]]}}}],"schema":"https://github.com/citation-style-language/schema/raw/master/csl-citation.json"} </w:instrText>
      </w:r>
      <w:r w:rsidRPr="00EF34C7">
        <w:rPr>
          <w:rFonts w:ascii="Times New Roman" w:eastAsia="Times New Roman" w:hAnsi="Times New Roman" w:cs="Times New Roman"/>
          <w:kern w:val="0"/>
          <w:u w:color="004C7F"/>
          <w:lang w:eastAsia="en-GB"/>
          <w14:ligatures w14:val="none"/>
        </w:rPr>
        <w:fldChar w:fldCharType="separate"/>
      </w:r>
      <w:r w:rsidRPr="00EF34C7">
        <w:rPr>
          <w:rFonts w:ascii="Times New Roman" w:eastAsia="Times New Roman" w:hAnsi="Times New Roman" w:cs="Times New Roman"/>
          <w:kern w:val="0"/>
          <w:u w:color="004C7F"/>
          <w:lang w:eastAsia="en-GB"/>
          <w14:ligatures w14:val="none"/>
        </w:rPr>
        <w:t>(31)</w:t>
      </w:r>
      <w:r w:rsidRPr="00EF34C7">
        <w:rPr>
          <w:rFonts w:ascii="Times New Roman" w:eastAsia="Times New Roman" w:hAnsi="Times New Roman" w:cs="Times New Roman"/>
          <w:kern w:val="0"/>
          <w:u w:color="004C7F"/>
          <w:lang w:eastAsia="en-GB"/>
          <w14:ligatures w14:val="none"/>
        </w:rPr>
        <w:fldChar w:fldCharType="end"/>
      </w:r>
      <w:r w:rsidRPr="00EF34C7">
        <w:rPr>
          <w:rFonts w:ascii="Times New Roman" w:eastAsia="Times New Roman" w:hAnsi="Times New Roman" w:cs="Times New Roman"/>
          <w:kern w:val="0"/>
          <w:u w:color="004C7F"/>
          <w:lang w:eastAsia="en-GB"/>
          <w14:ligatures w14:val="none"/>
        </w:rPr>
        <w:t>.</w:t>
      </w:r>
    </w:p>
    <w:p w14:paraId="43B8C697"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t>Objectives {7}</w:t>
      </w:r>
    </w:p>
    <w:p w14:paraId="22A7658D" w14:textId="77777777" w:rsidR="00EF34C7" w:rsidRPr="00EF34C7" w:rsidRDefault="00EF34C7" w:rsidP="00EF34C7">
      <w:pPr>
        <w:spacing w:after="120"/>
        <w:rPr>
          <w:rFonts w:ascii="Times New Roman" w:eastAsia="Times New Roman" w:hAnsi="Times New Roman" w:cs="Times New Roman"/>
          <w:color w:val="006600"/>
          <w:kern w:val="0"/>
          <w:sz w:val="20"/>
          <w:szCs w:val="20"/>
          <w:u w:color="004C7F"/>
          <w:lang w:eastAsia="en-GB"/>
          <w14:ligatures w14:val="none"/>
        </w:rPr>
      </w:pPr>
      <w:r w:rsidRPr="00EF34C7">
        <w:rPr>
          <w:rFonts w:ascii="Times New Roman" w:eastAsia="Times New Roman" w:hAnsi="Times New Roman" w:cs="Times New Roman"/>
          <w:kern w:val="0"/>
          <w:u w:color="004C7F"/>
          <w:lang w:eastAsia="en-GB"/>
          <w14:ligatures w14:val="none"/>
        </w:rPr>
        <w:t>The aim of this trial is to compare the effects of ATLS® training with standard care on outcomes in adult trauma patients.</w:t>
      </w:r>
    </w:p>
    <w:p w14:paraId="0AEF8BC5" w14:textId="77777777" w:rsidR="00EF34C7" w:rsidRPr="00EF34C7" w:rsidRDefault="00EF34C7" w:rsidP="00EF34C7">
      <w:pPr>
        <w:widowControl w:val="0"/>
        <w:pBdr>
          <w:top w:val="nil"/>
          <w:left w:val="nil"/>
          <w:bottom w:val="nil"/>
          <w:right w:val="nil"/>
          <w:between w:val="nil"/>
          <w:bar w:val="nil"/>
        </w:pBdr>
        <w:spacing w:before="200" w:after="80"/>
        <w:outlineLvl w:val="0"/>
        <w:rPr>
          <w:rFonts w:ascii="Times New Roman" w:eastAsia="Arial Unicode MS" w:hAnsi="Times New Roman" w:cs="Times New Roman"/>
          <w:b/>
          <w:bCs/>
          <w:color w:val="000000"/>
          <w:kern w:val="0"/>
          <w:u w:color="000000"/>
          <w:bdr w:val="nil"/>
          <w:lang w:val="en-US" w:eastAsia="en-GB"/>
          <w14:ligatures w14:val="none"/>
        </w:rPr>
      </w:pPr>
      <w:r w:rsidRPr="00EF34C7">
        <w:rPr>
          <w:rFonts w:ascii="Times New Roman" w:eastAsia="Arial Unicode MS" w:hAnsi="Times New Roman" w:cs="Times New Roman"/>
          <w:b/>
          <w:bCs/>
          <w:color w:val="000000"/>
          <w:kern w:val="0"/>
          <w:sz w:val="28"/>
          <w:szCs w:val="28"/>
          <w:u w:color="000000"/>
          <w:bdr w:val="nil"/>
          <w:lang w:val="en-US" w:eastAsia="en-GB"/>
          <w14:ligatures w14:val="none"/>
        </w:rPr>
        <w:t>Trial design {8}</w:t>
      </w:r>
    </w:p>
    <w:p w14:paraId="22D1CB3A"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This is a batched stepped-wedge cluster randomised controlled trial in India (see Figure 1). The stepped-wedge trial is a unidirectional crossover trial, with a randomised time point when clusters cross-over from standard care to the intervention </w:t>
      </w:r>
      <w:r w:rsidRPr="00EF34C7">
        <w:rPr>
          <w:rFonts w:ascii="Times New Roman" w:eastAsia="Times New Roman" w:hAnsi="Times New Roman" w:cs="Times New Roman"/>
          <w:kern w:val="0"/>
          <w:u w:color="004C7F"/>
          <w:lang w:eastAsia="en-GB"/>
          <w14:ligatures w14:val="none"/>
        </w:rPr>
        <w:fldChar w:fldCharType="begin"/>
      </w:r>
      <w:r w:rsidRPr="00EF34C7">
        <w:rPr>
          <w:rFonts w:ascii="Times New Roman" w:eastAsia="Times New Roman" w:hAnsi="Times New Roman" w:cs="Times New Roman"/>
          <w:kern w:val="0"/>
          <w:u w:color="004C7F"/>
          <w:lang w:eastAsia="en-GB"/>
          <w14:ligatures w14:val="none"/>
        </w:rPr>
        <w:instrText xml:space="preserve"> ADDIN ZOTERO_ITEM CSL_CITATION {"citationID":"052eNaM0","properties":{"formattedCitation":"(32)","plainCitation":"(32)","noteIndex":0},"citationItems":[{"id":501,"uris":["http://zotero.org/users/6304864/items/ACWA94J7"],"itemData":{"id":501,"type":"article-journal","container-title":"BMJ","DOI":"10.1136/bmj.h391","ISSN":"1756-1833","issue":"feb06 1","journalAbbreviation":"BMJ","language":"en","page":"h391-h391","source":"DOI.org (Crossref)","title":"The stepped wedge cluster randomised trial: rationale, design, analysis, and reporting","title-short":"The stepped wedge cluster randomised trial","volume":"350","author":[{"family":"Hemming","given":"K."},{"family":"Haines","given":"T. P."},{"family":"Chilton","given":"P. J."},{"family":"Girling","given":"A. J."},{"family":"Lilford","given":"R. J."}],"issued":{"date-parts":[["2015",2,6]]}}}],"schema":"https://github.com/citation-style-language/schema/raw/master/csl-citation.json"} </w:instrText>
      </w:r>
      <w:r w:rsidRPr="00EF34C7">
        <w:rPr>
          <w:rFonts w:ascii="Times New Roman" w:eastAsia="Times New Roman" w:hAnsi="Times New Roman" w:cs="Times New Roman"/>
          <w:kern w:val="0"/>
          <w:u w:color="004C7F"/>
          <w:lang w:eastAsia="en-GB"/>
          <w14:ligatures w14:val="none"/>
        </w:rPr>
        <w:fldChar w:fldCharType="separate"/>
      </w:r>
      <w:r w:rsidRPr="00EF34C7">
        <w:rPr>
          <w:rFonts w:ascii="Times New Roman" w:eastAsia="Times New Roman" w:hAnsi="Times New Roman" w:cs="Times New Roman"/>
          <w:noProof/>
          <w:kern w:val="0"/>
          <w:u w:color="004C7F"/>
          <w:lang w:eastAsia="en-GB"/>
          <w14:ligatures w14:val="none"/>
        </w:rPr>
        <w:t>(32)</w:t>
      </w:r>
      <w:r w:rsidRPr="00EF34C7">
        <w:rPr>
          <w:rFonts w:ascii="Times New Roman" w:eastAsia="Times New Roman" w:hAnsi="Times New Roman" w:cs="Times New Roman"/>
          <w:kern w:val="0"/>
          <w:u w:color="004C7F"/>
          <w:lang w:eastAsia="en-GB"/>
          <w14:ligatures w14:val="none"/>
        </w:rPr>
        <w:fldChar w:fldCharType="end"/>
      </w:r>
      <w:r w:rsidRPr="00EF34C7">
        <w:rPr>
          <w:rFonts w:ascii="Times New Roman" w:eastAsia="Times New Roman" w:hAnsi="Times New Roman" w:cs="Times New Roman"/>
          <w:kern w:val="0"/>
          <w:u w:color="004C7F"/>
          <w:lang w:eastAsia="en-GB"/>
          <w14:ligatures w14:val="none"/>
        </w:rPr>
        <w:t xml:space="preserve">. In this trial, the unit of randomisation is the hospital: that is, the clusters randomised to the sequences of the stepped wedge design are the hospitals. Within each hospital, one or more units of physicians performing initial resuscitation of trauma patients in the emergency department may be trained. The number of units that will be trained in each hospital will depend on the sizes of these units and the volumes of patients the physicians attend. If more than one unit is trained in the same hospital, these are all considered to be part of the same cluster for the purpose of randomisation. </w:t>
      </w:r>
    </w:p>
    <w:p w14:paraId="656E2E8F"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We will include a total of 30 clusters in six batches, with five clusters in each batch. The clusters in each batch will be randomised to one of five implementation sequences, with one cluster randomised to each implementation sequence. All clusters will transition through three phases: first, a standard care phase; second, a transition phase lasting one month during which the ATLS® training will be delivered to the physicians; and finally, the intervention phase. The period of participant inclusion within any cluster will last for a total of 13 months. The duration of the standard care and intervention phases will be determined by the implementation sequence. The anticipated overlap between batches is six months.</w:t>
      </w:r>
    </w:p>
    <w:p w14:paraId="4EFD1085"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lastRenderedPageBreak/>
        <w:t xml:space="preserve">Because certain secondary outcomes will be more burdensome to collect and because we anticipate larger effects on these outcomes, we will nest a staircase design within the main stepped-wedge design to measure these outcomes (see Figure 2) </w:t>
      </w:r>
      <w:r w:rsidRPr="00EF34C7">
        <w:rPr>
          <w:rFonts w:ascii="Times New Roman" w:eastAsia="Times New Roman" w:hAnsi="Times New Roman" w:cs="Times New Roman"/>
          <w:kern w:val="0"/>
          <w:u w:color="004C7F"/>
          <w:lang w:eastAsia="en-GB"/>
          <w14:ligatures w14:val="none"/>
        </w:rPr>
        <w:fldChar w:fldCharType="begin"/>
      </w:r>
      <w:r w:rsidRPr="00EF34C7">
        <w:rPr>
          <w:rFonts w:ascii="Times New Roman" w:eastAsia="Times New Roman" w:hAnsi="Times New Roman" w:cs="Times New Roman"/>
          <w:kern w:val="0"/>
          <w:u w:color="004C7F"/>
          <w:lang w:eastAsia="en-GB"/>
          <w14:ligatures w14:val="none"/>
        </w:rPr>
        <w:instrText xml:space="preserve"> ADDIN ZOTERO_ITEM CSL_CITATION {"citationID":"ECv5GUx0","properties":{"formattedCitation":"(33)","plainCitation":"(33)","noteIndex":0},"citationItems":[{"id":2315,"uris":["http://zotero.org/users/6304864/items/IN62KXRF"],"itemData":{"id":2315,"type":"article-journal","abstract":"This article introduces the ‘staircase’ design, derived from the zigzag pattern of steps along the diagonal of a stepped wedge design schematic where clusters switch from control to intervention conditions. Unlike a complete stepped wedge design where all participating clusters must collect and provide data for the entire trial duration, clusters in a staircase design are only required to be involved and collect data for a limited number of pre- and post-switch periods. This could alleviate some of the burden on participating clusters, encouraging involvement in the trial and reducing the likelihood of attrition. Staircase designs are already being implemented, although in the absence of a dedicated methodology, approaches to sample size and power calculations have been inconsistent. We provide expressions for the variance of the treatment effect estimator when a linear mixed model for an outcome is assumed for the analysis of staircase designs in order to enable appropriate sample size and power calculations. These include explicit variance expressions for basic staircase designs with one pre- and one post-switch measurement period. We show how the variance of the treatment effect estimator is related to key design parameters and demonstrate power calculations for examples based on a real trial.","container-title":"Statistical Methods in Medical Research","DOI":"10.1177/09622802231202364","ISSN":"0962-2802","issue":"1","journalAbbreviation":"Stat Methods Med Res","language":"EN","note":"publisher: SAGE Publications Ltd STM","page":"24-41","source":"SAGE Journals","title":"The staircase cluster randomised trial design: A pragmatic alternative to the stepped wedge","title-short":"The staircase cluster randomised trial design","volume":"33","author":[{"family":"Grantham","given":"Kelsey L"},{"family":"Forbes","given":"Andrew B"},{"family":"Hooper","given":"Richard"},{"family":"Kasza","given":"Jessica"}],"issued":{"date-parts":[["2024",1,1]]}}}],"schema":"https://github.com/citation-style-language/schema/raw/master/csl-citation.json"} </w:instrText>
      </w:r>
      <w:r w:rsidRPr="00EF34C7">
        <w:rPr>
          <w:rFonts w:ascii="Times New Roman" w:eastAsia="Times New Roman" w:hAnsi="Times New Roman" w:cs="Times New Roman"/>
          <w:kern w:val="0"/>
          <w:u w:color="004C7F"/>
          <w:lang w:eastAsia="en-GB"/>
          <w14:ligatures w14:val="none"/>
        </w:rPr>
        <w:fldChar w:fldCharType="separate"/>
      </w:r>
      <w:r w:rsidRPr="00EF34C7">
        <w:rPr>
          <w:rFonts w:ascii="Times New Roman" w:eastAsia="Times New Roman" w:hAnsi="Times New Roman" w:cs="Times New Roman"/>
          <w:noProof/>
          <w:kern w:val="0"/>
          <w:u w:color="004C7F"/>
          <w:lang w:eastAsia="en-GB"/>
          <w14:ligatures w14:val="none"/>
        </w:rPr>
        <w:t>(33)</w:t>
      </w:r>
      <w:r w:rsidRPr="00EF34C7">
        <w:rPr>
          <w:rFonts w:ascii="Times New Roman" w:eastAsia="Times New Roman" w:hAnsi="Times New Roman" w:cs="Times New Roman"/>
          <w:kern w:val="0"/>
          <w:u w:color="004C7F"/>
          <w:lang w:eastAsia="en-GB"/>
          <w14:ligatures w14:val="none"/>
        </w:rPr>
        <w:fldChar w:fldCharType="end"/>
      </w:r>
      <w:r w:rsidRPr="00EF34C7">
        <w:rPr>
          <w:rFonts w:ascii="Times New Roman" w:eastAsia="Times New Roman" w:hAnsi="Times New Roman" w:cs="Times New Roman"/>
          <w:kern w:val="0"/>
          <w:u w:color="004C7F"/>
          <w:lang w:eastAsia="en-GB"/>
          <w14:ligatures w14:val="none"/>
        </w:rPr>
        <w:t>. The staircase design will include a random subset of patients who present during the three months preceding and the three months following the transition phase.</w:t>
      </w:r>
    </w:p>
    <w:p w14:paraId="5D6F9FB9"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noProof/>
          <w:kern w:val="0"/>
          <w:u w:color="004C7F"/>
          <w:lang w:eastAsia="en-GB"/>
          <w14:ligatures w14:val="none"/>
        </w:rPr>
        <w:drawing>
          <wp:inline distT="0" distB="0" distL="0" distR="0" wp14:anchorId="71D4C72F" wp14:editId="6D87AED8">
            <wp:extent cx="5376333" cy="3225800"/>
            <wp:effectExtent l="0" t="0" r="0" b="0"/>
            <wp:docPr id="641952518" name="Picture 2"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952518" name="Picture 2" descr="A graph of a diagram&#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376333" cy="3225800"/>
                    </a:xfrm>
                    <a:prstGeom prst="rect">
                      <a:avLst/>
                    </a:prstGeom>
                  </pic:spPr>
                </pic:pic>
              </a:graphicData>
            </a:graphic>
          </wp:inline>
        </w:drawing>
      </w:r>
    </w:p>
    <w:p w14:paraId="1E4F5B25"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b/>
          <w:kern w:val="0"/>
          <w:u w:color="004C7F"/>
          <w:lang w:eastAsia="en-GB"/>
          <w14:ligatures w14:val="none"/>
        </w:rPr>
        <w:t xml:space="preserve">Figure 1: </w:t>
      </w:r>
      <w:r w:rsidRPr="00EF34C7">
        <w:rPr>
          <w:rFonts w:ascii="Times New Roman" w:eastAsia="Times New Roman" w:hAnsi="Times New Roman" w:cs="Times New Roman"/>
          <w:kern w:val="0"/>
          <w:u w:color="004C7F"/>
          <w:lang w:eastAsia="en-GB"/>
          <w14:ligatures w14:val="none"/>
        </w:rPr>
        <w:t>Trial design. Lines represent the duration of patient enrolment across clusters and phases. Clusters will be sequentially allocated to a batch based on when they enter the study. Within each batch clusters will then be randomised to an intervention implementation sequence.</w:t>
      </w:r>
    </w:p>
    <w:p w14:paraId="6568533C"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noProof/>
          <w:kern w:val="0"/>
          <w:u w:color="004C7F"/>
          <w:lang w:eastAsia="en-GB"/>
          <w14:ligatures w14:val="none"/>
        </w:rPr>
        <w:drawing>
          <wp:inline distT="0" distB="0" distL="0" distR="0" wp14:anchorId="5AFCB38A" wp14:editId="57A4EF93">
            <wp:extent cx="5376333" cy="3225800"/>
            <wp:effectExtent l="0" t="0" r="0" b="0"/>
            <wp:docPr id="1359493987" name="Picture 3" descr="A graph showing a number of step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93987" name="Picture 3" descr="A graph showing a number of step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376333" cy="3225800"/>
                    </a:xfrm>
                    <a:prstGeom prst="rect">
                      <a:avLst/>
                    </a:prstGeom>
                  </pic:spPr>
                </pic:pic>
              </a:graphicData>
            </a:graphic>
          </wp:inline>
        </w:drawing>
      </w:r>
    </w:p>
    <w:p w14:paraId="6E4E18DC"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b/>
          <w:bCs/>
          <w:kern w:val="0"/>
          <w:u w:color="004C7F"/>
          <w:lang w:eastAsia="en-GB"/>
          <w14:ligatures w14:val="none"/>
        </w:rPr>
        <w:t>Figure 2:</w:t>
      </w:r>
      <w:r w:rsidRPr="00EF34C7">
        <w:rPr>
          <w:rFonts w:ascii="Times New Roman" w:eastAsia="Times New Roman" w:hAnsi="Times New Roman" w:cs="Times New Roman"/>
          <w:kern w:val="0"/>
          <w:u w:color="004C7F"/>
          <w:lang w:eastAsia="en-GB"/>
          <w14:ligatures w14:val="none"/>
        </w:rPr>
        <w:t xml:space="preserve"> Nested staircase design. The design includes a random subset of patients presenting during the three months peceding the transition phase, and the three months following the transition phase.</w:t>
      </w:r>
    </w:p>
    <w:p w14:paraId="451C979F"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lastRenderedPageBreak/>
        <w:t xml:space="preserve">We use a cluster randomised design because the intervention cannot be randomised at the individual patient level. We use a stepped-wedge design for two reasons. First, this design is statistically more efficient than the parallel cluster design when the number of clusters is limited </w:t>
      </w:r>
      <w:r w:rsidRPr="00EF34C7">
        <w:rPr>
          <w:rFonts w:ascii="Times New Roman" w:eastAsia="Times New Roman" w:hAnsi="Times New Roman" w:cs="Times New Roman"/>
          <w:kern w:val="0"/>
          <w:u w:color="004C7F"/>
          <w:lang w:eastAsia="en-GB"/>
          <w14:ligatures w14:val="none"/>
        </w:rPr>
        <w:fldChar w:fldCharType="begin"/>
      </w:r>
      <w:r w:rsidRPr="00EF34C7">
        <w:rPr>
          <w:rFonts w:ascii="Times New Roman" w:eastAsia="Times New Roman" w:hAnsi="Times New Roman" w:cs="Times New Roman"/>
          <w:kern w:val="0"/>
          <w:u w:color="004C7F"/>
          <w:lang w:eastAsia="en-GB"/>
          <w14:ligatures w14:val="none"/>
        </w:rPr>
        <w:instrText xml:space="preserve"> ADDIN ZOTERO_ITEM CSL_CITATION {"citationID":"VxMv2im6","properties":{"formattedCitation":"(34)","plainCitation":"(34)","noteIndex":0},"citationItems":[{"id":77,"uris":["http://zotero.org/users/6304864/items/AX2XH8HK"],"itemData":{"id":77,"type":"article-journal","container-title":"International Journal of Epidemiology","DOI":"10.1093/ije/dyaa077","ISSN":"1464-3685","issue":"3","note":"publisher: Oxford University Press (OUP)","page":"1043–1052","title":"Reflection on modern methods: when is a stepped-wedge cluster randomized trial a good study design choice?","volume":"49","author":[{"family":"Hemming","given":"Karla"},{"family":"Taljaard","given":"Monica"}],"issued":{"date-parts":[["2020",5]]}}}],"schema":"https://github.com/citation-style-language/schema/raw/master/csl-citation.json"} </w:instrText>
      </w:r>
      <w:r w:rsidRPr="00EF34C7">
        <w:rPr>
          <w:rFonts w:ascii="Times New Roman" w:eastAsia="Times New Roman" w:hAnsi="Times New Roman" w:cs="Times New Roman"/>
          <w:kern w:val="0"/>
          <w:u w:color="004C7F"/>
          <w:lang w:eastAsia="en-GB"/>
          <w14:ligatures w14:val="none"/>
        </w:rPr>
        <w:fldChar w:fldCharType="separate"/>
      </w:r>
      <w:r w:rsidRPr="00EF34C7">
        <w:rPr>
          <w:rFonts w:ascii="Times New Roman" w:eastAsia="Times New Roman" w:hAnsi="Times New Roman" w:cs="Times New Roman"/>
          <w:kern w:val="0"/>
          <w:u w:color="004C7F"/>
          <w:lang w:eastAsia="en-GB"/>
          <w14:ligatures w14:val="none"/>
        </w:rPr>
        <w:t>(34)</w:t>
      </w:r>
      <w:r w:rsidRPr="00EF34C7">
        <w:rPr>
          <w:rFonts w:ascii="Times New Roman" w:eastAsia="Times New Roman" w:hAnsi="Times New Roman" w:cs="Times New Roman"/>
          <w:kern w:val="0"/>
          <w:u w:color="004C7F"/>
          <w:lang w:eastAsia="en-GB"/>
          <w14:ligatures w14:val="none"/>
        </w:rPr>
        <w:fldChar w:fldCharType="end"/>
      </w:r>
      <w:r w:rsidRPr="00EF34C7">
        <w:rPr>
          <w:rFonts w:ascii="Times New Roman" w:eastAsia="Times New Roman" w:hAnsi="Times New Roman" w:cs="Times New Roman"/>
          <w:kern w:val="0"/>
          <w:u w:color="004C7F"/>
          <w:lang w:eastAsia="en-GB"/>
          <w14:ligatures w14:val="none"/>
        </w:rPr>
        <w:t xml:space="preserve">. In this trial, the number of clusters is limited because of the costs associated with ATLS® training and the available slots for ATLS® training in India. Second, the stepped-wedge design is likely to increase participation and engagement because all clusters receive the intervention. The batched stepped-wedge design further improves feasibility as it does not require all clusters to start at the same time, and it is robust to potential delays in cluster recruitment </w:t>
      </w:r>
      <w:r w:rsidRPr="00EF34C7">
        <w:rPr>
          <w:rFonts w:ascii="Times New Roman" w:eastAsia="Times New Roman" w:hAnsi="Times New Roman" w:cs="Times New Roman"/>
          <w:kern w:val="0"/>
          <w:u w:color="004C7F"/>
          <w:lang w:eastAsia="en-GB"/>
          <w14:ligatures w14:val="none"/>
        </w:rPr>
        <w:fldChar w:fldCharType="begin"/>
      </w:r>
      <w:r w:rsidRPr="00EF34C7">
        <w:rPr>
          <w:rFonts w:ascii="Times New Roman" w:eastAsia="Times New Roman" w:hAnsi="Times New Roman" w:cs="Times New Roman"/>
          <w:kern w:val="0"/>
          <w:u w:color="004C7F"/>
          <w:lang w:eastAsia="en-GB"/>
          <w14:ligatures w14:val="none"/>
        </w:rPr>
        <w:instrText xml:space="preserve"> ADDIN ZOTERO_ITEM CSL_CITATION {"citationID":"aFSnz1k4","properties":{"formattedCitation":"(35)","plainCitation":"(35)","noteIndex":0},"citationItems":[{"id":97,"uris":["http://zotero.org/users/6304864/items/F7JU3MYG"],"itemData":{"id":97,"type":"article-journal","container-title":"Statistics in Medicine","DOI":"10.1002/sim.9438","issue":"18","note":"publisher: Wiley","page":"3627–3641","title":"The batched stepped wedge design: A design robust to delays in cluster recruitment","volume":"41","author":[{"family":"Kasza","given":"Jessica"},{"family":"Bowden","given":"Rhys"},{"family":"Hooper","given":"Richard"},{"family":"Forbes","given":"Andrew B."}],"issued":{"date-parts":[["2022",5]]}}}],"schema":"https://github.com/citation-style-language/schema/raw/master/csl-citation.json"} </w:instrText>
      </w:r>
      <w:r w:rsidRPr="00EF34C7">
        <w:rPr>
          <w:rFonts w:ascii="Times New Roman" w:eastAsia="Times New Roman" w:hAnsi="Times New Roman" w:cs="Times New Roman"/>
          <w:kern w:val="0"/>
          <w:u w:color="004C7F"/>
          <w:lang w:eastAsia="en-GB"/>
          <w14:ligatures w14:val="none"/>
        </w:rPr>
        <w:fldChar w:fldCharType="separate"/>
      </w:r>
      <w:r w:rsidRPr="00EF34C7">
        <w:rPr>
          <w:rFonts w:ascii="Times New Roman" w:eastAsia="Times New Roman" w:hAnsi="Times New Roman" w:cs="Times New Roman"/>
          <w:kern w:val="0"/>
          <w:u w:color="004C7F"/>
          <w:lang w:eastAsia="en-GB"/>
          <w14:ligatures w14:val="none"/>
        </w:rPr>
        <w:t>(35)</w:t>
      </w:r>
      <w:r w:rsidRPr="00EF34C7">
        <w:rPr>
          <w:rFonts w:ascii="Times New Roman" w:eastAsia="Times New Roman" w:hAnsi="Times New Roman" w:cs="Times New Roman"/>
          <w:kern w:val="0"/>
          <w:u w:color="004C7F"/>
          <w:lang w:eastAsia="en-GB"/>
          <w14:ligatures w14:val="none"/>
        </w:rPr>
        <w:fldChar w:fldCharType="end"/>
      </w:r>
      <w:r w:rsidRPr="00EF34C7">
        <w:rPr>
          <w:rFonts w:ascii="Times New Roman" w:eastAsia="Times New Roman" w:hAnsi="Times New Roman" w:cs="Times New Roman"/>
          <w:kern w:val="0"/>
          <w:u w:color="004C7F"/>
          <w:lang w:eastAsia="en-GB"/>
          <w14:ligatures w14:val="none"/>
        </w:rPr>
        <w:t>. We nest a staircase design within the main design and collect data only from a subset of patients for some of the secpndary outcomes because these outcomes will be considerably more labour intensive to collect than the primary outcome, and collecting these for all patient participants would be unfeasible.</w:t>
      </w:r>
    </w:p>
    <w:p w14:paraId="74F19795" w14:textId="77777777" w:rsidR="00EF34C7" w:rsidRPr="00EF34C7" w:rsidRDefault="00EF34C7" w:rsidP="00EF34C7">
      <w:pPr>
        <w:widowControl w:val="0"/>
        <w:pBdr>
          <w:top w:val="nil"/>
          <w:left w:val="nil"/>
          <w:bottom w:val="nil"/>
          <w:right w:val="nil"/>
          <w:between w:val="nil"/>
          <w:bar w:val="nil"/>
        </w:pBdr>
        <w:spacing w:before="200" w:after="80"/>
        <w:outlineLvl w:val="0"/>
        <w:rPr>
          <w:rFonts w:ascii="Times New Roman" w:eastAsia="Arial Unicode MS" w:hAnsi="Times New Roman" w:cs="Times New Roman"/>
          <w:b/>
          <w:bCs/>
          <w:color w:val="000000"/>
          <w:kern w:val="0"/>
          <w:sz w:val="28"/>
          <w:szCs w:val="28"/>
          <w:u w:color="000000"/>
          <w:bdr w:val="nil"/>
          <w:lang w:val="en-US" w:eastAsia="en-GB"/>
          <w14:ligatures w14:val="none"/>
        </w:rPr>
      </w:pPr>
      <w:r w:rsidRPr="00EF34C7">
        <w:rPr>
          <w:rFonts w:ascii="Times New Roman" w:eastAsia="Arial Unicode MS" w:hAnsi="Times New Roman" w:cs="Times New Roman"/>
          <w:b/>
          <w:bCs/>
          <w:color w:val="000000"/>
          <w:kern w:val="0"/>
          <w:sz w:val="28"/>
          <w:szCs w:val="28"/>
          <w:u w:color="000000"/>
          <w:bdr w:val="nil"/>
          <w:lang w:val="en-US" w:eastAsia="en-GB"/>
          <w14:ligatures w14:val="none"/>
        </w:rPr>
        <w:t>Methods: Participants, interventions and outcomes</w:t>
      </w:r>
    </w:p>
    <w:p w14:paraId="735133C0"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t>Study setting {9}</w:t>
      </w:r>
    </w:p>
    <w:p w14:paraId="0D3B39ED"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The study setting includes 30 secondary or tertiary hospitals distributed across India. These hospitals will be divided into six batches, with each batch including five hospitals. Each hospital will include one or more units of physicians providing initial trauma care in the emergency department of tertiary hospitals in India. Included hospitals will include patient participants for 13 months.  </w:t>
      </w:r>
    </w:p>
    <w:p w14:paraId="3429DF3D"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t>Eligibility criteria {10}</w:t>
      </w:r>
    </w:p>
    <w:p w14:paraId="4565EC18"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The eligibility criteria for this trial are on the cluster and patient participant levels.</w:t>
      </w:r>
    </w:p>
    <w:p w14:paraId="721F32C0" w14:textId="77777777" w:rsidR="00EF34C7" w:rsidRPr="00EF34C7" w:rsidRDefault="00EF34C7" w:rsidP="00EF34C7">
      <w:pPr>
        <w:spacing w:before="200" w:after="120"/>
        <w:outlineLvl w:val="2"/>
        <w:rPr>
          <w:rFonts w:ascii="Times New Roman" w:eastAsia="Times New Roman" w:hAnsi="Times New Roman" w:cs="Times New Roman"/>
          <w:b/>
          <w:bCs/>
          <w:kern w:val="0"/>
          <w:u w:color="004C7F"/>
          <w:lang w:eastAsia="en-GB"/>
          <w14:ligatures w14:val="none"/>
        </w:rPr>
      </w:pPr>
      <w:r w:rsidRPr="00EF34C7">
        <w:rPr>
          <w:rFonts w:ascii="Times New Roman" w:eastAsia="Times New Roman" w:hAnsi="Times New Roman" w:cs="Times New Roman"/>
          <w:b/>
          <w:bCs/>
          <w:kern w:val="0"/>
          <w:u w:color="004C7F"/>
          <w:lang w:eastAsia="en-GB"/>
          <w14:ligatures w14:val="none"/>
        </w:rPr>
        <w:t>Clusters</w:t>
      </w:r>
    </w:p>
    <w:p w14:paraId="31EAEE61"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We will compile a list of potentially eligible hospitals and then screen these by completing an initial hospital screening call, followed by an in-depth interview with hospitals fulfilling the eligibility criteria. </w:t>
      </w:r>
    </w:p>
    <w:p w14:paraId="1CC7D808"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val="en-GB" w:eastAsia="en-GB"/>
          <w14:ligatures w14:val="none"/>
        </w:rPr>
        <w:t>The inclusion criteria for participating hospitals are as follows:</w:t>
      </w:r>
    </w:p>
    <w:p w14:paraId="39B767C0" w14:textId="77777777" w:rsidR="00EF34C7" w:rsidRPr="00EF34C7" w:rsidRDefault="00EF34C7" w:rsidP="00EF34C7">
      <w:pPr>
        <w:numPr>
          <w:ilvl w:val="0"/>
          <w:numId w:val="11"/>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Admit or refer/transfer for admission at least 400 patients with trauma per year or 35 patients with trauma per month for at least the last six months;</w:t>
      </w:r>
    </w:p>
    <w:p w14:paraId="4C13F71B" w14:textId="77777777" w:rsidR="00EF34C7" w:rsidRPr="00EF34C7" w:rsidRDefault="00EF34C7" w:rsidP="00EF34C7">
      <w:pPr>
        <w:numPr>
          <w:ilvl w:val="0"/>
          <w:numId w:val="11"/>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Provide surgical and orthopaedic emergency services around the clock; </w:t>
      </w:r>
    </w:p>
    <w:p w14:paraId="34FBB627" w14:textId="77777777" w:rsidR="00EF34C7" w:rsidRPr="00EF34C7" w:rsidRDefault="00EF34C7" w:rsidP="00EF34C7">
      <w:pPr>
        <w:numPr>
          <w:ilvl w:val="0"/>
          <w:numId w:val="11"/>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Have at most 25% of physicians providing initial trauma care trained in a formalised trauma life support training programme, like ATLS® or Primary Trauma Care (PTC).</w:t>
      </w:r>
    </w:p>
    <w:p w14:paraId="3787CCDC"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The exclusion criteria for participating hospitals are as follows:</w:t>
      </w:r>
    </w:p>
    <w:p w14:paraId="6FCAF3D4" w14:textId="77777777" w:rsidR="00EF34C7" w:rsidRPr="00EF34C7" w:rsidRDefault="00EF34C7" w:rsidP="00EF34C7">
      <w:pPr>
        <w:numPr>
          <w:ilvl w:val="0"/>
          <w:numId w:val="10"/>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Implement a formalised trauma life support training programme during the trial period.</w:t>
      </w:r>
    </w:p>
    <w:p w14:paraId="57F8F909" w14:textId="77777777" w:rsidR="00EF34C7" w:rsidRPr="00EF34C7" w:rsidRDefault="00EF34C7" w:rsidP="00EF34C7">
      <w:pPr>
        <w:numPr>
          <w:ilvl w:val="0"/>
          <w:numId w:val="10"/>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Plan to implement or implement other major interventions that affects trauma care during the trial period.</w:t>
      </w:r>
    </w:p>
    <w:p w14:paraId="0576B334" w14:textId="77777777" w:rsidR="00EF34C7" w:rsidRPr="00EF34C7" w:rsidRDefault="00EF34C7" w:rsidP="00EF34C7">
      <w:pPr>
        <w:spacing w:after="120"/>
        <w:rPr>
          <w:rFonts w:ascii="Times New Roman" w:eastAsia="Times New Roman" w:hAnsi="Times New Roman" w:cs="Helvetica Neue"/>
          <w:b/>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Within each included hospital, we will include one or more units of physicians providing initial trauma care in the emergency department. These units already exist in the hospitals and rotate through the emergency department on specific days of the week. The units must meet the following criteria:</w:t>
      </w:r>
    </w:p>
    <w:p w14:paraId="35C578B4" w14:textId="77777777" w:rsidR="00EF34C7" w:rsidRPr="00EF34C7" w:rsidRDefault="00EF34C7" w:rsidP="00EF34C7">
      <w:pPr>
        <w:numPr>
          <w:ilvl w:val="0"/>
          <w:numId w:val="9"/>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Admits or refers/transfers for admission at least 12 patients with trauma per month for at least the last six months;</w:t>
      </w:r>
    </w:p>
    <w:p w14:paraId="73B46EAC" w14:textId="77777777" w:rsidR="00EF34C7" w:rsidRPr="00EF34C7" w:rsidRDefault="00EF34C7" w:rsidP="00EF34C7">
      <w:pPr>
        <w:numPr>
          <w:ilvl w:val="0"/>
          <w:numId w:val="9"/>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No more than 25% of physicians providing initial trauma care trained in a formalised trauma life support training programme.</w:t>
      </w:r>
    </w:p>
    <w:p w14:paraId="6C06C227" w14:textId="77777777" w:rsidR="00EF34C7" w:rsidRPr="00EF34C7" w:rsidRDefault="00EF34C7" w:rsidP="00EF34C7">
      <w:pPr>
        <w:spacing w:before="200" w:after="120"/>
        <w:outlineLvl w:val="2"/>
        <w:rPr>
          <w:rFonts w:ascii="Times New Roman" w:eastAsia="Times New Roman" w:hAnsi="Times New Roman" w:cs="Times New Roman"/>
          <w:b/>
          <w:bCs/>
          <w:kern w:val="0"/>
          <w:u w:color="004C7F"/>
          <w:lang w:eastAsia="en-GB"/>
          <w14:ligatures w14:val="none"/>
        </w:rPr>
      </w:pPr>
      <w:r w:rsidRPr="00EF34C7">
        <w:rPr>
          <w:rFonts w:ascii="Times New Roman" w:eastAsia="Times New Roman" w:hAnsi="Times New Roman" w:cs="Times New Roman"/>
          <w:b/>
          <w:bCs/>
          <w:kern w:val="0"/>
          <w:u w:color="004C7F"/>
          <w:lang w:eastAsia="en-GB"/>
          <w14:ligatures w14:val="none"/>
        </w:rPr>
        <w:t>Patient participants</w:t>
      </w:r>
    </w:p>
    <w:p w14:paraId="5A53542B"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lastRenderedPageBreak/>
        <w:t>The inclusion criteria for the patient are as follows:</w:t>
      </w:r>
    </w:p>
    <w:p w14:paraId="49D0D528" w14:textId="77777777" w:rsidR="00EF34C7" w:rsidRPr="00EF34C7" w:rsidRDefault="00EF34C7" w:rsidP="00EF34C7">
      <w:pPr>
        <w:numPr>
          <w:ilvl w:val="0"/>
          <w:numId w:val="8"/>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At least 15 years of age;</w:t>
      </w:r>
    </w:p>
    <w:p w14:paraId="6B8E29B5" w14:textId="77777777" w:rsidR="00EF34C7" w:rsidRPr="00EF34C7" w:rsidRDefault="00EF34C7" w:rsidP="00EF34C7">
      <w:pPr>
        <w:numPr>
          <w:ilvl w:val="0"/>
          <w:numId w:val="8"/>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Trauma occuring less than 48 hours before arrival at the hospital;</w:t>
      </w:r>
    </w:p>
    <w:p w14:paraId="47E2FE36" w14:textId="77777777" w:rsidR="00EF34C7" w:rsidRPr="00EF34C7" w:rsidRDefault="00EF34C7" w:rsidP="00EF34C7">
      <w:pPr>
        <w:numPr>
          <w:ilvl w:val="0"/>
          <w:numId w:val="8"/>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Presenting to the emergency department of the participating hospitals, with a history of trauma defined as any of the reasons listed in the International Classification of Diseases chapter 20 as the reason for presenting;</w:t>
      </w:r>
    </w:p>
    <w:p w14:paraId="6A3F4863" w14:textId="77777777" w:rsidR="00EF34C7" w:rsidRPr="00EF34C7" w:rsidRDefault="00EF34C7" w:rsidP="00EF34C7">
      <w:pPr>
        <w:numPr>
          <w:ilvl w:val="0"/>
          <w:numId w:val="8"/>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Admitted, or died between arrival at the hospital and admission, or referred/ transferred from the emergency department of a participating hospital to another hospital for admission; and</w:t>
      </w:r>
    </w:p>
    <w:p w14:paraId="18C8F7F3" w14:textId="77777777" w:rsidR="00EF34C7" w:rsidRPr="00EF34C7" w:rsidRDefault="00EF34C7" w:rsidP="00EF34C7">
      <w:pPr>
        <w:numPr>
          <w:ilvl w:val="0"/>
          <w:numId w:val="8"/>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Managed by a participating unit in the emergency department.</w:t>
      </w:r>
    </w:p>
    <w:p w14:paraId="70DCF406"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The exclusion criteria for the patient participants are as follows:</w:t>
      </w:r>
    </w:p>
    <w:p w14:paraId="678A86B5" w14:textId="77777777" w:rsidR="00EF34C7" w:rsidRPr="00EF34C7" w:rsidRDefault="00EF34C7" w:rsidP="00EF34C7">
      <w:pPr>
        <w:numPr>
          <w:ilvl w:val="0"/>
          <w:numId w:val="7"/>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Presenting with isolated closed extremity fracture; </w:t>
      </w:r>
    </w:p>
    <w:p w14:paraId="485EC99C" w14:textId="77777777" w:rsidR="00EF34C7" w:rsidRPr="00EF34C7" w:rsidRDefault="00EF34C7" w:rsidP="00EF34C7">
      <w:pPr>
        <w:numPr>
          <w:ilvl w:val="0"/>
          <w:numId w:val="7"/>
        </w:numPr>
        <w:spacing w:after="120"/>
        <w:contextualSpacing/>
        <w:rPr>
          <w:rFonts w:ascii="Times New Roman" w:eastAsia="Times New Roman" w:hAnsi="Times New Roman" w:cs="Times New Roman"/>
          <w:color w:val="000000"/>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Admitted directly to a ward without being seen by a physician in the emergency department.</w:t>
      </w:r>
    </w:p>
    <w:p w14:paraId="7769492C"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t>Who will take informed consent? {26a}</w:t>
      </w:r>
    </w:p>
    <w:p w14:paraId="1D292595"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Because this is a cluster randomised trial, with the intervention delivered to physicians, patient participants cannot consent to the intervention. Therefore, in this study, consent refers to consent for data collection.</w:t>
      </w:r>
    </w:p>
    <w:p w14:paraId="4E937DB3"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Participants will be included in this trial with the following modes of consent:</w:t>
      </w:r>
    </w:p>
    <w:p w14:paraId="0B4A1B31" w14:textId="77777777" w:rsidR="00EF34C7" w:rsidRPr="00EF34C7" w:rsidRDefault="00EF34C7" w:rsidP="00EF34C7">
      <w:pPr>
        <w:numPr>
          <w:ilvl w:val="0"/>
          <w:numId w:val="12"/>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Opt-out consent for routinely recorded data and measurement of adherence to ATLS® principles. Consent for the collection of routinely recorded data, either through interviews or by extracting information from medical records, as well as for the measurement of adherence to ATLS® principles, will be presumed unless explicitly declined. This approach is justified because the trial is considered to pose minimal risk and because data collection will be noninvasive. Additionally, obtaining consent specifically for the measurement of adherence to ATLS® principles could interfere with the provision of care and cause undue stress for patients and their representatives. Participants, or their legally authorised representatives, will be provided with written information about the study upon their arrival at the hospital.</w:t>
      </w:r>
    </w:p>
    <w:p w14:paraId="3501CE24" w14:textId="77777777" w:rsidR="00EF34C7" w:rsidRPr="00EF34C7" w:rsidRDefault="00EF34C7" w:rsidP="00EF34C7">
      <w:pPr>
        <w:numPr>
          <w:ilvl w:val="0"/>
          <w:numId w:val="12"/>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Opt-in consent and assent for nonroutinely recorded data. Informed consent for nonroutinely recorded data will be actively sought from participants or their legally authorised representative. For participants who are between 15 and 18 years of age we will obtain both the assent of the participant as well as the consent of their guardian or legally authorized representative. Participants and their representatives will be approached after admission. Consent and assent will be written for participants who are admitted to the hospital and verbal for participants who are transferred or discharged before the clinical research coordinators have had an opportunity to approach them. Verbal consent will be audio recorded.</w:t>
      </w:r>
    </w:p>
    <w:p w14:paraId="214DFC6B" w14:textId="77777777" w:rsidR="00EF34C7" w:rsidRPr="00EF34C7" w:rsidRDefault="00EF34C7" w:rsidP="00EF34C7">
      <w:pPr>
        <w:numPr>
          <w:ilvl w:val="0"/>
          <w:numId w:val="12"/>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Waiver of informed consent for participants who are unconscious or otherwise unable to provide consent and who do not have a legally authorised representative. This group represents the most severely injured participants, who must be included to make the trial representative of the entire population of trauma participants. Participants who regain consciousness will be informed about the study and asked to consent to the collection of nonroutinely recorded data.</w:t>
      </w:r>
    </w:p>
    <w:p w14:paraId="47D95755"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t>Additional consent provisions for collection and use of participant data and biological specimens {26b}</w:t>
      </w:r>
    </w:p>
    <w:p w14:paraId="77F83623"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Not applicable, the data will be anonymized after the trial is completed and no biological specimens are collected. </w:t>
      </w:r>
    </w:p>
    <w:p w14:paraId="0841C9E4" w14:textId="77777777" w:rsidR="00EF34C7" w:rsidRPr="00EF34C7" w:rsidRDefault="00EF34C7" w:rsidP="00EF34C7">
      <w:pPr>
        <w:widowControl w:val="0"/>
        <w:pBdr>
          <w:top w:val="nil"/>
          <w:left w:val="nil"/>
          <w:bottom w:val="nil"/>
          <w:right w:val="nil"/>
          <w:between w:val="nil"/>
          <w:bar w:val="nil"/>
        </w:pBdr>
        <w:spacing w:before="200" w:after="80"/>
        <w:outlineLvl w:val="0"/>
        <w:rPr>
          <w:rFonts w:ascii="Times New Roman" w:eastAsia="Arial Unicode MS" w:hAnsi="Times New Roman" w:cs="Times New Roman"/>
          <w:b/>
          <w:bCs/>
          <w:color w:val="000000"/>
          <w:kern w:val="0"/>
          <w:sz w:val="28"/>
          <w:szCs w:val="28"/>
          <w:u w:color="000000"/>
          <w:bdr w:val="nil"/>
          <w:lang w:val="en-US" w:eastAsia="en-GB"/>
          <w14:ligatures w14:val="none"/>
        </w:rPr>
      </w:pPr>
      <w:r w:rsidRPr="00EF34C7">
        <w:rPr>
          <w:rFonts w:ascii="Times New Roman" w:eastAsia="Arial Unicode MS" w:hAnsi="Times New Roman" w:cs="Times New Roman"/>
          <w:b/>
          <w:bCs/>
          <w:color w:val="000000"/>
          <w:kern w:val="0"/>
          <w:sz w:val="28"/>
          <w:szCs w:val="28"/>
          <w:u w:color="000000"/>
          <w:bdr w:val="nil"/>
          <w:lang w:val="en-US" w:eastAsia="en-GB"/>
          <w14:ligatures w14:val="none"/>
        </w:rPr>
        <w:lastRenderedPageBreak/>
        <w:t>Interventions</w:t>
      </w:r>
    </w:p>
    <w:p w14:paraId="5EEAD5F7"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t>Explanation for the choice of comparators {6b}</w:t>
      </w:r>
    </w:p>
    <w:p w14:paraId="721F5006"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The control will be standard care, meaning no formal trauma life support training. Standard care varies across hospitals in India, but trauma patients are initially managed by casualty medical o</w:t>
      </w:r>
      <w:r w:rsidRPr="00EF34C7">
        <w:rPr>
          <w:rFonts w:ascii="Cambria Math" w:eastAsia="Times New Roman" w:hAnsi="Cambria Math" w:cs="Cambria Math"/>
          <w:kern w:val="0"/>
          <w:u w:color="004C7F"/>
          <w:lang w:eastAsia="en-GB"/>
          <w14:ligatures w14:val="none"/>
        </w:rPr>
        <w:t>ﬀ</w:t>
      </w:r>
      <w:r w:rsidRPr="00EF34C7">
        <w:rPr>
          <w:rFonts w:ascii="Times New Roman" w:eastAsia="Times New Roman" w:hAnsi="Times New Roman" w:cs="Times New Roman"/>
          <w:kern w:val="0"/>
          <w:u w:color="004C7F"/>
          <w:lang w:eastAsia="en-GB"/>
          <w14:ligatures w14:val="none"/>
        </w:rPr>
        <w:t>icers, surgical residents, or emergency medicine residents. The</w:t>
      </w:r>
      <w:r w:rsidRPr="00EF34C7">
        <w:rPr>
          <w:rFonts w:ascii="Times New Roman" w:eastAsia="Times New Roman" w:hAnsi="Times New Roman" w:cs="Times New Roman"/>
          <w:kern w:val="0"/>
          <w:u w:color="004C7F"/>
          <w:lang w:val="en-US" w:eastAsia="en-GB"/>
          <w14:ligatures w14:val="none"/>
        </w:rPr>
        <w:t>r</w:t>
      </w:r>
      <w:r w:rsidRPr="00EF34C7">
        <w:rPr>
          <w:rFonts w:ascii="Times New Roman" w:eastAsia="Times New Roman" w:hAnsi="Times New Roman" w:cs="Times New Roman"/>
          <w:kern w:val="0"/>
          <w:u w:color="004C7F"/>
          <w:lang w:eastAsia="en-GB"/>
          <w14:ligatures w14:val="none"/>
        </w:rPr>
        <w:t>e are mainly first- or second-year residents who resuscitate patients, perform interventions and refer patients for imaging or other investigations.</w:t>
      </w:r>
    </w:p>
    <w:p w14:paraId="364DFA94"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t>Intervention description {11a}</w:t>
      </w:r>
    </w:p>
    <w:p w14:paraId="6892D81B" w14:textId="77777777" w:rsidR="00EF34C7" w:rsidRPr="00EF34C7" w:rsidRDefault="00EF34C7" w:rsidP="00EF34C7">
      <w:pPr>
        <w:spacing w:after="120"/>
        <w:rPr>
          <w:rFonts w:ascii="Times New Roman" w:eastAsia="Times New Roman" w:hAnsi="Times New Roman" w:cs="Times New Roman"/>
          <w:strike/>
          <w:color w:val="0078D4"/>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The intervention in this study is the ATLS® training, which is a proprietary 2-day course that teaches a standardised approach to trauma patient care using the concepts of a primary and secondary survey. The programme was developed by the Committee of Trauma of the American College of Surgeons. The course includes initial treatment and resuscitation, triage and interfacility transfers. Learning is based on practical scenario-driven skill stations and lectures and includes a final performance proficiency evaluation </w:t>
      </w:r>
      <w:r w:rsidRPr="00EF34C7">
        <w:rPr>
          <w:rFonts w:ascii="Times New Roman" w:eastAsia="Times New Roman" w:hAnsi="Times New Roman" w:cs="Times New Roman"/>
          <w:kern w:val="0"/>
          <w:u w:color="004C7F"/>
          <w:lang w:eastAsia="en-GB"/>
          <w14:ligatures w14:val="none"/>
        </w:rPr>
        <w:fldChar w:fldCharType="begin"/>
      </w:r>
      <w:r w:rsidRPr="00EF34C7">
        <w:rPr>
          <w:rFonts w:ascii="Times New Roman" w:eastAsia="Times New Roman" w:hAnsi="Times New Roman" w:cs="Times New Roman"/>
          <w:kern w:val="0"/>
          <w:u w:color="004C7F"/>
          <w:lang w:eastAsia="en-GB"/>
          <w14:ligatures w14:val="none"/>
        </w:rPr>
        <w:instrText xml:space="preserve"> ADDIN ZOTERO_ITEM CSL_CITATION {"citationID":"b5F0KDRR","properties":{"formattedCitation":"(13)","plainCitation":"(13)","noteIndex":0},"citationItems":[{"id":4,"uris":["http://zotero.org/users/6304864/items/EMM4BBSS"],"itemData":{"id":4,"type":"book","edition":"10th","event-place":"633 N. Saint Clair Street, Chicago, IL 60611-3211","publisher":"American College of Surgeons","publisher-place":"633 N. Saint Clair Street, Chicago, IL 60611-3211","title":"Advanced Trauma Life Support® Student Course Manual","author":[{"family":"American College of Surgeons","given":"Committee on Trauma"}],"issued":{"date-parts":[["2018"]]}}}],"schema":"https://github.com/citation-style-language/schema/raw/master/csl-citation.json"} </w:instrText>
      </w:r>
      <w:r w:rsidRPr="00EF34C7">
        <w:rPr>
          <w:rFonts w:ascii="Times New Roman" w:eastAsia="Times New Roman" w:hAnsi="Times New Roman" w:cs="Times New Roman"/>
          <w:kern w:val="0"/>
          <w:u w:color="004C7F"/>
          <w:lang w:eastAsia="en-GB"/>
          <w14:ligatures w14:val="none"/>
        </w:rPr>
        <w:fldChar w:fldCharType="separate"/>
      </w:r>
      <w:r w:rsidRPr="00EF34C7">
        <w:rPr>
          <w:rFonts w:ascii="Times New Roman" w:eastAsia="Times New Roman" w:hAnsi="Times New Roman" w:cs="Times New Roman"/>
          <w:noProof/>
          <w:kern w:val="0"/>
          <w:u w:color="004C7F"/>
          <w:lang w:eastAsia="en-GB"/>
          <w14:ligatures w14:val="none"/>
        </w:rPr>
        <w:t>(13)</w:t>
      </w:r>
      <w:r w:rsidRPr="00EF34C7">
        <w:rPr>
          <w:rFonts w:ascii="Times New Roman" w:eastAsia="Times New Roman" w:hAnsi="Times New Roman" w:cs="Times New Roman"/>
          <w:kern w:val="0"/>
          <w:u w:color="004C7F"/>
          <w:lang w:eastAsia="en-GB"/>
          <w14:ligatures w14:val="none"/>
        </w:rPr>
        <w:fldChar w:fldCharType="end"/>
      </w:r>
      <w:r w:rsidRPr="00EF34C7">
        <w:rPr>
          <w:rFonts w:ascii="Times New Roman" w:eastAsia="Times New Roman" w:hAnsi="Times New Roman" w:cs="Times New Roman"/>
          <w:kern w:val="0"/>
          <w:u w:color="004C7F"/>
          <w:lang w:eastAsia="en-GB"/>
          <w14:ligatures w14:val="none"/>
        </w:rPr>
        <w:t>.</w:t>
      </w:r>
      <w:r w:rsidRPr="00EF34C7">
        <w:rPr>
          <w:rFonts w:ascii="Times New Roman" w:eastAsia="Times New Roman" w:hAnsi="Times New Roman" w:cs="Times New Roman"/>
          <w:strike/>
          <w:color w:val="0078D4"/>
          <w:kern w:val="0"/>
          <w:u w:color="004C7F"/>
          <w:lang w:eastAsia="en-GB"/>
          <w14:ligatures w14:val="none"/>
        </w:rPr>
        <w:t xml:space="preserve"> </w:t>
      </w:r>
    </w:p>
    <w:p w14:paraId="64796391" w14:textId="77777777" w:rsidR="00EF34C7" w:rsidRPr="00EF34C7" w:rsidRDefault="00EF34C7" w:rsidP="00EF34C7">
      <w:pPr>
        <w:spacing w:after="120"/>
        <w:rPr>
          <w:rFonts w:ascii="Times New Roman" w:eastAsia="Times New Roman" w:hAnsi="Times New Roman" w:cs="Times New Roman"/>
          <w:strike/>
          <w:color w:val="0078D4"/>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We will train physicians who initially resuscitate and provide trauma care during the first hour after patient arrival at the emergency department. These physicians can be casualty medical o</w:t>
      </w:r>
      <w:r w:rsidRPr="00EF34C7">
        <w:rPr>
          <w:rFonts w:ascii="Cambria Math" w:eastAsia="Times New Roman" w:hAnsi="Cambria Math" w:cs="Cambria Math"/>
          <w:kern w:val="0"/>
          <w:u w:color="004C7F"/>
          <w:lang w:eastAsia="en-GB"/>
          <w14:ligatures w14:val="none"/>
        </w:rPr>
        <w:t>ﬀ</w:t>
      </w:r>
      <w:r w:rsidRPr="00EF34C7">
        <w:rPr>
          <w:rFonts w:ascii="Times New Roman" w:eastAsia="Times New Roman" w:hAnsi="Times New Roman" w:cs="Times New Roman"/>
          <w:kern w:val="0"/>
          <w:u w:color="004C7F"/>
          <w:lang w:eastAsia="en-GB"/>
          <w14:ligatures w14:val="none"/>
        </w:rPr>
        <w:t>icers, surgical residents, or emergency medicine residents, depending on the setup at each participating centre. Physicians will be trained in an accredited ATLS® training facility in India. The training will occur during the transition phase in each cluster. Our experience from the pilot study is that study sites adhere to the training slot allotted to them through the trial; therefore, we judge the risk of clusters implementing ATLS® before their randomised implementation sequence to be very low.</w:t>
      </w:r>
      <w:r w:rsidRPr="00EF34C7">
        <w:rPr>
          <w:rFonts w:ascii="Times New Roman" w:eastAsia="Times New Roman" w:hAnsi="Times New Roman" w:cs="Times New Roman"/>
          <w:strike/>
          <w:color w:val="0078D4"/>
          <w:kern w:val="0"/>
          <w:u w:color="004C7F"/>
          <w:lang w:eastAsia="en-GB"/>
          <w14:ligatures w14:val="none"/>
        </w:rPr>
        <w:t xml:space="preserve"> </w:t>
      </w:r>
    </w:p>
    <w:p w14:paraId="1FED90C3"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We will train the number of units of physicians needed to reach the required patient sample size. We estimate that this will require training an average of ten physicians per hospital, which should mean that we can train one to two units per hospital on average. This is possible because many hospitals in India organise physician sta</w:t>
      </w:r>
      <w:r w:rsidRPr="00EF34C7">
        <w:rPr>
          <w:rFonts w:ascii="Cambria Math" w:eastAsia="Times New Roman" w:hAnsi="Cambria Math" w:cs="Cambria Math"/>
          <w:kern w:val="0"/>
          <w:u w:color="004C7F"/>
          <w:lang w:eastAsia="en-GB"/>
          <w14:ligatures w14:val="none"/>
        </w:rPr>
        <w:t>ﬀ</w:t>
      </w:r>
      <w:r w:rsidRPr="00EF34C7">
        <w:rPr>
          <w:rFonts w:ascii="Times New Roman" w:eastAsia="Times New Roman" w:hAnsi="Times New Roman" w:cs="Times New Roman"/>
          <w:kern w:val="0"/>
          <w:u w:color="004C7F"/>
          <w:lang w:eastAsia="en-GB"/>
          <w14:ligatures w14:val="none"/>
        </w:rPr>
        <w:t>ing of their emergency departments in units, and physicians in the same unit work together in the emergency department on the same days of the week. These physicians’ duties may change into another department as per the residency programme. Therefore, we will collect data only on the days when these units work. The units selected from each hospital will be a convenience sample of all eligible units in those hospitals. We will also assess adherence to ATLS® principles before and after implementing ATLS® training.</w:t>
      </w:r>
    </w:p>
    <w:p w14:paraId="77D74F92"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t>Criteria for discontinuing or modifying allocated interventions {11b}</w:t>
      </w:r>
    </w:p>
    <w:p w14:paraId="1A147FDD"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Not applicable because the intervention is delivered on the cluster level.</w:t>
      </w:r>
    </w:p>
    <w:p w14:paraId="1F7A0373"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t>Strategies to improve adherence to interventions {11c}</w:t>
      </w:r>
    </w:p>
    <w:p w14:paraId="26E3152A" w14:textId="77777777" w:rsidR="00EF34C7" w:rsidRPr="00EF34C7" w:rsidRDefault="00EF34C7" w:rsidP="00EF34C7">
      <w:pPr>
        <w:spacing w:after="120"/>
        <w:rPr>
          <w:rFonts w:ascii="Times New Roman" w:eastAsia="Times New Roman" w:hAnsi="Times New Roman" w:cs="Times New Roman"/>
          <w:color w:val="FF0000"/>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Adherence to ATLS® is one of the secondary outcomes and will be monitored using a checklist that covers the key steps of the ATLS® primary survey (see </w:t>
      </w:r>
      <w:r w:rsidRPr="00EF34C7">
        <w:rPr>
          <w:rFonts w:ascii="Times New Roman" w:eastAsia="Times New Roman" w:hAnsi="Times New Roman" w:cs="Times New Roman"/>
          <w:bCs/>
          <w:kern w:val="0"/>
          <w:u w:color="004C7F"/>
          <w:lang w:eastAsia="en-GB"/>
          <w14:ligatures w14:val="none"/>
        </w:rPr>
        <w:t>Table 1), for patients included using the nested staircase design. We will not enforce adherence to ATLS</w:t>
      </w:r>
      <w:r w:rsidRPr="00EF34C7">
        <w:rPr>
          <w:rFonts w:ascii="Times New Roman" w:eastAsia="Times New Roman" w:hAnsi="Times New Roman" w:cs="Times New Roman"/>
          <w:kern w:val="0"/>
          <w:u w:color="004C7F"/>
          <w:lang w:eastAsia="en-GB"/>
          <w14:ligatures w14:val="none"/>
        </w:rPr>
        <w:t>®, as this study is of real-world effectiveness of ATLS® rather than efficacy.</w:t>
      </w:r>
    </w:p>
    <w:p w14:paraId="70AFC38C"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t>Relevant concomitant care permitted or prohibited during the trial {11d}</w:t>
      </w:r>
    </w:p>
    <w:p w14:paraId="21EDC327"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Other than the implementation of another formalised trauma life support training programme or other major interventions to change the care of trauma patients as specified in the exclusion criteria, concomitant use of other medications and treatments may be provided at the discretion of the investigators and will not be considered an exclusion criterion.</w:t>
      </w:r>
    </w:p>
    <w:p w14:paraId="39647B39"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t>Provisions for post-trial care {30}</w:t>
      </w:r>
    </w:p>
    <w:p w14:paraId="5ED7FB31"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lastRenderedPageBreak/>
        <w:t>Not applicable because the intervention is a training programme for physicians.</w:t>
      </w:r>
    </w:p>
    <w:p w14:paraId="1ECC7D91" w14:textId="77777777" w:rsidR="00EF34C7" w:rsidRPr="00EF34C7" w:rsidRDefault="00EF34C7" w:rsidP="00EF34C7">
      <w:pPr>
        <w:widowControl w:val="0"/>
        <w:pBdr>
          <w:top w:val="nil"/>
          <w:left w:val="nil"/>
          <w:bottom w:val="nil"/>
          <w:right w:val="nil"/>
          <w:between w:val="nil"/>
          <w:bar w:val="nil"/>
        </w:pBdr>
        <w:spacing w:before="200" w:after="80"/>
        <w:outlineLvl w:val="0"/>
        <w:rPr>
          <w:rFonts w:ascii="Times New Roman" w:eastAsia="Arial Unicode MS" w:hAnsi="Times New Roman" w:cs="Times New Roman"/>
          <w:b/>
          <w:bCs/>
          <w:color w:val="000000"/>
          <w:kern w:val="0"/>
          <w:sz w:val="28"/>
          <w:szCs w:val="28"/>
          <w:u w:color="000000"/>
          <w:bdr w:val="nil"/>
          <w:lang w:val="en-US" w:eastAsia="en-GB"/>
          <w14:ligatures w14:val="none"/>
        </w:rPr>
      </w:pPr>
      <w:r w:rsidRPr="00EF34C7">
        <w:rPr>
          <w:rFonts w:ascii="Times New Roman" w:eastAsia="Arial Unicode MS" w:hAnsi="Times New Roman" w:cs="Times New Roman"/>
          <w:b/>
          <w:bCs/>
          <w:color w:val="000000"/>
          <w:kern w:val="0"/>
          <w:sz w:val="28"/>
          <w:szCs w:val="28"/>
          <w:u w:color="000000"/>
          <w:bdr w:val="nil"/>
          <w:lang w:val="en-US" w:eastAsia="en-GB"/>
          <w14:ligatures w14:val="none"/>
        </w:rPr>
        <w:t>Outcomes {12}</w:t>
      </w:r>
    </w:p>
    <w:p w14:paraId="25F9D355"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The primary outcome will be in-hospital mortality within 30 days of arrival at the emergency department. There are several secondary outcomes (</w:t>
      </w:r>
      <w:r w:rsidRPr="00EF34C7">
        <w:rPr>
          <w:rFonts w:ascii="Times New Roman" w:eastAsia="Times New Roman" w:hAnsi="Times New Roman" w:cs="Times New Roman"/>
          <w:b/>
          <w:kern w:val="0"/>
          <w:u w:color="004C7F"/>
          <w:lang w:eastAsia="en-GB"/>
          <w14:ligatures w14:val="none"/>
        </w:rPr>
        <w:t>see Table 1</w:t>
      </w:r>
      <w:r w:rsidRPr="00EF34C7">
        <w:rPr>
          <w:rFonts w:ascii="Times New Roman" w:eastAsia="Times New Roman" w:hAnsi="Times New Roman" w:cs="Times New Roman"/>
          <w:kern w:val="0"/>
          <w:u w:color="004C7F"/>
          <w:lang w:eastAsia="en-GB"/>
          <w14:ligatures w14:val="none"/>
        </w:rPr>
        <w:t xml:space="preserve">). </w:t>
      </w:r>
      <w:r w:rsidRPr="00EF34C7">
        <w:rPr>
          <w:rFonts w:ascii="Times New Roman" w:eastAsia="Times New Roman" w:hAnsi="Times New Roman" w:cs="Times New Roman"/>
          <w:kern w:val="0"/>
          <w:highlight w:val="yellow"/>
          <w:u w:color="004C7F"/>
          <w:lang w:eastAsia="en-GB"/>
          <w14:ligatures w14:val="none"/>
        </w:rPr>
        <w:t xml:space="preserve">Outcomes that cannot be confirmed at the designated time point will be considered missing. </w:t>
      </w:r>
    </w:p>
    <w:p w14:paraId="7C2D2B6F"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b/>
          <w:kern w:val="0"/>
          <w:u w:color="004C7F"/>
          <w:lang w:eastAsia="en-GB"/>
          <w14:ligatures w14:val="none"/>
        </w:rPr>
        <w:t>Table 1</w:t>
      </w:r>
      <w:r w:rsidRPr="00EF34C7">
        <w:rPr>
          <w:rFonts w:ascii="Times New Roman" w:eastAsia="Times New Roman" w:hAnsi="Times New Roman" w:cs="Times New Roman"/>
          <w:kern w:val="0"/>
          <w:u w:color="004C7F"/>
          <w:lang w:eastAsia="en-GB"/>
          <w14:ligatures w14:val="none"/>
        </w:rPr>
        <w:t>. Primary and secondary outcomes.</w:t>
      </w:r>
    </w:p>
    <w:tbl>
      <w:tblPr>
        <w:tblStyle w:val="PlainTable21"/>
        <w:tblW w:w="5000" w:type="pct"/>
        <w:tblLayout w:type="fixed"/>
        <w:tblLook w:val="04A0" w:firstRow="1" w:lastRow="0" w:firstColumn="1" w:lastColumn="0" w:noHBand="0" w:noVBand="1"/>
      </w:tblPr>
      <w:tblGrid>
        <w:gridCol w:w="2314"/>
        <w:gridCol w:w="3658"/>
        <w:gridCol w:w="3660"/>
      </w:tblGrid>
      <w:tr w:rsidR="00EF34C7" w:rsidRPr="00EF34C7" w14:paraId="36CE53C1" w14:textId="77777777" w:rsidTr="009059F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45" w:type="dxa"/>
          </w:tcPr>
          <w:p w14:paraId="6BE82D12" w14:textId="77777777" w:rsidR="00EF34C7" w:rsidRPr="00EF34C7" w:rsidRDefault="00EF34C7" w:rsidP="00EF34C7">
            <w:pPr>
              <w:spacing w:after="120"/>
              <w:rPr>
                <w:u w:color="004C7F"/>
              </w:rPr>
            </w:pPr>
            <w:r w:rsidRPr="00EF34C7">
              <w:rPr>
                <w:u w:color="004C7F"/>
              </w:rPr>
              <w:t>Outcome</w:t>
            </w:r>
          </w:p>
        </w:tc>
        <w:tc>
          <w:tcPr>
            <w:tcW w:w="3711" w:type="dxa"/>
          </w:tcPr>
          <w:p w14:paraId="4515ED05" w14:textId="77777777" w:rsidR="00EF34C7" w:rsidRPr="00EF34C7" w:rsidRDefault="00EF34C7" w:rsidP="00EF34C7">
            <w:pPr>
              <w:spacing w:after="120"/>
              <w:cnfStyle w:val="100000000000" w:firstRow="1" w:lastRow="0" w:firstColumn="0" w:lastColumn="0" w:oddVBand="0" w:evenVBand="0" w:oddHBand="0" w:evenHBand="0" w:firstRowFirstColumn="0" w:firstRowLastColumn="0" w:lastRowFirstColumn="0" w:lastRowLastColumn="0"/>
              <w:rPr>
                <w:u w:color="004C7F"/>
              </w:rPr>
            </w:pPr>
            <w:r w:rsidRPr="00EF34C7">
              <w:rPr>
                <w:u w:color="004C7F"/>
              </w:rPr>
              <w:t>Source of data</w:t>
            </w:r>
          </w:p>
        </w:tc>
        <w:tc>
          <w:tcPr>
            <w:tcW w:w="3713" w:type="dxa"/>
          </w:tcPr>
          <w:p w14:paraId="7532BECA" w14:textId="77777777" w:rsidR="00EF34C7" w:rsidRPr="00EF34C7" w:rsidRDefault="00EF34C7" w:rsidP="00EF34C7">
            <w:pPr>
              <w:spacing w:after="120"/>
              <w:cnfStyle w:val="100000000000" w:firstRow="1" w:lastRow="0" w:firstColumn="0" w:lastColumn="0" w:oddVBand="0" w:evenVBand="0" w:oddHBand="0" w:evenHBand="0" w:firstRowFirstColumn="0" w:firstRowLastColumn="0" w:lastRowFirstColumn="0" w:lastRowLastColumn="0"/>
              <w:rPr>
                <w:u w:color="004C7F"/>
              </w:rPr>
            </w:pPr>
            <w:r w:rsidRPr="00EF34C7">
              <w:rPr>
                <w:u w:color="004C7F"/>
              </w:rPr>
              <w:t>Mode of collection</w:t>
            </w:r>
          </w:p>
        </w:tc>
      </w:tr>
      <w:tr w:rsidR="00EF34C7" w:rsidRPr="00EF34C7" w14:paraId="4F620BA1" w14:textId="77777777" w:rsidTr="009059F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056" w:type="dxa"/>
            <w:gridSpan w:val="2"/>
          </w:tcPr>
          <w:p w14:paraId="246FDD12" w14:textId="77777777" w:rsidR="00EF34C7" w:rsidRPr="00EF34C7" w:rsidRDefault="00EF34C7" w:rsidP="00EF34C7">
            <w:pPr>
              <w:spacing w:after="120"/>
              <w:rPr>
                <w:u w:color="004C7F"/>
              </w:rPr>
            </w:pPr>
            <w:r w:rsidRPr="00EF34C7">
              <w:rPr>
                <w:u w:color="004C7F"/>
              </w:rPr>
              <w:t>Primary outcome</w:t>
            </w:r>
          </w:p>
        </w:tc>
        <w:tc>
          <w:tcPr>
            <w:tcW w:w="3713" w:type="dxa"/>
          </w:tcPr>
          <w:p w14:paraId="7280B9BA" w14:textId="77777777" w:rsidR="00EF34C7" w:rsidRPr="00EF34C7" w:rsidRDefault="00EF34C7" w:rsidP="00EF34C7">
            <w:pPr>
              <w:spacing w:after="120"/>
              <w:cnfStyle w:val="000000100000" w:firstRow="0" w:lastRow="0" w:firstColumn="0" w:lastColumn="0" w:oddVBand="0" w:evenVBand="0" w:oddHBand="1" w:evenHBand="0" w:firstRowFirstColumn="0" w:firstRowLastColumn="0" w:lastRowFirstColumn="0" w:lastRowLastColumn="0"/>
              <w:rPr>
                <w:u w:color="004C7F"/>
              </w:rPr>
            </w:pPr>
          </w:p>
        </w:tc>
      </w:tr>
      <w:tr w:rsidR="00EF34C7" w:rsidRPr="00EF34C7" w14:paraId="4C289B88" w14:textId="77777777" w:rsidTr="009059F4">
        <w:trPr>
          <w:trHeight w:val="300"/>
        </w:trPr>
        <w:tc>
          <w:tcPr>
            <w:cnfStyle w:val="001000000000" w:firstRow="0" w:lastRow="0" w:firstColumn="1" w:lastColumn="0" w:oddVBand="0" w:evenVBand="0" w:oddHBand="0" w:evenHBand="0" w:firstRowFirstColumn="0" w:firstRowLastColumn="0" w:lastRowFirstColumn="0" w:lastRowLastColumn="0"/>
            <w:tcW w:w="2345" w:type="dxa"/>
          </w:tcPr>
          <w:p w14:paraId="7F651173" w14:textId="77777777" w:rsidR="00EF34C7" w:rsidRPr="00EF34C7" w:rsidRDefault="00EF34C7" w:rsidP="00EF34C7">
            <w:pPr>
              <w:spacing w:after="120"/>
              <w:rPr>
                <w:u w:color="004C7F"/>
              </w:rPr>
            </w:pPr>
            <w:r w:rsidRPr="00EF34C7">
              <w:rPr>
                <w:u w:color="004C7F"/>
              </w:rPr>
              <w:t>In-hospital mortality within 30 days of arrival at the emergency department.</w:t>
            </w:r>
          </w:p>
        </w:tc>
        <w:tc>
          <w:tcPr>
            <w:tcW w:w="3711" w:type="dxa"/>
          </w:tcPr>
          <w:p w14:paraId="635B738B" w14:textId="77777777" w:rsidR="00EF34C7" w:rsidRPr="00EF34C7" w:rsidRDefault="00EF34C7" w:rsidP="00EF34C7">
            <w:pPr>
              <w:spacing w:after="120"/>
              <w:cnfStyle w:val="000000000000" w:firstRow="0" w:lastRow="0" w:firstColumn="0" w:lastColumn="0" w:oddVBand="0" w:evenVBand="0" w:oddHBand="0" w:evenHBand="0" w:firstRowFirstColumn="0" w:firstRowLastColumn="0" w:lastRowFirstColumn="0" w:lastRowLastColumn="0"/>
              <w:rPr>
                <w:u w:color="004C7F"/>
              </w:rPr>
            </w:pPr>
            <w:r w:rsidRPr="00EF34C7">
              <w:rPr>
                <w:u w:color="004C7F"/>
              </w:rPr>
              <w:t>Patient hospital records. If the patient has been transferred to another hospital, the clinical research coordinators will collect data on this outcome by calling the patient or the patient’s representative, or by contacting the hospital to which the patient was transferred. Data on this outcome will be collected continuously during the trial.</w:t>
            </w:r>
          </w:p>
        </w:tc>
        <w:tc>
          <w:tcPr>
            <w:tcW w:w="3713" w:type="dxa"/>
          </w:tcPr>
          <w:p w14:paraId="466C849F" w14:textId="77777777" w:rsidR="00EF34C7" w:rsidRPr="00EF34C7" w:rsidRDefault="00EF34C7" w:rsidP="00EF34C7">
            <w:pPr>
              <w:spacing w:after="120"/>
              <w:cnfStyle w:val="000000000000" w:firstRow="0" w:lastRow="0" w:firstColumn="0" w:lastColumn="0" w:oddVBand="0" w:evenVBand="0" w:oddHBand="0" w:evenHBand="0" w:firstRowFirstColumn="0" w:firstRowLastColumn="0" w:lastRowFirstColumn="0" w:lastRowLastColumn="0"/>
              <w:rPr>
                <w:u w:color="004C7F"/>
              </w:rPr>
            </w:pPr>
            <w:r w:rsidRPr="00EF34C7">
              <w:rPr>
                <w:u w:color="004C7F"/>
              </w:rPr>
              <w:t>Main stepped-wedge design. Collected for all patients.</w:t>
            </w:r>
          </w:p>
        </w:tc>
      </w:tr>
      <w:tr w:rsidR="00EF34C7" w:rsidRPr="00EF34C7" w14:paraId="7001532E" w14:textId="77777777" w:rsidTr="009059F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056" w:type="dxa"/>
            <w:gridSpan w:val="2"/>
          </w:tcPr>
          <w:p w14:paraId="4CE38D18" w14:textId="77777777" w:rsidR="00EF34C7" w:rsidRPr="00EF34C7" w:rsidRDefault="00EF34C7" w:rsidP="00EF34C7">
            <w:pPr>
              <w:spacing w:after="120"/>
              <w:rPr>
                <w:u w:color="004C7F"/>
              </w:rPr>
            </w:pPr>
            <w:r w:rsidRPr="00EF34C7">
              <w:rPr>
                <w:u w:color="004C7F"/>
              </w:rPr>
              <w:t>Secondary outcome</w:t>
            </w:r>
          </w:p>
        </w:tc>
        <w:tc>
          <w:tcPr>
            <w:tcW w:w="3713" w:type="dxa"/>
          </w:tcPr>
          <w:p w14:paraId="50A89FA5" w14:textId="77777777" w:rsidR="00EF34C7" w:rsidRPr="00EF34C7" w:rsidRDefault="00EF34C7" w:rsidP="00EF34C7">
            <w:pPr>
              <w:spacing w:after="120"/>
              <w:cnfStyle w:val="000000100000" w:firstRow="0" w:lastRow="0" w:firstColumn="0" w:lastColumn="0" w:oddVBand="0" w:evenVBand="0" w:oddHBand="1" w:evenHBand="0" w:firstRowFirstColumn="0" w:firstRowLastColumn="0" w:lastRowFirstColumn="0" w:lastRowLastColumn="0"/>
              <w:rPr>
                <w:u w:color="004C7F"/>
              </w:rPr>
            </w:pPr>
          </w:p>
        </w:tc>
      </w:tr>
      <w:tr w:rsidR="00EF34C7" w:rsidRPr="00EF34C7" w14:paraId="5A311E23" w14:textId="77777777" w:rsidTr="009059F4">
        <w:trPr>
          <w:trHeight w:val="300"/>
        </w:trPr>
        <w:tc>
          <w:tcPr>
            <w:cnfStyle w:val="001000000000" w:firstRow="0" w:lastRow="0" w:firstColumn="1" w:lastColumn="0" w:oddVBand="0" w:evenVBand="0" w:oddHBand="0" w:evenHBand="0" w:firstRowFirstColumn="0" w:firstRowLastColumn="0" w:lastRowFirstColumn="0" w:lastRowLastColumn="0"/>
            <w:tcW w:w="2345" w:type="dxa"/>
          </w:tcPr>
          <w:p w14:paraId="7DE10E88" w14:textId="77777777" w:rsidR="00EF34C7" w:rsidRPr="00EF34C7" w:rsidRDefault="00EF34C7" w:rsidP="00EF34C7">
            <w:pPr>
              <w:spacing w:after="120"/>
              <w:rPr>
                <w:u w:color="004C7F"/>
              </w:rPr>
            </w:pPr>
            <w:r w:rsidRPr="00EF34C7">
              <w:rPr>
                <w:u w:color="004C7F"/>
              </w:rPr>
              <w:t>All-cause mortality within 24 hours, 30 days and 3 months after arrival at the emergency department.</w:t>
            </w:r>
          </w:p>
        </w:tc>
        <w:tc>
          <w:tcPr>
            <w:tcW w:w="3711" w:type="dxa"/>
          </w:tcPr>
          <w:p w14:paraId="3DF77D27" w14:textId="77777777" w:rsidR="00EF34C7" w:rsidRPr="00EF34C7" w:rsidRDefault="00EF34C7" w:rsidP="00EF34C7">
            <w:pPr>
              <w:spacing w:after="120"/>
              <w:cnfStyle w:val="000000000000" w:firstRow="0" w:lastRow="0" w:firstColumn="0" w:lastColumn="0" w:oddVBand="0" w:evenVBand="0" w:oddHBand="0" w:evenHBand="0" w:firstRowFirstColumn="0" w:firstRowLastColumn="0" w:lastRowFirstColumn="0" w:lastRowLastColumn="0"/>
              <w:rPr>
                <w:u w:color="004C7F"/>
              </w:rPr>
            </w:pPr>
            <w:r w:rsidRPr="00EF34C7">
              <w:rPr>
                <w:u w:color="004C7F"/>
              </w:rPr>
              <w:t>Patient hospital records or telephone follow up. If the patient has been transferred to another hospital or discharged, the clinical research coordinators will collect data on this outcome by calling the patient or a patient representative, or by contacting the hospital to which the patient was transferred. Data on this outcome will be collected continuously during the trial.</w:t>
            </w:r>
          </w:p>
        </w:tc>
        <w:tc>
          <w:tcPr>
            <w:tcW w:w="3713" w:type="dxa"/>
          </w:tcPr>
          <w:p w14:paraId="5A8923D9" w14:textId="77777777" w:rsidR="00EF34C7" w:rsidRPr="00EF34C7" w:rsidRDefault="00EF34C7" w:rsidP="00EF34C7">
            <w:pPr>
              <w:spacing w:after="120"/>
              <w:cnfStyle w:val="000000000000" w:firstRow="0" w:lastRow="0" w:firstColumn="0" w:lastColumn="0" w:oddVBand="0" w:evenVBand="0" w:oddHBand="0" w:evenHBand="0" w:firstRowFirstColumn="0" w:firstRowLastColumn="0" w:lastRowFirstColumn="0" w:lastRowLastColumn="0"/>
              <w:rPr>
                <w:u w:color="004C7F"/>
              </w:rPr>
            </w:pPr>
            <w:r w:rsidRPr="00EF34C7">
              <w:rPr>
                <w:u w:color="004C7F"/>
              </w:rPr>
              <w:t>Main stepped-wedge design. Collected for all patients.</w:t>
            </w:r>
          </w:p>
        </w:tc>
      </w:tr>
      <w:tr w:rsidR="00EF34C7" w:rsidRPr="00EF34C7" w14:paraId="1A9E44D2" w14:textId="77777777" w:rsidTr="009059F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45" w:type="dxa"/>
          </w:tcPr>
          <w:p w14:paraId="295E0A8B" w14:textId="77777777" w:rsidR="00EF34C7" w:rsidRPr="00EF34C7" w:rsidRDefault="00EF34C7" w:rsidP="00EF34C7">
            <w:pPr>
              <w:spacing w:after="120"/>
              <w:rPr>
                <w:u w:color="004C7F"/>
              </w:rPr>
            </w:pPr>
            <w:r w:rsidRPr="00EF34C7">
              <w:rPr>
                <w:u w:color="004C7F"/>
              </w:rPr>
              <w:t>Length of emergency department stay</w:t>
            </w:r>
          </w:p>
        </w:tc>
        <w:tc>
          <w:tcPr>
            <w:tcW w:w="3711" w:type="dxa"/>
          </w:tcPr>
          <w:p w14:paraId="17C74A92" w14:textId="77777777" w:rsidR="00EF34C7" w:rsidRPr="00EF34C7" w:rsidRDefault="00EF34C7" w:rsidP="00EF34C7">
            <w:pPr>
              <w:spacing w:after="120"/>
              <w:cnfStyle w:val="000000100000" w:firstRow="0" w:lastRow="0" w:firstColumn="0" w:lastColumn="0" w:oddVBand="0" w:evenVBand="0" w:oddHBand="1" w:evenHBand="0" w:firstRowFirstColumn="0" w:firstRowLastColumn="0" w:lastRowFirstColumn="0" w:lastRowLastColumn="0"/>
              <w:rPr>
                <w:u w:color="004C7F"/>
              </w:rPr>
            </w:pPr>
            <w:r w:rsidRPr="00EF34C7">
              <w:rPr>
                <w:u w:color="004C7F"/>
              </w:rPr>
              <w:t>Data on this outcome will be collected from patient hospital records.</w:t>
            </w:r>
          </w:p>
        </w:tc>
        <w:tc>
          <w:tcPr>
            <w:tcW w:w="3713" w:type="dxa"/>
          </w:tcPr>
          <w:p w14:paraId="53846EDF" w14:textId="77777777" w:rsidR="00EF34C7" w:rsidRPr="00EF34C7" w:rsidRDefault="00EF34C7" w:rsidP="00EF34C7">
            <w:pPr>
              <w:spacing w:after="120"/>
              <w:cnfStyle w:val="000000100000" w:firstRow="0" w:lastRow="0" w:firstColumn="0" w:lastColumn="0" w:oddVBand="0" w:evenVBand="0" w:oddHBand="1" w:evenHBand="0" w:firstRowFirstColumn="0" w:firstRowLastColumn="0" w:lastRowFirstColumn="0" w:lastRowLastColumn="0"/>
              <w:rPr>
                <w:u w:color="004C7F"/>
              </w:rPr>
            </w:pPr>
            <w:r w:rsidRPr="00EF34C7">
              <w:rPr>
                <w:u w:color="004C7F"/>
              </w:rPr>
              <w:t>Main stepped-wedge design. Collected for all patients.</w:t>
            </w:r>
          </w:p>
        </w:tc>
      </w:tr>
      <w:tr w:rsidR="00EF34C7" w:rsidRPr="00EF34C7" w14:paraId="2EFFF4C1" w14:textId="77777777" w:rsidTr="009059F4">
        <w:trPr>
          <w:trHeight w:val="300"/>
        </w:trPr>
        <w:tc>
          <w:tcPr>
            <w:cnfStyle w:val="001000000000" w:firstRow="0" w:lastRow="0" w:firstColumn="1" w:lastColumn="0" w:oddVBand="0" w:evenVBand="0" w:oddHBand="0" w:evenHBand="0" w:firstRowFirstColumn="0" w:firstRowLastColumn="0" w:lastRowFirstColumn="0" w:lastRowLastColumn="0"/>
            <w:tcW w:w="2345" w:type="dxa"/>
          </w:tcPr>
          <w:p w14:paraId="44C2DDAB" w14:textId="77777777" w:rsidR="00EF34C7" w:rsidRPr="00EF34C7" w:rsidRDefault="00EF34C7" w:rsidP="00EF34C7">
            <w:pPr>
              <w:spacing w:after="120"/>
              <w:rPr>
                <w:u w:color="004C7F"/>
              </w:rPr>
            </w:pPr>
            <w:r w:rsidRPr="00EF34C7">
              <w:rPr>
                <w:u w:color="004C7F"/>
              </w:rPr>
              <w:t>Length of hospital stay.</w:t>
            </w:r>
          </w:p>
        </w:tc>
        <w:tc>
          <w:tcPr>
            <w:tcW w:w="3711" w:type="dxa"/>
          </w:tcPr>
          <w:p w14:paraId="02BEB780" w14:textId="77777777" w:rsidR="00EF34C7" w:rsidRPr="00EF34C7" w:rsidRDefault="00EF34C7" w:rsidP="00EF34C7">
            <w:pPr>
              <w:spacing w:after="120"/>
              <w:cnfStyle w:val="000000000000" w:firstRow="0" w:lastRow="0" w:firstColumn="0" w:lastColumn="0" w:oddVBand="0" w:evenVBand="0" w:oddHBand="0" w:evenHBand="0" w:firstRowFirstColumn="0" w:firstRowLastColumn="0" w:lastRowFirstColumn="0" w:lastRowLastColumn="0"/>
              <w:rPr>
                <w:u w:color="004C7F"/>
              </w:rPr>
            </w:pPr>
            <w:r w:rsidRPr="00EF34C7">
              <w:rPr>
                <w:u w:color="004C7F"/>
              </w:rPr>
              <w:t>Data on this outcome will be collected from patient hospital records.</w:t>
            </w:r>
          </w:p>
        </w:tc>
        <w:tc>
          <w:tcPr>
            <w:tcW w:w="3713" w:type="dxa"/>
          </w:tcPr>
          <w:p w14:paraId="69925CD3" w14:textId="77777777" w:rsidR="00EF34C7" w:rsidRPr="00EF34C7" w:rsidRDefault="00EF34C7" w:rsidP="00EF34C7">
            <w:pPr>
              <w:spacing w:after="120"/>
              <w:cnfStyle w:val="000000000000" w:firstRow="0" w:lastRow="0" w:firstColumn="0" w:lastColumn="0" w:oddVBand="0" w:evenVBand="0" w:oddHBand="0" w:evenHBand="0" w:firstRowFirstColumn="0" w:firstRowLastColumn="0" w:lastRowFirstColumn="0" w:lastRowLastColumn="0"/>
              <w:rPr>
                <w:u w:color="004C7F"/>
              </w:rPr>
            </w:pPr>
            <w:r w:rsidRPr="00EF34C7">
              <w:rPr>
                <w:u w:color="004C7F"/>
              </w:rPr>
              <w:t>Main stepped-wedge design. Collected for all patients.</w:t>
            </w:r>
          </w:p>
        </w:tc>
      </w:tr>
      <w:tr w:rsidR="00EF34C7" w:rsidRPr="00EF34C7" w14:paraId="25C748E3" w14:textId="77777777" w:rsidTr="009059F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45" w:type="dxa"/>
          </w:tcPr>
          <w:p w14:paraId="2C5D6263" w14:textId="77777777" w:rsidR="00EF34C7" w:rsidRPr="00EF34C7" w:rsidRDefault="00EF34C7" w:rsidP="00EF34C7">
            <w:pPr>
              <w:spacing w:after="120"/>
              <w:rPr>
                <w:u w:color="004C7F"/>
              </w:rPr>
            </w:pPr>
            <w:r w:rsidRPr="00EF34C7">
              <w:rPr>
                <w:u w:color="004C7F"/>
              </w:rPr>
              <w:t>Intensive care unit admission.</w:t>
            </w:r>
          </w:p>
        </w:tc>
        <w:tc>
          <w:tcPr>
            <w:tcW w:w="3711" w:type="dxa"/>
          </w:tcPr>
          <w:p w14:paraId="15943461" w14:textId="77777777" w:rsidR="00EF34C7" w:rsidRPr="00EF34C7" w:rsidRDefault="00EF34C7" w:rsidP="00EF34C7">
            <w:pPr>
              <w:spacing w:after="120"/>
              <w:cnfStyle w:val="000000100000" w:firstRow="0" w:lastRow="0" w:firstColumn="0" w:lastColumn="0" w:oddVBand="0" w:evenVBand="0" w:oddHBand="1" w:evenHBand="0" w:firstRowFirstColumn="0" w:firstRowLastColumn="0" w:lastRowFirstColumn="0" w:lastRowLastColumn="0"/>
              <w:rPr>
                <w:u w:color="004C7F"/>
              </w:rPr>
            </w:pPr>
            <w:r w:rsidRPr="00EF34C7">
              <w:rPr>
                <w:u w:color="004C7F"/>
              </w:rPr>
              <w:t>Data on this outcome will be collected from patient hospital records.</w:t>
            </w:r>
          </w:p>
        </w:tc>
        <w:tc>
          <w:tcPr>
            <w:tcW w:w="3713" w:type="dxa"/>
          </w:tcPr>
          <w:p w14:paraId="71AA1A7E" w14:textId="77777777" w:rsidR="00EF34C7" w:rsidRPr="00EF34C7" w:rsidRDefault="00EF34C7" w:rsidP="00EF34C7">
            <w:pPr>
              <w:spacing w:after="120"/>
              <w:cnfStyle w:val="000000100000" w:firstRow="0" w:lastRow="0" w:firstColumn="0" w:lastColumn="0" w:oddVBand="0" w:evenVBand="0" w:oddHBand="1" w:evenHBand="0" w:firstRowFirstColumn="0" w:firstRowLastColumn="0" w:lastRowFirstColumn="0" w:lastRowLastColumn="0"/>
              <w:rPr>
                <w:u w:color="004C7F"/>
              </w:rPr>
            </w:pPr>
            <w:r w:rsidRPr="00EF34C7">
              <w:rPr>
                <w:u w:color="004C7F"/>
              </w:rPr>
              <w:t>Main stepped-wedge design. Collected for all patients.</w:t>
            </w:r>
          </w:p>
        </w:tc>
      </w:tr>
      <w:tr w:rsidR="00EF34C7" w:rsidRPr="00EF34C7" w14:paraId="45694177" w14:textId="77777777" w:rsidTr="009059F4">
        <w:trPr>
          <w:trHeight w:val="300"/>
        </w:trPr>
        <w:tc>
          <w:tcPr>
            <w:cnfStyle w:val="001000000000" w:firstRow="0" w:lastRow="0" w:firstColumn="1" w:lastColumn="0" w:oddVBand="0" w:evenVBand="0" w:oddHBand="0" w:evenHBand="0" w:firstRowFirstColumn="0" w:firstRowLastColumn="0" w:lastRowFirstColumn="0" w:lastRowLastColumn="0"/>
            <w:tcW w:w="2345" w:type="dxa"/>
          </w:tcPr>
          <w:p w14:paraId="694402B5" w14:textId="77777777" w:rsidR="00EF34C7" w:rsidRPr="00EF34C7" w:rsidRDefault="00EF34C7" w:rsidP="00EF34C7">
            <w:pPr>
              <w:spacing w:after="120"/>
              <w:rPr>
                <w:u w:color="004C7F"/>
              </w:rPr>
            </w:pPr>
            <w:r w:rsidRPr="00EF34C7">
              <w:rPr>
                <w:u w:color="004C7F"/>
              </w:rPr>
              <w:t>Length of intensive care unit stay.</w:t>
            </w:r>
          </w:p>
        </w:tc>
        <w:tc>
          <w:tcPr>
            <w:tcW w:w="3711" w:type="dxa"/>
          </w:tcPr>
          <w:p w14:paraId="7128B636" w14:textId="77777777" w:rsidR="00EF34C7" w:rsidRPr="00EF34C7" w:rsidRDefault="00EF34C7" w:rsidP="00EF34C7">
            <w:pPr>
              <w:spacing w:after="120"/>
              <w:cnfStyle w:val="000000000000" w:firstRow="0" w:lastRow="0" w:firstColumn="0" w:lastColumn="0" w:oddVBand="0" w:evenVBand="0" w:oddHBand="0" w:evenHBand="0" w:firstRowFirstColumn="0" w:firstRowLastColumn="0" w:lastRowFirstColumn="0" w:lastRowLastColumn="0"/>
              <w:rPr>
                <w:u w:color="004C7F"/>
              </w:rPr>
            </w:pPr>
            <w:r w:rsidRPr="00EF34C7">
              <w:rPr>
                <w:u w:color="004C7F"/>
              </w:rPr>
              <w:t>Data on this outcome will be collected from patient hospital records.</w:t>
            </w:r>
          </w:p>
        </w:tc>
        <w:tc>
          <w:tcPr>
            <w:tcW w:w="3713" w:type="dxa"/>
          </w:tcPr>
          <w:p w14:paraId="41E33B5D" w14:textId="77777777" w:rsidR="00EF34C7" w:rsidRPr="00EF34C7" w:rsidRDefault="00EF34C7" w:rsidP="00EF34C7">
            <w:pPr>
              <w:spacing w:after="120"/>
              <w:cnfStyle w:val="000000000000" w:firstRow="0" w:lastRow="0" w:firstColumn="0" w:lastColumn="0" w:oddVBand="0" w:evenVBand="0" w:oddHBand="0" w:evenHBand="0" w:firstRowFirstColumn="0" w:firstRowLastColumn="0" w:lastRowFirstColumn="0" w:lastRowLastColumn="0"/>
              <w:rPr>
                <w:u w:color="004C7F"/>
              </w:rPr>
            </w:pPr>
            <w:r w:rsidRPr="00EF34C7">
              <w:rPr>
                <w:u w:color="004C7F"/>
              </w:rPr>
              <w:t>Main stepped-wedge design. Collected for all patients.</w:t>
            </w:r>
          </w:p>
        </w:tc>
      </w:tr>
      <w:tr w:rsidR="00EF34C7" w:rsidRPr="00EF34C7" w14:paraId="132A0EBD" w14:textId="77777777" w:rsidTr="009059F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45" w:type="dxa"/>
          </w:tcPr>
          <w:p w14:paraId="72015489" w14:textId="77777777" w:rsidR="00EF34C7" w:rsidRPr="00EF34C7" w:rsidRDefault="00EF34C7" w:rsidP="00EF34C7">
            <w:pPr>
              <w:spacing w:after="120"/>
              <w:rPr>
                <w:u w:color="004C7F"/>
              </w:rPr>
            </w:pPr>
            <w:r w:rsidRPr="00EF34C7">
              <w:rPr>
                <w:u w:color="004C7F"/>
              </w:rPr>
              <w:lastRenderedPageBreak/>
              <w:t>Return to work at 30 days and three months after arrival at the emergency department.</w:t>
            </w:r>
          </w:p>
        </w:tc>
        <w:tc>
          <w:tcPr>
            <w:tcW w:w="3711" w:type="dxa"/>
          </w:tcPr>
          <w:p w14:paraId="3814F199" w14:textId="77777777" w:rsidR="00EF34C7" w:rsidRPr="00EF34C7" w:rsidRDefault="00EF34C7" w:rsidP="00EF34C7">
            <w:pPr>
              <w:spacing w:after="120"/>
              <w:cnfStyle w:val="000000100000" w:firstRow="0" w:lastRow="0" w:firstColumn="0" w:lastColumn="0" w:oddVBand="0" w:evenVBand="0" w:oddHBand="1" w:evenHBand="0" w:firstRowFirstColumn="0" w:firstRowLastColumn="0" w:lastRowFirstColumn="0" w:lastRowLastColumn="0"/>
              <w:rPr>
                <w:u w:color="004C7F"/>
              </w:rPr>
            </w:pPr>
            <w:r w:rsidRPr="00EF34C7">
              <w:rPr>
                <w:u w:color="004C7F"/>
              </w:rPr>
              <w:t xml:space="preserve">Data on this outcome will be collected in person if the patient is still in hospital, or by phone if the patient has been discharged. </w:t>
            </w:r>
          </w:p>
        </w:tc>
        <w:tc>
          <w:tcPr>
            <w:tcW w:w="3713" w:type="dxa"/>
          </w:tcPr>
          <w:p w14:paraId="16854EBB" w14:textId="77777777" w:rsidR="00EF34C7" w:rsidRPr="00EF34C7" w:rsidRDefault="00EF34C7" w:rsidP="00EF34C7">
            <w:pPr>
              <w:spacing w:after="120"/>
              <w:cnfStyle w:val="000000100000" w:firstRow="0" w:lastRow="0" w:firstColumn="0" w:lastColumn="0" w:oddVBand="0" w:evenVBand="0" w:oddHBand="1" w:evenHBand="0" w:firstRowFirstColumn="0" w:firstRowLastColumn="0" w:lastRowFirstColumn="0" w:lastRowLastColumn="0"/>
              <w:rPr>
                <w:u w:color="004C7F"/>
              </w:rPr>
            </w:pPr>
            <w:r w:rsidRPr="00EF34C7">
              <w:rPr>
                <w:u w:color="004C7F"/>
              </w:rPr>
              <w:t>Main stepped-wedge design. Collected for all patients.</w:t>
            </w:r>
          </w:p>
        </w:tc>
      </w:tr>
      <w:tr w:rsidR="00EF34C7" w:rsidRPr="00EF34C7" w14:paraId="6FD69019" w14:textId="77777777" w:rsidTr="009059F4">
        <w:trPr>
          <w:trHeight w:val="300"/>
        </w:trPr>
        <w:tc>
          <w:tcPr>
            <w:cnfStyle w:val="001000000000" w:firstRow="0" w:lastRow="0" w:firstColumn="1" w:lastColumn="0" w:oddVBand="0" w:evenVBand="0" w:oddHBand="0" w:evenHBand="0" w:firstRowFirstColumn="0" w:firstRowLastColumn="0" w:lastRowFirstColumn="0" w:lastRowLastColumn="0"/>
            <w:tcW w:w="2345" w:type="dxa"/>
          </w:tcPr>
          <w:p w14:paraId="4F8421FB" w14:textId="77777777" w:rsidR="00EF34C7" w:rsidRPr="00EF34C7" w:rsidRDefault="00EF34C7" w:rsidP="00EF34C7">
            <w:pPr>
              <w:spacing w:after="120"/>
              <w:rPr>
                <w:u w:color="004C7F"/>
              </w:rPr>
            </w:pPr>
            <w:r w:rsidRPr="00EF34C7">
              <w:rPr>
                <w:u w:color="004C7F"/>
              </w:rPr>
              <w:t>Adherence to ATLS® principles during initial patient resuscitation, up to one hour after the physician has first seen the patient.</w:t>
            </w:r>
          </w:p>
        </w:tc>
        <w:tc>
          <w:tcPr>
            <w:tcW w:w="3711" w:type="dxa"/>
          </w:tcPr>
          <w:p w14:paraId="1B18724D" w14:textId="77777777" w:rsidR="00EF34C7" w:rsidRPr="00EF34C7" w:rsidRDefault="00EF34C7" w:rsidP="00EF34C7">
            <w:pPr>
              <w:spacing w:after="120"/>
              <w:cnfStyle w:val="000000000000" w:firstRow="0" w:lastRow="0" w:firstColumn="0" w:lastColumn="0" w:oddVBand="0" w:evenVBand="0" w:oddHBand="0" w:evenHBand="0" w:firstRowFirstColumn="0" w:firstRowLastColumn="0" w:lastRowFirstColumn="0" w:lastRowLastColumn="0"/>
              <w:rPr>
                <w:u w:color="004C7F"/>
              </w:rPr>
            </w:pPr>
            <w:r w:rsidRPr="00EF34C7">
              <w:rPr>
                <w:u w:color="004C7F"/>
              </w:rPr>
              <w:t xml:space="preserve">This assessment will be performed using a 14-item checklist covering the key steps of the ATLS® primary survey, based on previous work on ATLS® adherence (31). We will consider completion of all 14 steps as 100% adherence. The clinical research coordinators will collect this data by observe the care being delivered to patients and will be trained by the trial team to do this, prior to the start of the trial. </w:t>
            </w:r>
          </w:p>
        </w:tc>
        <w:tc>
          <w:tcPr>
            <w:tcW w:w="3713" w:type="dxa"/>
          </w:tcPr>
          <w:p w14:paraId="13E5BED4" w14:textId="77777777" w:rsidR="00EF34C7" w:rsidRPr="00EF34C7" w:rsidRDefault="00EF34C7" w:rsidP="00EF34C7">
            <w:pPr>
              <w:spacing w:after="120"/>
              <w:cnfStyle w:val="000000000000" w:firstRow="0" w:lastRow="0" w:firstColumn="0" w:lastColumn="0" w:oddVBand="0" w:evenVBand="0" w:oddHBand="0" w:evenHBand="0" w:firstRowFirstColumn="0" w:firstRowLastColumn="0" w:lastRowFirstColumn="0" w:lastRowLastColumn="0"/>
              <w:rPr>
                <w:u w:color="004C7F"/>
              </w:rPr>
            </w:pPr>
            <w:r w:rsidRPr="00EF34C7">
              <w:rPr>
                <w:u w:color="004C7F"/>
              </w:rPr>
              <w:t>Nested staircase design. Collected for a random subset of patients.</w:t>
            </w:r>
          </w:p>
        </w:tc>
      </w:tr>
      <w:tr w:rsidR="00EF34C7" w:rsidRPr="00EF34C7" w14:paraId="1E02632C" w14:textId="77777777" w:rsidTr="009059F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45" w:type="dxa"/>
          </w:tcPr>
          <w:p w14:paraId="1562FB0E" w14:textId="77777777" w:rsidR="00EF34C7" w:rsidRPr="00EF34C7" w:rsidRDefault="00EF34C7" w:rsidP="00EF34C7">
            <w:pPr>
              <w:spacing w:after="120"/>
              <w:rPr>
                <w:u w:color="004C7F"/>
              </w:rPr>
            </w:pPr>
            <w:r w:rsidRPr="00EF34C7">
              <w:rPr>
                <w:u w:color="004C7F"/>
              </w:rPr>
              <w:t>Quality of life within seven days of discharge, and at 30 days and three months of arrival at the emergency department, measured by the o</w:t>
            </w:r>
            <w:r w:rsidRPr="00EF34C7">
              <w:rPr>
                <w:rFonts w:ascii="Cambria Math" w:hAnsi="Cambria Math" w:cs="Cambria Math"/>
                <w:u w:color="004C7F"/>
              </w:rPr>
              <w:t>ﬀ</w:t>
            </w:r>
            <w:r w:rsidRPr="00EF34C7">
              <w:rPr>
                <w:u w:color="004C7F"/>
              </w:rPr>
              <w:t>icial and validated translations of the EQ5D3L.</w:t>
            </w:r>
          </w:p>
        </w:tc>
        <w:tc>
          <w:tcPr>
            <w:tcW w:w="3711" w:type="dxa"/>
          </w:tcPr>
          <w:p w14:paraId="11461830" w14:textId="77777777" w:rsidR="00EF34C7" w:rsidRPr="00EF34C7" w:rsidRDefault="00EF34C7" w:rsidP="00EF34C7">
            <w:pPr>
              <w:spacing w:after="120"/>
              <w:cnfStyle w:val="000000100000" w:firstRow="0" w:lastRow="0" w:firstColumn="0" w:lastColumn="0" w:oddVBand="0" w:evenVBand="0" w:oddHBand="1" w:evenHBand="0" w:firstRowFirstColumn="0" w:firstRowLastColumn="0" w:lastRowFirstColumn="0" w:lastRowLastColumn="0"/>
              <w:rPr>
                <w:u w:color="004C7F"/>
              </w:rPr>
            </w:pPr>
            <w:r w:rsidRPr="00EF34C7">
              <w:rPr>
                <w:u w:color="004C7F"/>
              </w:rPr>
              <w:t xml:space="preserve">Data on this outcome will be collected in person if the patient is still in hospital, or by phone if the patient has been discharged. </w:t>
            </w:r>
          </w:p>
        </w:tc>
        <w:tc>
          <w:tcPr>
            <w:tcW w:w="3713" w:type="dxa"/>
          </w:tcPr>
          <w:p w14:paraId="491AA395" w14:textId="77777777" w:rsidR="00EF34C7" w:rsidRPr="00EF34C7" w:rsidRDefault="00EF34C7" w:rsidP="00EF34C7">
            <w:pPr>
              <w:spacing w:after="120"/>
              <w:cnfStyle w:val="000000100000" w:firstRow="0" w:lastRow="0" w:firstColumn="0" w:lastColumn="0" w:oddVBand="0" w:evenVBand="0" w:oddHBand="1" w:evenHBand="0" w:firstRowFirstColumn="0" w:firstRowLastColumn="0" w:lastRowFirstColumn="0" w:lastRowLastColumn="0"/>
              <w:rPr>
                <w:u w:color="004C7F"/>
              </w:rPr>
            </w:pPr>
            <w:r w:rsidRPr="00EF34C7">
              <w:rPr>
                <w:u w:color="004C7F"/>
              </w:rPr>
              <w:t>Nested staircase design. Collected for all patients included during days with randomised shifts.</w:t>
            </w:r>
          </w:p>
        </w:tc>
      </w:tr>
      <w:tr w:rsidR="00EF34C7" w:rsidRPr="00EF34C7" w14:paraId="52D45450" w14:textId="77777777" w:rsidTr="009059F4">
        <w:trPr>
          <w:trHeight w:val="300"/>
        </w:trPr>
        <w:tc>
          <w:tcPr>
            <w:cnfStyle w:val="001000000000" w:firstRow="0" w:lastRow="0" w:firstColumn="1" w:lastColumn="0" w:oddVBand="0" w:evenVBand="0" w:oddHBand="0" w:evenHBand="0" w:firstRowFirstColumn="0" w:firstRowLastColumn="0" w:lastRowFirstColumn="0" w:lastRowLastColumn="0"/>
            <w:tcW w:w="2345" w:type="dxa"/>
          </w:tcPr>
          <w:p w14:paraId="5CA352DE" w14:textId="77777777" w:rsidR="00EF34C7" w:rsidRPr="00EF34C7" w:rsidRDefault="00EF34C7" w:rsidP="00EF34C7">
            <w:pPr>
              <w:spacing w:after="120"/>
              <w:rPr>
                <w:u w:color="004C7F"/>
              </w:rPr>
            </w:pPr>
            <w:r w:rsidRPr="00EF34C7">
              <w:rPr>
                <w:u w:color="004C7F"/>
              </w:rPr>
              <w:t>Disability within seven days of discharge, and at 30 days and three months of arrival at the emergency department, assessed using the WHO Disability Assessment Schedule 2.0 (WHODAS 2.0).</w:t>
            </w:r>
          </w:p>
        </w:tc>
        <w:tc>
          <w:tcPr>
            <w:tcW w:w="3711" w:type="dxa"/>
          </w:tcPr>
          <w:p w14:paraId="00AEFE39" w14:textId="77777777" w:rsidR="00EF34C7" w:rsidRPr="00EF34C7" w:rsidRDefault="00EF34C7" w:rsidP="00EF34C7">
            <w:pPr>
              <w:spacing w:after="120"/>
              <w:cnfStyle w:val="000000000000" w:firstRow="0" w:lastRow="0" w:firstColumn="0" w:lastColumn="0" w:oddVBand="0" w:evenVBand="0" w:oddHBand="0" w:evenHBand="0" w:firstRowFirstColumn="0" w:firstRowLastColumn="0" w:lastRowFirstColumn="0" w:lastRowLastColumn="0"/>
              <w:rPr>
                <w:u w:color="004C7F"/>
              </w:rPr>
            </w:pPr>
            <w:r w:rsidRPr="00EF34C7">
              <w:rPr>
                <w:u w:color="004C7F"/>
              </w:rPr>
              <w:t xml:space="preserve">Data on this outcome will be collected in person if the patient is still in hospital, or by phone if the patient has been discharged. </w:t>
            </w:r>
          </w:p>
        </w:tc>
        <w:tc>
          <w:tcPr>
            <w:tcW w:w="3713" w:type="dxa"/>
          </w:tcPr>
          <w:p w14:paraId="545B6F94" w14:textId="77777777" w:rsidR="00EF34C7" w:rsidRPr="00EF34C7" w:rsidRDefault="00EF34C7" w:rsidP="00EF34C7">
            <w:pPr>
              <w:spacing w:after="120"/>
              <w:cnfStyle w:val="000000000000" w:firstRow="0" w:lastRow="0" w:firstColumn="0" w:lastColumn="0" w:oddVBand="0" w:evenVBand="0" w:oddHBand="0" w:evenHBand="0" w:firstRowFirstColumn="0" w:firstRowLastColumn="0" w:lastRowFirstColumn="0" w:lastRowLastColumn="0"/>
              <w:rPr>
                <w:u w:color="004C7F"/>
              </w:rPr>
            </w:pPr>
            <w:r w:rsidRPr="00EF34C7">
              <w:rPr>
                <w:u w:color="004C7F"/>
              </w:rPr>
              <w:t>Nested staircase design. Collected for all patients included during days with randomised shifts.</w:t>
            </w:r>
          </w:p>
        </w:tc>
      </w:tr>
    </w:tbl>
    <w:p w14:paraId="36B3544F" w14:textId="77777777" w:rsidR="00EF34C7" w:rsidRPr="00EF34C7" w:rsidRDefault="00EF34C7" w:rsidP="00EF34C7">
      <w:pPr>
        <w:widowControl w:val="0"/>
        <w:pBdr>
          <w:top w:val="nil"/>
          <w:left w:val="nil"/>
          <w:bottom w:val="nil"/>
          <w:right w:val="nil"/>
          <w:between w:val="nil"/>
          <w:bar w:val="nil"/>
        </w:pBdr>
        <w:spacing w:before="200" w:after="80"/>
        <w:outlineLvl w:val="0"/>
        <w:rPr>
          <w:rFonts w:ascii="Times New Roman" w:eastAsia="Arial Unicode MS" w:hAnsi="Times New Roman" w:cs="Times New Roman"/>
          <w:b/>
          <w:bCs/>
          <w:color w:val="000000"/>
          <w:kern w:val="0"/>
          <w:sz w:val="28"/>
          <w:szCs w:val="28"/>
          <w:u w:color="000000"/>
          <w:bdr w:val="nil"/>
          <w:lang w:val="en-US" w:eastAsia="en-GB"/>
          <w14:ligatures w14:val="none"/>
        </w:rPr>
      </w:pPr>
      <w:r w:rsidRPr="00EF34C7">
        <w:rPr>
          <w:rFonts w:ascii="Times New Roman" w:eastAsia="Arial Unicode MS" w:hAnsi="Times New Roman" w:cs="Times New Roman"/>
          <w:b/>
          <w:bCs/>
          <w:color w:val="000000"/>
          <w:kern w:val="0"/>
          <w:sz w:val="28"/>
          <w:szCs w:val="28"/>
          <w:u w:color="000000"/>
          <w:bdr w:val="nil"/>
          <w:lang w:val="en-US" w:eastAsia="en-GB"/>
          <w14:ligatures w14:val="none"/>
        </w:rPr>
        <w:t>Participant timeline {13}</w:t>
      </w:r>
    </w:p>
    <w:p w14:paraId="18B62CF9"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The patient participants will be adult trauma patients who present to the emergency departments of the participating hospitals and are admitted or transferred for admission. Participants are screened by the clinical research coordinators and all participants who meet the eligibility criteria will be included in the study. The participant’s baseline and subsequent data will be collected as per Table 2 and 3. </w:t>
      </w:r>
    </w:p>
    <w:p w14:paraId="1FE810DE"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b/>
          <w:bCs/>
          <w:kern w:val="0"/>
          <w:u w:color="004C7F"/>
          <w:lang w:eastAsia="en-GB"/>
          <w14:ligatures w14:val="none"/>
        </w:rPr>
        <w:lastRenderedPageBreak/>
        <w:t xml:space="preserve">Table 2. </w:t>
      </w:r>
      <w:r w:rsidRPr="00EF34C7">
        <w:rPr>
          <w:rFonts w:ascii="Times New Roman" w:eastAsia="Times New Roman" w:hAnsi="Times New Roman" w:cs="Times New Roman"/>
          <w:kern w:val="0"/>
          <w:u w:color="004C7F"/>
          <w:lang w:eastAsia="en-GB"/>
          <w14:ligatures w14:val="none"/>
        </w:rPr>
        <w:t>Overview of trial procedures before and during patient admission</w:t>
      </w:r>
    </w:p>
    <w:tbl>
      <w:tblPr>
        <w:tblW w:w="8505" w:type="dxa"/>
        <w:tblLayout w:type="fixed"/>
        <w:tblLook w:val="04A0" w:firstRow="1" w:lastRow="0" w:firstColumn="1" w:lastColumn="0" w:noHBand="0" w:noVBand="1"/>
      </w:tblPr>
      <w:tblGrid>
        <w:gridCol w:w="2565"/>
        <w:gridCol w:w="1245"/>
        <w:gridCol w:w="1395"/>
        <w:gridCol w:w="1500"/>
        <w:gridCol w:w="1800"/>
      </w:tblGrid>
      <w:tr w:rsidR="00EF34C7" w:rsidRPr="00EF34C7" w14:paraId="5CE9D97E" w14:textId="77777777" w:rsidTr="009059F4">
        <w:trPr>
          <w:trHeight w:val="300"/>
        </w:trPr>
        <w:tc>
          <w:tcPr>
            <w:tcW w:w="2565" w:type="dxa"/>
            <w:tcBorders>
              <w:bottom w:val="single" w:sz="12" w:space="0" w:color="000000"/>
            </w:tcBorders>
          </w:tcPr>
          <w:p w14:paraId="24DBE845"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Procedures</w:t>
            </w:r>
          </w:p>
        </w:tc>
        <w:tc>
          <w:tcPr>
            <w:tcW w:w="1245" w:type="dxa"/>
            <w:tcBorders>
              <w:bottom w:val="single" w:sz="12" w:space="0" w:color="000000"/>
            </w:tcBorders>
          </w:tcPr>
          <w:p w14:paraId="236A6DD1"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Screening</w:t>
            </w:r>
          </w:p>
        </w:tc>
        <w:tc>
          <w:tcPr>
            <w:tcW w:w="1395" w:type="dxa"/>
            <w:tcBorders>
              <w:bottom w:val="single" w:sz="12" w:space="0" w:color="000000"/>
            </w:tcBorders>
          </w:tcPr>
          <w:p w14:paraId="4503C118"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Consenting </w:t>
            </w:r>
          </w:p>
        </w:tc>
        <w:tc>
          <w:tcPr>
            <w:tcW w:w="1500" w:type="dxa"/>
            <w:tcBorders>
              <w:bottom w:val="single" w:sz="12" w:space="0" w:color="000000"/>
            </w:tcBorders>
          </w:tcPr>
          <w:p w14:paraId="3C138B36"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Initial assessment </w:t>
            </w:r>
          </w:p>
        </w:tc>
        <w:tc>
          <w:tcPr>
            <w:tcW w:w="1800" w:type="dxa"/>
            <w:tcBorders>
              <w:bottom w:val="single" w:sz="12" w:space="0" w:color="000000"/>
            </w:tcBorders>
          </w:tcPr>
          <w:p w14:paraId="54D07A1F"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In-hospital care</w:t>
            </w:r>
          </w:p>
        </w:tc>
      </w:tr>
      <w:tr w:rsidR="00EF34C7" w:rsidRPr="00EF34C7" w14:paraId="6C23A515" w14:textId="77777777" w:rsidTr="009059F4">
        <w:trPr>
          <w:trHeight w:val="300"/>
        </w:trPr>
        <w:tc>
          <w:tcPr>
            <w:tcW w:w="2565" w:type="dxa"/>
            <w:tcBorders>
              <w:top w:val="single" w:sz="12" w:space="0" w:color="000000"/>
            </w:tcBorders>
          </w:tcPr>
          <w:p w14:paraId="124995A3"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Eligibility criteria</w:t>
            </w:r>
          </w:p>
        </w:tc>
        <w:tc>
          <w:tcPr>
            <w:tcW w:w="1245" w:type="dxa"/>
            <w:tcBorders>
              <w:top w:val="single" w:sz="12" w:space="0" w:color="000000"/>
            </w:tcBorders>
          </w:tcPr>
          <w:p w14:paraId="2BFE400B"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sdt>
              <w:sdtPr>
                <w:rPr>
                  <w:rFonts w:ascii="Times New Roman" w:eastAsia="Times New Roman" w:hAnsi="Times New Roman" w:cs="Times New Roman"/>
                  <w:kern w:val="0"/>
                  <w:u w:color="004C7F"/>
                  <w:lang w:eastAsia="en-GB"/>
                  <w14:ligatures w14:val="none"/>
                </w:rPr>
                <w:tag w:val="goog_rdk_5"/>
                <w:id w:val="-705256586"/>
              </w:sdtPr>
              <w:sdtContent>
                <w:r w:rsidRPr="00EF34C7">
                  <w:rPr>
                    <w:rFonts w:ascii="Gungsuh" w:eastAsia="Gungsuh" w:hAnsi="Gungsuh" w:cs="Gungsuh"/>
                    <w:kern w:val="0"/>
                    <w:u w:color="004C7F"/>
                    <w:lang w:eastAsia="en-GB"/>
                    <w14:ligatures w14:val="none"/>
                  </w:rPr>
                  <w:t>√</w:t>
                </w:r>
              </w:sdtContent>
            </w:sdt>
          </w:p>
        </w:tc>
        <w:tc>
          <w:tcPr>
            <w:tcW w:w="1395" w:type="dxa"/>
            <w:tcBorders>
              <w:top w:val="single" w:sz="12" w:space="0" w:color="000000"/>
            </w:tcBorders>
          </w:tcPr>
          <w:p w14:paraId="53EBB7D1"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500" w:type="dxa"/>
            <w:tcBorders>
              <w:top w:val="single" w:sz="12" w:space="0" w:color="000000"/>
            </w:tcBorders>
          </w:tcPr>
          <w:p w14:paraId="14F7B441"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800" w:type="dxa"/>
            <w:tcBorders>
              <w:top w:val="single" w:sz="12" w:space="0" w:color="000000"/>
            </w:tcBorders>
          </w:tcPr>
          <w:p w14:paraId="7DCAE798"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r>
      <w:tr w:rsidR="00EF34C7" w:rsidRPr="00EF34C7" w14:paraId="38FCB393" w14:textId="77777777" w:rsidTr="009059F4">
        <w:trPr>
          <w:trHeight w:val="300"/>
        </w:trPr>
        <w:tc>
          <w:tcPr>
            <w:tcW w:w="2565" w:type="dxa"/>
          </w:tcPr>
          <w:p w14:paraId="2E810201" w14:textId="77777777" w:rsidR="00EF34C7" w:rsidRPr="00EF34C7" w:rsidRDefault="00EF34C7" w:rsidP="00EF34C7">
            <w:pPr>
              <w:spacing w:after="120"/>
              <w:rPr>
                <w:rFonts w:ascii="Times New Roman" w:eastAsia="Times New Roman" w:hAnsi="Times New Roman" w:cs="Times New Roman"/>
                <w:kern w:val="0"/>
                <w:u w:color="004C7F"/>
                <w:vertAlign w:val="superscript"/>
                <w:lang w:eastAsia="en-GB"/>
                <w14:ligatures w14:val="none"/>
              </w:rPr>
            </w:pPr>
            <w:r w:rsidRPr="00EF34C7">
              <w:rPr>
                <w:rFonts w:ascii="Times New Roman" w:eastAsia="Times New Roman" w:hAnsi="Times New Roman" w:cs="Times New Roman"/>
                <w:kern w:val="0"/>
                <w:u w:color="004C7F"/>
                <w:lang w:eastAsia="en-GB"/>
                <w14:ligatures w14:val="none"/>
              </w:rPr>
              <w:t>Study information</w:t>
            </w:r>
            <w:r w:rsidRPr="00EF34C7">
              <w:rPr>
                <w:rFonts w:ascii="Times New Roman" w:eastAsia="Times New Roman" w:hAnsi="Times New Roman" w:cs="Times New Roman"/>
                <w:kern w:val="0"/>
                <w:u w:color="004C7F"/>
                <w:vertAlign w:val="superscript"/>
                <w:lang w:eastAsia="en-GB"/>
                <w14:ligatures w14:val="none"/>
              </w:rPr>
              <w:t xml:space="preserve"> 1</w:t>
            </w:r>
          </w:p>
        </w:tc>
        <w:tc>
          <w:tcPr>
            <w:tcW w:w="1245" w:type="dxa"/>
          </w:tcPr>
          <w:p w14:paraId="26369F15"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395" w:type="dxa"/>
          </w:tcPr>
          <w:p w14:paraId="18819D62"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sdt>
              <w:sdtPr>
                <w:rPr>
                  <w:rFonts w:ascii="Times New Roman" w:eastAsia="Times New Roman" w:hAnsi="Times New Roman" w:cs="Times New Roman"/>
                  <w:kern w:val="0"/>
                  <w:u w:color="004C7F"/>
                  <w:lang w:eastAsia="en-GB"/>
                  <w14:ligatures w14:val="none"/>
                </w:rPr>
                <w:tag w:val="goog_rdk_6"/>
                <w:id w:val="1652868017"/>
              </w:sdtPr>
              <w:sdtContent>
                <w:r w:rsidRPr="00EF34C7">
                  <w:rPr>
                    <w:rFonts w:ascii="Gungsuh" w:eastAsia="Gungsuh" w:hAnsi="Gungsuh" w:cs="Gungsuh"/>
                    <w:kern w:val="0"/>
                    <w:u w:color="004C7F"/>
                    <w:lang w:eastAsia="en-GB"/>
                    <w14:ligatures w14:val="none"/>
                  </w:rPr>
                  <w:t>√</w:t>
                </w:r>
              </w:sdtContent>
            </w:sdt>
          </w:p>
        </w:tc>
        <w:tc>
          <w:tcPr>
            <w:tcW w:w="1500" w:type="dxa"/>
          </w:tcPr>
          <w:p w14:paraId="3F7F6748"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800" w:type="dxa"/>
          </w:tcPr>
          <w:p w14:paraId="15AA1538"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r>
      <w:tr w:rsidR="00EF34C7" w:rsidRPr="00EF34C7" w14:paraId="4A41111C" w14:textId="77777777" w:rsidTr="009059F4">
        <w:trPr>
          <w:trHeight w:val="300"/>
        </w:trPr>
        <w:tc>
          <w:tcPr>
            <w:tcW w:w="2565" w:type="dxa"/>
          </w:tcPr>
          <w:p w14:paraId="5181EB03" w14:textId="77777777" w:rsidR="00EF34C7" w:rsidRPr="00EF34C7" w:rsidRDefault="00EF34C7" w:rsidP="00EF34C7">
            <w:pPr>
              <w:spacing w:after="120"/>
              <w:rPr>
                <w:rFonts w:ascii="Times New Roman" w:eastAsia="Times New Roman" w:hAnsi="Times New Roman" w:cs="Times New Roman"/>
                <w:kern w:val="0"/>
                <w:u w:color="004C7F"/>
                <w:vertAlign w:val="superscript"/>
                <w:lang w:eastAsia="en-GB"/>
                <w14:ligatures w14:val="none"/>
              </w:rPr>
            </w:pPr>
            <w:r w:rsidRPr="00EF34C7">
              <w:rPr>
                <w:rFonts w:ascii="Times New Roman" w:eastAsia="Times New Roman" w:hAnsi="Times New Roman" w:cs="Times New Roman"/>
                <w:kern w:val="0"/>
                <w:u w:color="004C7F"/>
                <w:lang w:eastAsia="en-GB"/>
                <w14:ligatures w14:val="none"/>
              </w:rPr>
              <w:t>Informed consent</w:t>
            </w:r>
            <w:r w:rsidRPr="00EF34C7">
              <w:rPr>
                <w:rFonts w:ascii="Times New Roman" w:eastAsia="Times New Roman" w:hAnsi="Times New Roman" w:cs="Times New Roman"/>
                <w:kern w:val="0"/>
                <w:u w:color="004C7F"/>
                <w:vertAlign w:val="superscript"/>
                <w:lang w:eastAsia="en-GB"/>
                <w14:ligatures w14:val="none"/>
              </w:rPr>
              <w:t>1</w:t>
            </w:r>
          </w:p>
        </w:tc>
        <w:tc>
          <w:tcPr>
            <w:tcW w:w="1245" w:type="dxa"/>
          </w:tcPr>
          <w:p w14:paraId="0021BF6A"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395" w:type="dxa"/>
          </w:tcPr>
          <w:p w14:paraId="29B8F982"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sdt>
              <w:sdtPr>
                <w:rPr>
                  <w:rFonts w:ascii="Times New Roman" w:eastAsia="Times New Roman" w:hAnsi="Times New Roman" w:cs="Times New Roman"/>
                  <w:kern w:val="0"/>
                  <w:u w:color="004C7F"/>
                  <w:lang w:eastAsia="en-GB"/>
                  <w14:ligatures w14:val="none"/>
                </w:rPr>
                <w:tag w:val="goog_rdk_7"/>
                <w:id w:val="-1001498108"/>
              </w:sdtPr>
              <w:sdtContent>
                <w:r w:rsidRPr="00EF34C7">
                  <w:rPr>
                    <w:rFonts w:ascii="Gungsuh" w:eastAsia="Gungsuh" w:hAnsi="Gungsuh" w:cs="Gungsuh"/>
                    <w:kern w:val="0"/>
                    <w:u w:color="004C7F"/>
                    <w:lang w:eastAsia="en-GB"/>
                    <w14:ligatures w14:val="none"/>
                  </w:rPr>
                  <w:t>√</w:t>
                </w:r>
              </w:sdtContent>
            </w:sdt>
          </w:p>
        </w:tc>
        <w:tc>
          <w:tcPr>
            <w:tcW w:w="1500" w:type="dxa"/>
          </w:tcPr>
          <w:p w14:paraId="3848CC51"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800" w:type="dxa"/>
          </w:tcPr>
          <w:p w14:paraId="5BD30A5A"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r>
      <w:tr w:rsidR="00EF34C7" w:rsidRPr="00EF34C7" w14:paraId="33DDD04A" w14:textId="77777777" w:rsidTr="009059F4">
        <w:trPr>
          <w:trHeight w:val="300"/>
        </w:trPr>
        <w:tc>
          <w:tcPr>
            <w:tcW w:w="2565" w:type="dxa"/>
          </w:tcPr>
          <w:p w14:paraId="3D3A4706"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Baseline data collection</w:t>
            </w:r>
          </w:p>
        </w:tc>
        <w:tc>
          <w:tcPr>
            <w:tcW w:w="1245" w:type="dxa"/>
          </w:tcPr>
          <w:p w14:paraId="7FC38193"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395" w:type="dxa"/>
          </w:tcPr>
          <w:p w14:paraId="0A4EE0C9"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500" w:type="dxa"/>
          </w:tcPr>
          <w:p w14:paraId="0F124694"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sdt>
              <w:sdtPr>
                <w:rPr>
                  <w:rFonts w:ascii="Times New Roman" w:eastAsia="Times New Roman" w:hAnsi="Times New Roman" w:cs="Times New Roman"/>
                  <w:kern w:val="0"/>
                  <w:u w:color="004C7F"/>
                  <w:lang w:eastAsia="en-GB"/>
                  <w14:ligatures w14:val="none"/>
                </w:rPr>
                <w:tag w:val="goog_rdk_8"/>
                <w:id w:val="291718213"/>
              </w:sdtPr>
              <w:sdtContent>
                <w:r w:rsidRPr="00EF34C7">
                  <w:rPr>
                    <w:rFonts w:ascii="Gungsuh" w:eastAsia="Gungsuh" w:hAnsi="Gungsuh" w:cs="Gungsuh"/>
                    <w:kern w:val="0"/>
                    <w:u w:color="004C7F"/>
                    <w:lang w:eastAsia="en-GB"/>
                    <w14:ligatures w14:val="none"/>
                  </w:rPr>
                  <w:t>√</w:t>
                </w:r>
              </w:sdtContent>
            </w:sdt>
          </w:p>
        </w:tc>
        <w:tc>
          <w:tcPr>
            <w:tcW w:w="1800" w:type="dxa"/>
          </w:tcPr>
          <w:p w14:paraId="4B2A6126"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r>
      <w:tr w:rsidR="00EF34C7" w:rsidRPr="00EF34C7" w14:paraId="337F401D" w14:textId="77777777" w:rsidTr="009059F4">
        <w:trPr>
          <w:trHeight w:val="300"/>
        </w:trPr>
        <w:tc>
          <w:tcPr>
            <w:tcW w:w="2565" w:type="dxa"/>
          </w:tcPr>
          <w:p w14:paraId="5F8C666C"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Prehospital data collection</w:t>
            </w:r>
          </w:p>
        </w:tc>
        <w:tc>
          <w:tcPr>
            <w:tcW w:w="1245" w:type="dxa"/>
          </w:tcPr>
          <w:p w14:paraId="28421846"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395" w:type="dxa"/>
          </w:tcPr>
          <w:p w14:paraId="0AAA0382"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500" w:type="dxa"/>
          </w:tcPr>
          <w:p w14:paraId="3755500B"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sdt>
              <w:sdtPr>
                <w:rPr>
                  <w:rFonts w:ascii="Times New Roman" w:eastAsia="Times New Roman" w:hAnsi="Times New Roman" w:cs="Times New Roman"/>
                  <w:kern w:val="0"/>
                  <w:u w:color="004C7F"/>
                  <w:lang w:eastAsia="en-GB"/>
                  <w14:ligatures w14:val="none"/>
                </w:rPr>
                <w:tag w:val="goog_rdk_9"/>
                <w:id w:val="847219341"/>
              </w:sdtPr>
              <w:sdtContent>
                <w:r w:rsidRPr="00EF34C7">
                  <w:rPr>
                    <w:rFonts w:ascii="Gungsuh" w:eastAsia="Gungsuh" w:hAnsi="Gungsuh" w:cs="Gungsuh"/>
                    <w:kern w:val="0"/>
                    <w:u w:color="004C7F"/>
                    <w:lang w:eastAsia="en-GB"/>
                    <w14:ligatures w14:val="none"/>
                  </w:rPr>
                  <w:t>√</w:t>
                </w:r>
              </w:sdtContent>
            </w:sdt>
          </w:p>
        </w:tc>
        <w:tc>
          <w:tcPr>
            <w:tcW w:w="1800" w:type="dxa"/>
          </w:tcPr>
          <w:p w14:paraId="5EEC8A37"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r>
      <w:tr w:rsidR="00EF34C7" w:rsidRPr="00EF34C7" w14:paraId="57235ABA" w14:textId="77777777" w:rsidTr="009059F4">
        <w:trPr>
          <w:trHeight w:val="300"/>
        </w:trPr>
        <w:tc>
          <w:tcPr>
            <w:tcW w:w="2565" w:type="dxa"/>
          </w:tcPr>
          <w:p w14:paraId="33CB7419" w14:textId="77777777" w:rsidR="00EF34C7" w:rsidRPr="00EF34C7" w:rsidRDefault="00EF34C7" w:rsidP="00EF34C7">
            <w:pPr>
              <w:spacing w:after="120"/>
              <w:rPr>
                <w:rFonts w:ascii="Times New Roman" w:eastAsia="Times New Roman" w:hAnsi="Times New Roman" w:cs="Times New Roman"/>
                <w:kern w:val="0"/>
                <w:u w:color="004C7F"/>
                <w:vertAlign w:val="superscript"/>
                <w:lang w:eastAsia="en-GB"/>
                <w14:ligatures w14:val="none"/>
              </w:rPr>
            </w:pPr>
            <w:r w:rsidRPr="00EF34C7">
              <w:rPr>
                <w:rFonts w:ascii="Times New Roman" w:eastAsia="Times New Roman" w:hAnsi="Times New Roman" w:cs="Times New Roman"/>
                <w:kern w:val="0"/>
                <w:u w:color="004C7F"/>
                <w:lang w:eastAsia="en-GB"/>
                <w14:ligatures w14:val="none"/>
              </w:rPr>
              <w:t>ATLS® adherence</w:t>
            </w:r>
            <w:r w:rsidRPr="00EF34C7">
              <w:rPr>
                <w:rFonts w:ascii="Times New Roman" w:eastAsia="Times New Roman" w:hAnsi="Times New Roman" w:cs="Times New Roman"/>
                <w:kern w:val="0"/>
                <w:u w:color="004C7F"/>
                <w:vertAlign w:val="superscript"/>
                <w:lang w:eastAsia="en-GB"/>
                <w14:ligatures w14:val="none"/>
              </w:rPr>
              <w:t>2</w:t>
            </w:r>
          </w:p>
        </w:tc>
        <w:tc>
          <w:tcPr>
            <w:tcW w:w="1245" w:type="dxa"/>
          </w:tcPr>
          <w:p w14:paraId="1F31BB93"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395" w:type="dxa"/>
          </w:tcPr>
          <w:p w14:paraId="51F5BDBC"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500" w:type="dxa"/>
          </w:tcPr>
          <w:p w14:paraId="5B7CAC23"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sdt>
              <w:sdtPr>
                <w:rPr>
                  <w:rFonts w:ascii="Times New Roman" w:eastAsia="Times New Roman" w:hAnsi="Times New Roman" w:cs="Times New Roman"/>
                  <w:kern w:val="0"/>
                  <w:u w:color="004C7F"/>
                  <w:lang w:eastAsia="en-GB"/>
                  <w14:ligatures w14:val="none"/>
                </w:rPr>
                <w:tag w:val="goog_rdk_10"/>
                <w:id w:val="2018422871"/>
              </w:sdtPr>
              <w:sdtContent>
                <w:r w:rsidRPr="00EF34C7">
                  <w:rPr>
                    <w:rFonts w:ascii="Gungsuh" w:eastAsia="Gungsuh" w:hAnsi="Gungsuh" w:cs="Gungsuh"/>
                    <w:kern w:val="0"/>
                    <w:u w:color="004C7F"/>
                    <w:lang w:eastAsia="en-GB"/>
                    <w14:ligatures w14:val="none"/>
                  </w:rPr>
                  <w:t>√</w:t>
                </w:r>
              </w:sdtContent>
            </w:sdt>
          </w:p>
        </w:tc>
        <w:tc>
          <w:tcPr>
            <w:tcW w:w="1800" w:type="dxa"/>
          </w:tcPr>
          <w:p w14:paraId="58E4A88F"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r>
      <w:tr w:rsidR="00EF34C7" w:rsidRPr="00EF34C7" w14:paraId="3B5285F5" w14:textId="77777777" w:rsidTr="009059F4">
        <w:trPr>
          <w:trHeight w:val="300"/>
        </w:trPr>
        <w:tc>
          <w:tcPr>
            <w:tcW w:w="2565" w:type="dxa"/>
          </w:tcPr>
          <w:p w14:paraId="025C772D" w14:textId="77777777" w:rsidR="00EF34C7" w:rsidRPr="00EF34C7" w:rsidRDefault="00EF34C7" w:rsidP="00EF34C7">
            <w:pPr>
              <w:spacing w:after="120"/>
              <w:rPr>
                <w:rFonts w:ascii="Times New Roman" w:eastAsia="Times New Roman" w:hAnsi="Times New Roman" w:cs="Times New Roman"/>
                <w:kern w:val="0"/>
                <w:u w:color="004C7F"/>
                <w:vertAlign w:val="superscript"/>
                <w:lang w:eastAsia="en-GB"/>
                <w14:ligatures w14:val="none"/>
              </w:rPr>
            </w:pPr>
            <w:r w:rsidRPr="00EF34C7">
              <w:rPr>
                <w:rFonts w:ascii="Times New Roman" w:eastAsia="Times New Roman" w:hAnsi="Times New Roman" w:cs="Times New Roman"/>
                <w:kern w:val="0"/>
                <w:u w:color="004C7F"/>
                <w:lang w:eastAsia="en-GB"/>
                <w14:ligatures w14:val="none"/>
              </w:rPr>
              <w:t>ED data collection</w:t>
            </w:r>
            <w:r w:rsidRPr="00EF34C7">
              <w:rPr>
                <w:rFonts w:ascii="Times New Roman" w:eastAsia="Times New Roman" w:hAnsi="Times New Roman" w:cs="Times New Roman"/>
                <w:kern w:val="0"/>
                <w:u w:color="004C7F"/>
                <w:vertAlign w:val="superscript"/>
                <w:lang w:eastAsia="en-GB"/>
                <w14:ligatures w14:val="none"/>
              </w:rPr>
              <w:t>3</w:t>
            </w:r>
          </w:p>
        </w:tc>
        <w:tc>
          <w:tcPr>
            <w:tcW w:w="1245" w:type="dxa"/>
          </w:tcPr>
          <w:p w14:paraId="3054B883"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395" w:type="dxa"/>
          </w:tcPr>
          <w:p w14:paraId="3D375827"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500" w:type="dxa"/>
          </w:tcPr>
          <w:p w14:paraId="0F3DA37E"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sdt>
              <w:sdtPr>
                <w:rPr>
                  <w:rFonts w:ascii="Times New Roman" w:eastAsia="Times New Roman" w:hAnsi="Times New Roman" w:cs="Times New Roman"/>
                  <w:kern w:val="0"/>
                  <w:u w:color="004C7F"/>
                  <w:lang w:eastAsia="en-GB"/>
                  <w14:ligatures w14:val="none"/>
                </w:rPr>
                <w:tag w:val="goog_rdk_11"/>
                <w:id w:val="1353448311"/>
              </w:sdtPr>
              <w:sdtContent>
                <w:r w:rsidRPr="00EF34C7">
                  <w:rPr>
                    <w:rFonts w:ascii="Gungsuh" w:eastAsia="Gungsuh" w:hAnsi="Gungsuh" w:cs="Gungsuh"/>
                    <w:kern w:val="0"/>
                    <w:u w:color="004C7F"/>
                    <w:lang w:eastAsia="en-GB"/>
                    <w14:ligatures w14:val="none"/>
                  </w:rPr>
                  <w:t>√</w:t>
                </w:r>
              </w:sdtContent>
            </w:sdt>
          </w:p>
        </w:tc>
        <w:tc>
          <w:tcPr>
            <w:tcW w:w="1800" w:type="dxa"/>
          </w:tcPr>
          <w:p w14:paraId="4AB5CBA6"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r>
      <w:tr w:rsidR="00EF34C7" w:rsidRPr="00EF34C7" w14:paraId="1C644746" w14:textId="77777777" w:rsidTr="009059F4">
        <w:trPr>
          <w:trHeight w:val="300"/>
        </w:trPr>
        <w:tc>
          <w:tcPr>
            <w:tcW w:w="2565" w:type="dxa"/>
          </w:tcPr>
          <w:p w14:paraId="67E9DBFF"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Hospital data collection</w:t>
            </w:r>
          </w:p>
        </w:tc>
        <w:tc>
          <w:tcPr>
            <w:tcW w:w="1245" w:type="dxa"/>
          </w:tcPr>
          <w:p w14:paraId="11A9B73B"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395" w:type="dxa"/>
          </w:tcPr>
          <w:p w14:paraId="36E713FF"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500" w:type="dxa"/>
          </w:tcPr>
          <w:p w14:paraId="59F6F500"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800" w:type="dxa"/>
          </w:tcPr>
          <w:p w14:paraId="7221F942"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sdt>
              <w:sdtPr>
                <w:rPr>
                  <w:rFonts w:ascii="Times New Roman" w:eastAsia="Times New Roman" w:hAnsi="Times New Roman" w:cs="Times New Roman"/>
                  <w:kern w:val="0"/>
                  <w:u w:color="004C7F"/>
                  <w:lang w:eastAsia="en-GB"/>
                  <w14:ligatures w14:val="none"/>
                </w:rPr>
                <w:tag w:val="goog_rdk_12"/>
                <w:id w:val="-817491062"/>
              </w:sdtPr>
              <w:sdtContent>
                <w:r w:rsidRPr="00EF34C7">
                  <w:rPr>
                    <w:rFonts w:ascii="Gungsuh" w:eastAsia="Gungsuh" w:hAnsi="Gungsuh" w:cs="Gungsuh"/>
                    <w:kern w:val="0"/>
                    <w:u w:color="004C7F"/>
                    <w:lang w:eastAsia="en-GB"/>
                    <w14:ligatures w14:val="none"/>
                  </w:rPr>
                  <w:t>√</w:t>
                </w:r>
              </w:sdtContent>
            </w:sdt>
          </w:p>
        </w:tc>
      </w:tr>
      <w:tr w:rsidR="00EF34C7" w:rsidRPr="00EF34C7" w14:paraId="0E9BB8D3" w14:textId="77777777" w:rsidTr="009059F4">
        <w:trPr>
          <w:trHeight w:val="300"/>
        </w:trPr>
        <w:tc>
          <w:tcPr>
            <w:tcW w:w="2565" w:type="dxa"/>
          </w:tcPr>
          <w:p w14:paraId="4E0F0A4B"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Surgery data collection</w:t>
            </w:r>
          </w:p>
        </w:tc>
        <w:tc>
          <w:tcPr>
            <w:tcW w:w="1245" w:type="dxa"/>
          </w:tcPr>
          <w:p w14:paraId="320AAC20"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395" w:type="dxa"/>
          </w:tcPr>
          <w:p w14:paraId="5E7A0909"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500" w:type="dxa"/>
          </w:tcPr>
          <w:p w14:paraId="0AB98E11"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800" w:type="dxa"/>
          </w:tcPr>
          <w:p w14:paraId="0B8BD5F4"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sdt>
              <w:sdtPr>
                <w:rPr>
                  <w:rFonts w:ascii="Times New Roman" w:eastAsia="Times New Roman" w:hAnsi="Times New Roman" w:cs="Times New Roman"/>
                  <w:kern w:val="0"/>
                  <w:u w:color="004C7F"/>
                  <w:lang w:eastAsia="en-GB"/>
                  <w14:ligatures w14:val="none"/>
                </w:rPr>
                <w:tag w:val="goog_rdk_13"/>
                <w:id w:val="1983657207"/>
              </w:sdtPr>
              <w:sdtContent>
                <w:r w:rsidRPr="00EF34C7">
                  <w:rPr>
                    <w:rFonts w:ascii="Gungsuh" w:eastAsia="Gungsuh" w:hAnsi="Gungsuh" w:cs="Gungsuh"/>
                    <w:kern w:val="0"/>
                    <w:u w:color="004C7F"/>
                    <w:lang w:eastAsia="en-GB"/>
                    <w14:ligatures w14:val="none"/>
                  </w:rPr>
                  <w:t>√</w:t>
                </w:r>
              </w:sdtContent>
            </w:sdt>
          </w:p>
        </w:tc>
      </w:tr>
      <w:tr w:rsidR="00EF34C7" w:rsidRPr="00EF34C7" w14:paraId="3215F0E0" w14:textId="77777777" w:rsidTr="009059F4">
        <w:trPr>
          <w:trHeight w:val="300"/>
        </w:trPr>
        <w:tc>
          <w:tcPr>
            <w:tcW w:w="2565" w:type="dxa"/>
          </w:tcPr>
          <w:p w14:paraId="070E3F90"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Imaging data collection</w:t>
            </w:r>
          </w:p>
        </w:tc>
        <w:tc>
          <w:tcPr>
            <w:tcW w:w="1245" w:type="dxa"/>
          </w:tcPr>
          <w:p w14:paraId="48A920AC"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395" w:type="dxa"/>
          </w:tcPr>
          <w:p w14:paraId="1B574A84"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500" w:type="dxa"/>
          </w:tcPr>
          <w:p w14:paraId="7ED2703B"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800" w:type="dxa"/>
          </w:tcPr>
          <w:p w14:paraId="6A28962B"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sdt>
              <w:sdtPr>
                <w:rPr>
                  <w:rFonts w:ascii="Times New Roman" w:eastAsia="Times New Roman" w:hAnsi="Times New Roman" w:cs="Times New Roman"/>
                  <w:kern w:val="0"/>
                  <w:u w:color="004C7F"/>
                  <w:lang w:eastAsia="en-GB"/>
                  <w14:ligatures w14:val="none"/>
                </w:rPr>
                <w:tag w:val="goog_rdk_14"/>
                <w:id w:val="-1680884002"/>
              </w:sdtPr>
              <w:sdtContent>
                <w:r w:rsidRPr="00EF34C7">
                  <w:rPr>
                    <w:rFonts w:ascii="Gungsuh" w:eastAsia="Gungsuh" w:hAnsi="Gungsuh" w:cs="Gungsuh"/>
                    <w:kern w:val="0"/>
                    <w:u w:color="004C7F"/>
                    <w:lang w:eastAsia="en-GB"/>
                    <w14:ligatures w14:val="none"/>
                  </w:rPr>
                  <w:t>√</w:t>
                </w:r>
              </w:sdtContent>
            </w:sdt>
          </w:p>
        </w:tc>
      </w:tr>
      <w:tr w:rsidR="00EF34C7" w:rsidRPr="00EF34C7" w14:paraId="5A946603" w14:textId="77777777" w:rsidTr="009059F4">
        <w:trPr>
          <w:trHeight w:val="300"/>
        </w:trPr>
        <w:tc>
          <w:tcPr>
            <w:tcW w:w="2565" w:type="dxa"/>
          </w:tcPr>
          <w:p w14:paraId="0EC68184"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Transfusion data collection</w:t>
            </w:r>
          </w:p>
        </w:tc>
        <w:tc>
          <w:tcPr>
            <w:tcW w:w="1245" w:type="dxa"/>
          </w:tcPr>
          <w:p w14:paraId="70636B02"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395" w:type="dxa"/>
          </w:tcPr>
          <w:p w14:paraId="310D2590"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500" w:type="dxa"/>
          </w:tcPr>
          <w:p w14:paraId="6066C620"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800" w:type="dxa"/>
          </w:tcPr>
          <w:p w14:paraId="61CB9808"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sdt>
              <w:sdtPr>
                <w:rPr>
                  <w:rFonts w:ascii="Times New Roman" w:eastAsia="Times New Roman" w:hAnsi="Times New Roman" w:cs="Times New Roman"/>
                  <w:kern w:val="0"/>
                  <w:u w:color="004C7F"/>
                  <w:lang w:eastAsia="en-GB"/>
                  <w14:ligatures w14:val="none"/>
                </w:rPr>
                <w:tag w:val="goog_rdk_15"/>
                <w:id w:val="808984052"/>
              </w:sdtPr>
              <w:sdtContent>
                <w:r w:rsidRPr="00EF34C7">
                  <w:rPr>
                    <w:rFonts w:ascii="Gungsuh" w:eastAsia="Gungsuh" w:hAnsi="Gungsuh" w:cs="Gungsuh"/>
                    <w:kern w:val="0"/>
                    <w:u w:color="004C7F"/>
                    <w:lang w:eastAsia="en-GB"/>
                    <w14:ligatures w14:val="none"/>
                  </w:rPr>
                  <w:t>√</w:t>
                </w:r>
              </w:sdtContent>
            </w:sdt>
          </w:p>
        </w:tc>
      </w:tr>
      <w:tr w:rsidR="00EF34C7" w:rsidRPr="00EF34C7" w14:paraId="5F61337A" w14:textId="77777777" w:rsidTr="009059F4">
        <w:trPr>
          <w:trHeight w:val="300"/>
        </w:trPr>
        <w:tc>
          <w:tcPr>
            <w:tcW w:w="2565" w:type="dxa"/>
          </w:tcPr>
          <w:p w14:paraId="0A1A6BA4"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Injury data collection</w:t>
            </w:r>
          </w:p>
        </w:tc>
        <w:tc>
          <w:tcPr>
            <w:tcW w:w="1245" w:type="dxa"/>
          </w:tcPr>
          <w:p w14:paraId="32A0314B"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395" w:type="dxa"/>
          </w:tcPr>
          <w:p w14:paraId="468FE55C"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500" w:type="dxa"/>
          </w:tcPr>
          <w:p w14:paraId="195ECF78"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800" w:type="dxa"/>
          </w:tcPr>
          <w:p w14:paraId="6549E849"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sdt>
              <w:sdtPr>
                <w:rPr>
                  <w:rFonts w:ascii="Times New Roman" w:eastAsia="Times New Roman" w:hAnsi="Times New Roman" w:cs="Times New Roman"/>
                  <w:kern w:val="0"/>
                  <w:u w:color="004C7F"/>
                  <w:lang w:eastAsia="en-GB"/>
                  <w14:ligatures w14:val="none"/>
                </w:rPr>
                <w:tag w:val="goog_rdk_16"/>
                <w:id w:val="1661264574"/>
              </w:sdtPr>
              <w:sdtContent>
                <w:r w:rsidRPr="00EF34C7">
                  <w:rPr>
                    <w:rFonts w:ascii="Gungsuh" w:eastAsia="Gungsuh" w:hAnsi="Gungsuh" w:cs="Gungsuh"/>
                    <w:kern w:val="0"/>
                    <w:u w:color="004C7F"/>
                    <w:lang w:eastAsia="en-GB"/>
                    <w14:ligatures w14:val="none"/>
                  </w:rPr>
                  <w:t>√</w:t>
                </w:r>
              </w:sdtContent>
            </w:sdt>
          </w:p>
        </w:tc>
      </w:tr>
      <w:tr w:rsidR="00EF34C7" w:rsidRPr="00EF34C7" w14:paraId="36D85780" w14:textId="77777777" w:rsidTr="009059F4">
        <w:trPr>
          <w:trHeight w:val="300"/>
        </w:trPr>
        <w:tc>
          <w:tcPr>
            <w:tcW w:w="2565" w:type="dxa"/>
          </w:tcPr>
          <w:p w14:paraId="2F00ABEF"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Mortality data collection</w:t>
            </w:r>
          </w:p>
        </w:tc>
        <w:tc>
          <w:tcPr>
            <w:tcW w:w="1245" w:type="dxa"/>
          </w:tcPr>
          <w:p w14:paraId="47D0B6C8"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395" w:type="dxa"/>
          </w:tcPr>
          <w:p w14:paraId="2D00F105"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500" w:type="dxa"/>
          </w:tcPr>
          <w:p w14:paraId="182B28E8"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800" w:type="dxa"/>
          </w:tcPr>
          <w:p w14:paraId="4ACD08D3"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sdt>
              <w:sdtPr>
                <w:rPr>
                  <w:rFonts w:ascii="Times New Roman" w:eastAsia="Times New Roman" w:hAnsi="Times New Roman" w:cs="Times New Roman"/>
                  <w:kern w:val="0"/>
                  <w:u w:color="004C7F"/>
                  <w:lang w:eastAsia="en-GB"/>
                  <w14:ligatures w14:val="none"/>
                </w:rPr>
                <w:tag w:val="goog_rdk_17"/>
                <w:id w:val="-176654464"/>
              </w:sdtPr>
              <w:sdtContent>
                <w:r w:rsidRPr="00EF34C7">
                  <w:rPr>
                    <w:rFonts w:ascii="Gungsuh" w:eastAsia="Gungsuh" w:hAnsi="Gungsuh" w:cs="Gungsuh"/>
                    <w:kern w:val="0"/>
                    <w:u w:color="004C7F"/>
                    <w:lang w:eastAsia="en-GB"/>
                    <w14:ligatures w14:val="none"/>
                  </w:rPr>
                  <w:t>√</w:t>
                </w:r>
              </w:sdtContent>
            </w:sdt>
          </w:p>
        </w:tc>
      </w:tr>
      <w:tr w:rsidR="00EF34C7" w:rsidRPr="00EF34C7" w14:paraId="2D16C204" w14:textId="77777777" w:rsidTr="009059F4">
        <w:trPr>
          <w:trHeight w:val="300"/>
        </w:trPr>
        <w:tc>
          <w:tcPr>
            <w:tcW w:w="2565" w:type="dxa"/>
            <w:tcBorders>
              <w:bottom w:val="single" w:sz="12" w:space="0" w:color="000000"/>
            </w:tcBorders>
          </w:tcPr>
          <w:p w14:paraId="24A1A2F7"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Assessment of safety events</w:t>
            </w:r>
          </w:p>
        </w:tc>
        <w:tc>
          <w:tcPr>
            <w:tcW w:w="1245" w:type="dxa"/>
            <w:tcBorders>
              <w:bottom w:val="single" w:sz="12" w:space="0" w:color="000000"/>
            </w:tcBorders>
          </w:tcPr>
          <w:p w14:paraId="67F5B2EC"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395" w:type="dxa"/>
            <w:tcBorders>
              <w:bottom w:val="single" w:sz="12" w:space="0" w:color="000000"/>
            </w:tcBorders>
          </w:tcPr>
          <w:p w14:paraId="57DDF5BA"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500" w:type="dxa"/>
            <w:tcBorders>
              <w:bottom w:val="single" w:sz="12" w:space="0" w:color="000000"/>
            </w:tcBorders>
          </w:tcPr>
          <w:p w14:paraId="7928D348"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800" w:type="dxa"/>
            <w:tcBorders>
              <w:bottom w:val="single" w:sz="12" w:space="0" w:color="000000"/>
            </w:tcBorders>
          </w:tcPr>
          <w:p w14:paraId="2E3E74E2"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sdt>
              <w:sdtPr>
                <w:rPr>
                  <w:rFonts w:ascii="Times New Roman" w:eastAsia="Times New Roman" w:hAnsi="Times New Roman" w:cs="Times New Roman"/>
                  <w:kern w:val="0"/>
                  <w:u w:color="004C7F"/>
                  <w:lang w:eastAsia="en-GB"/>
                  <w14:ligatures w14:val="none"/>
                </w:rPr>
                <w:tag w:val="goog_rdk_18"/>
                <w:id w:val="-1534804258"/>
              </w:sdtPr>
              <w:sdtContent>
                <w:r w:rsidRPr="00EF34C7">
                  <w:rPr>
                    <w:rFonts w:ascii="Gungsuh" w:eastAsia="Gungsuh" w:hAnsi="Gungsuh" w:cs="Gungsuh"/>
                    <w:kern w:val="0"/>
                    <w:u w:color="004C7F"/>
                    <w:lang w:eastAsia="en-GB"/>
                    <w14:ligatures w14:val="none"/>
                  </w:rPr>
                  <w:t>√</w:t>
                </w:r>
              </w:sdtContent>
            </w:sdt>
          </w:p>
        </w:tc>
      </w:tr>
    </w:tbl>
    <w:p w14:paraId="5D1DEAF8"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vertAlign w:val="superscript"/>
          <w:lang w:eastAsia="en-GB"/>
          <w14:ligatures w14:val="none"/>
        </w:rPr>
        <w:t>1</w:t>
      </w:r>
      <w:r w:rsidRPr="00EF34C7">
        <w:rPr>
          <w:rFonts w:ascii="Times New Roman" w:eastAsia="Times New Roman" w:hAnsi="Times New Roman" w:cs="Times New Roman"/>
          <w:kern w:val="0"/>
          <w:u w:color="004C7F"/>
          <w:lang w:eastAsia="en-GB"/>
          <w14:ligatures w14:val="none"/>
        </w:rPr>
        <w:t>Clinical research coordinators will inform patient participants about the study, including their right to withdraw their data from the study at any time, and will approach them in person or by telephone for informed consent for the collection of non-routinely recorded.</w:t>
      </w:r>
    </w:p>
    <w:p w14:paraId="5FCC0BED"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vertAlign w:val="superscript"/>
          <w:lang w:eastAsia="en-GB"/>
          <w14:ligatures w14:val="none"/>
        </w:rPr>
        <w:t>2</w:t>
      </w:r>
      <w:r w:rsidRPr="00EF34C7">
        <w:rPr>
          <w:rFonts w:ascii="Times New Roman" w:eastAsia="Times New Roman" w:hAnsi="Times New Roman" w:cs="Times New Roman"/>
          <w:kern w:val="0"/>
          <w:u w:color="004C7F"/>
          <w:lang w:eastAsia="en-GB"/>
          <w14:ligatures w14:val="none"/>
        </w:rPr>
        <w:t>ATLS® adherence will be assessed by observing the care provided to a random sample of patient participants included using the nested staircase design.</w:t>
      </w:r>
    </w:p>
    <w:p w14:paraId="31F26927"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Abbreviations: ATLS® Advanced Trauma Life Support®, ED Emergency Department</w:t>
      </w:r>
    </w:p>
    <w:p w14:paraId="3BB8BFC8" w14:textId="77777777" w:rsidR="00EF34C7" w:rsidRPr="00EF34C7" w:rsidRDefault="00EF34C7" w:rsidP="00EF34C7">
      <w:pPr>
        <w:spacing w:after="120"/>
        <w:rPr>
          <w:rFonts w:ascii="Times New Roman" w:eastAsia="Arial Unicode MS" w:hAnsi="Times New Roman" w:cs="Times New Roman"/>
          <w:kern w:val="0"/>
          <w:u w:color="004C7F"/>
          <w:bdr w:val="nil"/>
          <w14:ligatures w14:val="none"/>
        </w:rPr>
      </w:pPr>
      <w:r w:rsidRPr="00EF34C7">
        <w:rPr>
          <w:rFonts w:ascii="Times New Roman" w:eastAsia="Times New Roman" w:hAnsi="Times New Roman" w:cs="Times New Roman"/>
          <w:b/>
          <w:bCs/>
          <w:kern w:val="0"/>
          <w:u w:color="004C7F"/>
          <w:lang w:eastAsia="en-GB"/>
          <w14:ligatures w14:val="none"/>
        </w:rPr>
        <w:t>Table 3.</w:t>
      </w:r>
      <w:r w:rsidRPr="00EF34C7">
        <w:rPr>
          <w:rFonts w:ascii="Times New Roman" w:eastAsia="Times New Roman" w:hAnsi="Times New Roman" w:cs="Times New Roman"/>
          <w:kern w:val="0"/>
          <w:u w:color="004C7F"/>
          <w:lang w:eastAsia="en-GB"/>
          <w14:ligatures w14:val="none"/>
        </w:rPr>
        <w:t xml:space="preserve"> </w:t>
      </w:r>
      <w:r w:rsidRPr="00EF34C7">
        <w:rPr>
          <w:rFonts w:ascii="Times New Roman" w:eastAsia="Arial Unicode MS" w:hAnsi="Times New Roman" w:cs="Times New Roman"/>
          <w:kern w:val="0"/>
          <w:u w:color="004C7F"/>
          <w:bdr w:val="nil"/>
          <w14:ligatures w14:val="none"/>
        </w:rPr>
        <w:t>Overview of trial follow-up procedures</w:t>
      </w:r>
    </w:p>
    <w:tbl>
      <w:tblPr>
        <w:tblW w:w="5000" w:type="pct"/>
        <w:tblLook w:val="04A0" w:firstRow="1" w:lastRow="0" w:firstColumn="1" w:lastColumn="0" w:noHBand="0" w:noVBand="1"/>
      </w:tblPr>
      <w:tblGrid>
        <w:gridCol w:w="3685"/>
        <w:gridCol w:w="1788"/>
        <w:gridCol w:w="2003"/>
        <w:gridCol w:w="2156"/>
      </w:tblGrid>
      <w:tr w:rsidR="00EF34C7" w:rsidRPr="00EF34C7" w14:paraId="5EE774DC" w14:textId="77777777" w:rsidTr="009059F4">
        <w:trPr>
          <w:trHeight w:val="300"/>
        </w:trPr>
        <w:tc>
          <w:tcPr>
            <w:tcW w:w="1913" w:type="pct"/>
            <w:tcBorders>
              <w:bottom w:val="single" w:sz="12" w:space="0" w:color="000000"/>
            </w:tcBorders>
          </w:tcPr>
          <w:p w14:paraId="39A2217D"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Procedures</w:t>
            </w:r>
          </w:p>
        </w:tc>
        <w:tc>
          <w:tcPr>
            <w:tcW w:w="928" w:type="pct"/>
            <w:tcBorders>
              <w:bottom w:val="single" w:sz="12" w:space="0" w:color="000000"/>
            </w:tcBorders>
          </w:tcPr>
          <w:p w14:paraId="1BEB9D57"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shd w:val="clear" w:color="auto" w:fill="FFFFFF"/>
                <w:lang w:eastAsia="en-GB"/>
                <w14:ligatures w14:val="none"/>
              </w:rPr>
              <w:t>Within 7 days of discharge</w:t>
            </w:r>
          </w:p>
        </w:tc>
        <w:tc>
          <w:tcPr>
            <w:tcW w:w="1040" w:type="pct"/>
            <w:tcBorders>
              <w:bottom w:val="single" w:sz="12" w:space="0" w:color="000000"/>
            </w:tcBorders>
          </w:tcPr>
          <w:p w14:paraId="38FFDFC8"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30 days </w:t>
            </w:r>
          </w:p>
        </w:tc>
        <w:tc>
          <w:tcPr>
            <w:tcW w:w="1119" w:type="pct"/>
            <w:tcBorders>
              <w:bottom w:val="single" w:sz="12" w:space="0" w:color="000000"/>
            </w:tcBorders>
          </w:tcPr>
          <w:p w14:paraId="4B38D8F1"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90 days</w:t>
            </w:r>
          </w:p>
        </w:tc>
      </w:tr>
      <w:tr w:rsidR="00EF34C7" w:rsidRPr="00EF34C7" w14:paraId="6E8C98C0" w14:textId="77777777" w:rsidTr="009059F4">
        <w:trPr>
          <w:trHeight w:val="300"/>
        </w:trPr>
        <w:tc>
          <w:tcPr>
            <w:tcW w:w="1913" w:type="pct"/>
            <w:tcBorders>
              <w:top w:val="single" w:sz="12" w:space="0" w:color="000000"/>
            </w:tcBorders>
          </w:tcPr>
          <w:p w14:paraId="707AF78E"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shd w:val="clear" w:color="auto" w:fill="FFFFFF"/>
                <w:lang w:eastAsia="en-GB"/>
                <w14:ligatures w14:val="none"/>
              </w:rPr>
              <w:t>Mortality data collection</w:t>
            </w:r>
          </w:p>
        </w:tc>
        <w:tc>
          <w:tcPr>
            <w:tcW w:w="928" w:type="pct"/>
            <w:tcBorders>
              <w:top w:val="single" w:sz="12" w:space="0" w:color="000000"/>
            </w:tcBorders>
          </w:tcPr>
          <w:p w14:paraId="38780869"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sdt>
              <w:sdtPr>
                <w:rPr>
                  <w:rFonts w:ascii="Times New Roman" w:eastAsia="Times New Roman" w:hAnsi="Times New Roman" w:cs="Times New Roman"/>
                  <w:kern w:val="0"/>
                  <w:u w:color="004C7F"/>
                  <w:lang w:eastAsia="en-GB"/>
                  <w14:ligatures w14:val="none"/>
                </w:rPr>
                <w:tag w:val="goog_rdk_5"/>
                <w:id w:val="-1972127688"/>
              </w:sdtPr>
              <w:sdtContent>
                <w:r w:rsidRPr="00EF34C7">
                  <w:rPr>
                    <w:rFonts w:ascii="Gungsuh" w:eastAsia="Gungsuh" w:hAnsi="Gungsuh" w:cs="Gungsuh"/>
                    <w:kern w:val="0"/>
                    <w:u w:color="004C7F"/>
                    <w:lang w:eastAsia="en-GB"/>
                    <w14:ligatures w14:val="none"/>
                  </w:rPr>
                  <w:t>√</w:t>
                </w:r>
              </w:sdtContent>
            </w:sdt>
          </w:p>
        </w:tc>
        <w:tc>
          <w:tcPr>
            <w:tcW w:w="1040" w:type="pct"/>
            <w:tcBorders>
              <w:top w:val="single" w:sz="12" w:space="0" w:color="000000"/>
            </w:tcBorders>
          </w:tcPr>
          <w:p w14:paraId="6FE7675A"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sdt>
              <w:sdtPr>
                <w:rPr>
                  <w:rFonts w:ascii="Times New Roman" w:eastAsia="Times New Roman" w:hAnsi="Times New Roman" w:cs="Times New Roman"/>
                  <w:kern w:val="0"/>
                  <w:u w:color="004C7F"/>
                  <w:lang w:eastAsia="en-GB"/>
                  <w14:ligatures w14:val="none"/>
                </w:rPr>
                <w:tag w:val="goog_rdk_5"/>
                <w:id w:val="418143855"/>
              </w:sdtPr>
              <w:sdtContent>
                <w:r w:rsidRPr="00EF34C7">
                  <w:rPr>
                    <w:rFonts w:ascii="Gungsuh" w:eastAsia="Gungsuh" w:hAnsi="Gungsuh" w:cs="Gungsuh"/>
                    <w:kern w:val="0"/>
                    <w:u w:color="004C7F"/>
                    <w:lang w:eastAsia="en-GB"/>
                    <w14:ligatures w14:val="none"/>
                  </w:rPr>
                  <w:t>√</w:t>
                </w:r>
              </w:sdtContent>
            </w:sdt>
          </w:p>
        </w:tc>
        <w:tc>
          <w:tcPr>
            <w:tcW w:w="1119" w:type="pct"/>
            <w:tcBorders>
              <w:top w:val="single" w:sz="12" w:space="0" w:color="000000"/>
            </w:tcBorders>
          </w:tcPr>
          <w:p w14:paraId="1B74E547"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sdt>
              <w:sdtPr>
                <w:rPr>
                  <w:rFonts w:ascii="Times New Roman" w:eastAsia="Times New Roman" w:hAnsi="Times New Roman" w:cs="Times New Roman"/>
                  <w:kern w:val="0"/>
                  <w:u w:color="004C7F"/>
                  <w:lang w:eastAsia="en-GB"/>
                  <w14:ligatures w14:val="none"/>
                </w:rPr>
                <w:tag w:val="goog_rdk_5"/>
                <w:id w:val="827328702"/>
              </w:sdtPr>
              <w:sdtContent>
                <w:r w:rsidRPr="00EF34C7">
                  <w:rPr>
                    <w:rFonts w:ascii="Gungsuh" w:eastAsia="Gungsuh" w:hAnsi="Gungsuh" w:cs="Gungsuh"/>
                    <w:kern w:val="0"/>
                    <w:u w:color="004C7F"/>
                    <w:lang w:eastAsia="en-GB"/>
                    <w14:ligatures w14:val="none"/>
                  </w:rPr>
                  <w:t>√</w:t>
                </w:r>
              </w:sdtContent>
            </w:sdt>
          </w:p>
        </w:tc>
      </w:tr>
      <w:tr w:rsidR="00EF34C7" w:rsidRPr="00EF34C7" w14:paraId="4550484D" w14:textId="77777777" w:rsidTr="009059F4">
        <w:trPr>
          <w:trHeight w:val="300"/>
        </w:trPr>
        <w:tc>
          <w:tcPr>
            <w:tcW w:w="1913" w:type="pct"/>
          </w:tcPr>
          <w:p w14:paraId="22CCF44A"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shd w:val="clear" w:color="auto" w:fill="FFFFFF"/>
                <w:lang w:eastAsia="en-GB"/>
                <w14:ligatures w14:val="none"/>
              </w:rPr>
              <w:t>EQ-5D/WHODAS</w:t>
            </w:r>
          </w:p>
        </w:tc>
        <w:tc>
          <w:tcPr>
            <w:tcW w:w="928" w:type="pct"/>
          </w:tcPr>
          <w:p w14:paraId="2BC47BFF"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sdt>
              <w:sdtPr>
                <w:rPr>
                  <w:rFonts w:ascii="Times New Roman" w:eastAsia="Times New Roman" w:hAnsi="Times New Roman" w:cs="Times New Roman"/>
                  <w:kern w:val="0"/>
                  <w:u w:color="004C7F"/>
                  <w:lang w:eastAsia="en-GB"/>
                  <w14:ligatures w14:val="none"/>
                </w:rPr>
                <w:tag w:val="goog_rdk_5"/>
                <w:id w:val="636682143"/>
              </w:sdtPr>
              <w:sdtContent>
                <w:r w:rsidRPr="00EF34C7">
                  <w:rPr>
                    <w:rFonts w:ascii="Gungsuh" w:eastAsia="Gungsuh" w:hAnsi="Gungsuh" w:cs="Gungsuh"/>
                    <w:kern w:val="0"/>
                    <w:u w:color="004C7F"/>
                    <w:lang w:eastAsia="en-GB"/>
                    <w14:ligatures w14:val="none"/>
                  </w:rPr>
                  <w:t>√</w:t>
                </w:r>
              </w:sdtContent>
            </w:sdt>
          </w:p>
        </w:tc>
        <w:tc>
          <w:tcPr>
            <w:tcW w:w="1040" w:type="pct"/>
          </w:tcPr>
          <w:p w14:paraId="2BD5B98F"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sdt>
              <w:sdtPr>
                <w:rPr>
                  <w:rFonts w:ascii="Times New Roman" w:eastAsia="Times New Roman" w:hAnsi="Times New Roman" w:cs="Times New Roman"/>
                  <w:kern w:val="0"/>
                  <w:u w:color="004C7F"/>
                  <w:lang w:eastAsia="en-GB"/>
                  <w14:ligatures w14:val="none"/>
                </w:rPr>
                <w:tag w:val="goog_rdk_6"/>
                <w:id w:val="-1526400332"/>
              </w:sdtPr>
              <w:sdtContent>
                <w:r w:rsidRPr="00EF34C7">
                  <w:rPr>
                    <w:rFonts w:ascii="Gungsuh" w:eastAsia="Gungsuh" w:hAnsi="Gungsuh" w:cs="Gungsuh"/>
                    <w:kern w:val="0"/>
                    <w:u w:color="004C7F"/>
                    <w:lang w:eastAsia="en-GB"/>
                    <w14:ligatures w14:val="none"/>
                  </w:rPr>
                  <w:t>√</w:t>
                </w:r>
              </w:sdtContent>
            </w:sdt>
          </w:p>
        </w:tc>
        <w:tc>
          <w:tcPr>
            <w:tcW w:w="1119" w:type="pct"/>
          </w:tcPr>
          <w:p w14:paraId="413C6736"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sdt>
              <w:sdtPr>
                <w:rPr>
                  <w:rFonts w:ascii="Times New Roman" w:eastAsia="Times New Roman" w:hAnsi="Times New Roman" w:cs="Times New Roman"/>
                  <w:kern w:val="0"/>
                  <w:u w:color="004C7F"/>
                  <w:lang w:eastAsia="en-GB"/>
                  <w14:ligatures w14:val="none"/>
                </w:rPr>
                <w:tag w:val="goog_rdk_5"/>
                <w:id w:val="1512174391"/>
              </w:sdtPr>
              <w:sdtContent>
                <w:r w:rsidRPr="00EF34C7">
                  <w:rPr>
                    <w:rFonts w:ascii="Gungsuh" w:eastAsia="Gungsuh" w:hAnsi="Gungsuh" w:cs="Gungsuh"/>
                    <w:kern w:val="0"/>
                    <w:u w:color="004C7F"/>
                    <w:lang w:eastAsia="en-GB"/>
                    <w14:ligatures w14:val="none"/>
                  </w:rPr>
                  <w:t>√</w:t>
                </w:r>
              </w:sdtContent>
            </w:sdt>
          </w:p>
        </w:tc>
      </w:tr>
      <w:tr w:rsidR="00EF34C7" w:rsidRPr="00EF34C7" w14:paraId="05BC0B5D" w14:textId="77777777" w:rsidTr="009059F4">
        <w:trPr>
          <w:trHeight w:val="300"/>
        </w:trPr>
        <w:tc>
          <w:tcPr>
            <w:tcW w:w="1913" w:type="pct"/>
          </w:tcPr>
          <w:p w14:paraId="33F288F7"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shd w:val="clear" w:color="auto" w:fill="FFFFFF"/>
                <w:lang w:eastAsia="en-GB"/>
                <w14:ligatures w14:val="none"/>
              </w:rPr>
              <w:t>Return to work</w:t>
            </w:r>
          </w:p>
        </w:tc>
        <w:tc>
          <w:tcPr>
            <w:tcW w:w="928" w:type="pct"/>
          </w:tcPr>
          <w:p w14:paraId="7A7D4125"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040" w:type="pct"/>
          </w:tcPr>
          <w:p w14:paraId="32392B58"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sdt>
              <w:sdtPr>
                <w:rPr>
                  <w:rFonts w:ascii="Times New Roman" w:eastAsia="Times New Roman" w:hAnsi="Times New Roman" w:cs="Times New Roman"/>
                  <w:kern w:val="0"/>
                  <w:u w:color="004C7F"/>
                  <w:lang w:eastAsia="en-GB"/>
                  <w14:ligatures w14:val="none"/>
                </w:rPr>
                <w:tag w:val="goog_rdk_7"/>
                <w:id w:val="1070304943"/>
              </w:sdtPr>
              <w:sdtContent>
                <w:r w:rsidRPr="00EF34C7">
                  <w:rPr>
                    <w:rFonts w:ascii="Gungsuh" w:eastAsia="Gungsuh" w:hAnsi="Gungsuh" w:cs="Gungsuh"/>
                    <w:kern w:val="0"/>
                    <w:u w:color="004C7F"/>
                    <w:lang w:eastAsia="en-GB"/>
                    <w14:ligatures w14:val="none"/>
                  </w:rPr>
                  <w:t>√</w:t>
                </w:r>
              </w:sdtContent>
            </w:sdt>
          </w:p>
        </w:tc>
        <w:tc>
          <w:tcPr>
            <w:tcW w:w="1119" w:type="pct"/>
          </w:tcPr>
          <w:p w14:paraId="56408F08"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sdt>
              <w:sdtPr>
                <w:rPr>
                  <w:rFonts w:ascii="Times New Roman" w:eastAsia="Times New Roman" w:hAnsi="Times New Roman" w:cs="Times New Roman"/>
                  <w:kern w:val="0"/>
                  <w:u w:color="004C7F"/>
                  <w:lang w:eastAsia="en-GB"/>
                  <w14:ligatures w14:val="none"/>
                </w:rPr>
                <w:tag w:val="goog_rdk_5"/>
                <w:id w:val="138468031"/>
              </w:sdtPr>
              <w:sdtContent>
                <w:r w:rsidRPr="00EF34C7">
                  <w:rPr>
                    <w:rFonts w:ascii="Gungsuh" w:eastAsia="Gungsuh" w:hAnsi="Gungsuh" w:cs="Gungsuh"/>
                    <w:kern w:val="0"/>
                    <w:u w:color="004C7F"/>
                    <w:lang w:eastAsia="en-GB"/>
                    <w14:ligatures w14:val="none"/>
                  </w:rPr>
                  <w:t>√</w:t>
                </w:r>
              </w:sdtContent>
            </w:sdt>
            <w:r w:rsidRPr="00EF34C7">
              <w:rPr>
                <w:rFonts w:ascii="Times New Roman" w:eastAsia="Times New Roman" w:hAnsi="Times New Roman" w:cs="Times New Roman"/>
                <w:kern w:val="0"/>
                <w:u w:color="004C7F"/>
                <w:lang w:eastAsia="en-GB"/>
                <w14:ligatures w14:val="none"/>
              </w:rPr>
              <w:t xml:space="preserve"> </w:t>
            </w:r>
          </w:p>
        </w:tc>
      </w:tr>
      <w:tr w:rsidR="00EF34C7" w:rsidRPr="00EF34C7" w14:paraId="64F75F32" w14:textId="77777777" w:rsidTr="009059F4">
        <w:trPr>
          <w:trHeight w:val="300"/>
        </w:trPr>
        <w:tc>
          <w:tcPr>
            <w:tcW w:w="1913" w:type="pct"/>
          </w:tcPr>
          <w:p w14:paraId="1A0CA004"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shd w:val="clear" w:color="auto" w:fill="FFFFFF"/>
                <w:lang w:eastAsia="en-GB"/>
                <w14:ligatures w14:val="none"/>
              </w:rPr>
              <w:t>End of study</w:t>
            </w:r>
          </w:p>
        </w:tc>
        <w:tc>
          <w:tcPr>
            <w:tcW w:w="928" w:type="pct"/>
          </w:tcPr>
          <w:p w14:paraId="716379E4"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040" w:type="pct"/>
          </w:tcPr>
          <w:p w14:paraId="104801C3"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 </w:t>
            </w:r>
          </w:p>
        </w:tc>
        <w:tc>
          <w:tcPr>
            <w:tcW w:w="1119" w:type="pct"/>
          </w:tcPr>
          <w:p w14:paraId="357858E7"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sdt>
              <w:sdtPr>
                <w:rPr>
                  <w:rFonts w:ascii="Times New Roman" w:eastAsia="Times New Roman" w:hAnsi="Times New Roman" w:cs="Times New Roman"/>
                  <w:kern w:val="0"/>
                  <w:u w:color="004C7F"/>
                  <w:lang w:eastAsia="en-GB"/>
                  <w14:ligatures w14:val="none"/>
                </w:rPr>
                <w:tag w:val="goog_rdk_8"/>
                <w:id w:val="824938511"/>
              </w:sdtPr>
              <w:sdtContent>
                <w:r w:rsidRPr="00EF34C7">
                  <w:rPr>
                    <w:rFonts w:ascii="Gungsuh" w:eastAsia="Gungsuh" w:hAnsi="Gungsuh" w:cs="Gungsuh"/>
                    <w:kern w:val="0"/>
                    <w:u w:color="004C7F"/>
                    <w:lang w:eastAsia="en-GB"/>
                    <w14:ligatures w14:val="none"/>
                  </w:rPr>
                  <w:t>√</w:t>
                </w:r>
              </w:sdtContent>
            </w:sdt>
          </w:p>
        </w:tc>
      </w:tr>
    </w:tbl>
    <w:p w14:paraId="010BF3BC"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Abbreviations: EQ-5D EuroQol 5 dimensions, WHODAS World Health Organization Disability Assessment Schedule</w:t>
      </w:r>
    </w:p>
    <w:p w14:paraId="42921C5C" w14:textId="77777777" w:rsidR="00EF34C7" w:rsidRPr="00EF34C7" w:rsidRDefault="00EF34C7" w:rsidP="00EF34C7">
      <w:pPr>
        <w:widowControl w:val="0"/>
        <w:pBdr>
          <w:top w:val="nil"/>
          <w:left w:val="nil"/>
          <w:bottom w:val="nil"/>
          <w:right w:val="nil"/>
          <w:between w:val="nil"/>
          <w:bar w:val="nil"/>
        </w:pBdr>
        <w:spacing w:before="200" w:after="80"/>
        <w:outlineLvl w:val="0"/>
        <w:rPr>
          <w:rFonts w:ascii="Times New Roman" w:eastAsia="Arial Unicode MS" w:hAnsi="Times New Roman" w:cs="Times New Roman"/>
          <w:b/>
          <w:bCs/>
          <w:color w:val="000000"/>
          <w:kern w:val="0"/>
          <w:sz w:val="28"/>
          <w:szCs w:val="28"/>
          <w:u w:color="000000"/>
          <w:bdr w:val="nil"/>
          <w:lang w:val="en-US" w:eastAsia="en-GB"/>
          <w14:ligatures w14:val="none"/>
        </w:rPr>
      </w:pPr>
      <w:r w:rsidRPr="00EF34C7">
        <w:rPr>
          <w:rFonts w:ascii="Times New Roman" w:eastAsia="Arial Unicode MS" w:hAnsi="Times New Roman" w:cs="Times New Roman"/>
          <w:b/>
          <w:bCs/>
          <w:color w:val="000000"/>
          <w:kern w:val="0"/>
          <w:sz w:val="28"/>
          <w:szCs w:val="28"/>
          <w:u w:color="000000"/>
          <w:bdr w:val="nil"/>
          <w:lang w:val="en-US" w:eastAsia="en-GB"/>
          <w14:ligatures w14:val="none"/>
        </w:rPr>
        <w:lastRenderedPageBreak/>
        <w:t>Sample size {14}</w:t>
      </w:r>
    </w:p>
    <w:p w14:paraId="7A56BD93"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t>Main stepped wedge design and primary outcome</w:t>
      </w:r>
    </w:p>
    <w:p w14:paraId="6CB3B8FF"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With 30 clusters across six batches and a total participant sample size of at least 4320, our study has ~90% power across different combinations of cluster autocorrelations (CACs) and intracluster correlations (ICCs) to detect a reduction in the primary outcome of in-hospital mortality within 30 days from 20% under standard care to 15% after ATLS® training (see Figure 3A), meaning a 5% units absolute reduction </w:t>
      </w:r>
      <w:r w:rsidRPr="00EF34C7">
        <w:rPr>
          <w:rFonts w:ascii="Times New Roman" w:eastAsia="Times New Roman" w:hAnsi="Times New Roman" w:cs="Times New Roman"/>
          <w:kern w:val="0"/>
          <w:u w:color="004C7F"/>
          <w:lang w:eastAsia="en-GB"/>
          <w14:ligatures w14:val="none"/>
        </w:rPr>
        <w:fldChar w:fldCharType="begin"/>
      </w:r>
      <w:r w:rsidRPr="00EF34C7">
        <w:rPr>
          <w:rFonts w:ascii="Times New Roman" w:eastAsia="Times New Roman" w:hAnsi="Times New Roman" w:cs="Times New Roman"/>
          <w:kern w:val="0"/>
          <w:u w:color="004C7F"/>
          <w:lang w:eastAsia="en-GB"/>
          <w14:ligatures w14:val="none"/>
        </w:rPr>
        <w:instrText xml:space="preserve"> ADDIN ZOTERO_ITEM CSL_CITATION {"citationID":"YWu4RUvb","properties":{"formattedCitation":"(36)","plainCitation":"(36)","noteIndex":0},"citationItems":[{"id":76,"uris":["http://zotero.org/users/6304864/items/RWKM9LFM"],"itemData":{"id":76,"type":"article-journal","container-title":"International Journal of Epidemiology","DOI":"10.1093/ije/dyz237","ISSN":"1464-3685","issue":"3","note":"publisher: Oxford University Press (OUP)","page":"979–995","title":"A tutorial on sample size calculation for multiple-period cluster randomized parallel, cross-over and stepped-wedge trials using the Shiny CRT Calculator","volume":"49","author":[{"family":"Hemming","given":"Karla"},{"family":"Kasza","given":"Jessica"},{"family":"Hooper","given":"Richard"},{"family":"Forbes","given":"Andrew"},{"family":"Taljaard","given":"Monica"}],"issued":{"date-parts":[["2020",2]]}}}],"schema":"https://github.com/citation-style-language/schema/raw/master/csl-citation.json"} </w:instrText>
      </w:r>
      <w:r w:rsidRPr="00EF34C7">
        <w:rPr>
          <w:rFonts w:ascii="Times New Roman" w:eastAsia="Times New Roman" w:hAnsi="Times New Roman" w:cs="Times New Roman"/>
          <w:kern w:val="0"/>
          <w:u w:color="004C7F"/>
          <w:lang w:eastAsia="en-GB"/>
          <w14:ligatures w14:val="none"/>
        </w:rPr>
        <w:fldChar w:fldCharType="separate"/>
      </w:r>
      <w:r w:rsidRPr="00EF34C7">
        <w:rPr>
          <w:rFonts w:ascii="Times New Roman" w:eastAsia="Times New Roman" w:hAnsi="Times New Roman" w:cs="Times New Roman"/>
          <w:noProof/>
          <w:kern w:val="0"/>
          <w:u w:color="004C7F"/>
          <w:lang w:eastAsia="en-GB"/>
          <w14:ligatures w14:val="none"/>
        </w:rPr>
        <w:t>(36)</w:t>
      </w:r>
      <w:r w:rsidRPr="00EF34C7">
        <w:rPr>
          <w:rFonts w:ascii="Times New Roman" w:eastAsia="Times New Roman" w:hAnsi="Times New Roman" w:cs="Times New Roman"/>
          <w:kern w:val="0"/>
          <w:u w:color="004C7F"/>
          <w:lang w:eastAsia="en-GB"/>
          <w14:ligatures w14:val="none"/>
        </w:rPr>
        <w:fldChar w:fldCharType="end"/>
      </w:r>
      <w:r w:rsidRPr="00EF34C7">
        <w:rPr>
          <w:rFonts w:ascii="Times New Roman" w:eastAsia="Times New Roman" w:hAnsi="Times New Roman" w:cs="Times New Roman"/>
          <w:kern w:val="0"/>
          <w:u w:color="004C7F"/>
          <w:lang w:eastAsia="en-GB"/>
          <w14:ligatures w14:val="none"/>
        </w:rPr>
        <w:t xml:space="preserve">. This effect is a conservative estimate because our updated systematic review indicate a larger effect. The reduction equals a risk ratio of 0.75, which would be clinically important as well as consistent with our pilot study and updated systematic review. We allow for the clustered design, incorporated the one month transition period, and assumed: a discrete time decay correlation structure, an ICC of 0.02 (but considered sensitivity across the 0.01-0.05 range) and a CAC of 0.9 (but considered sensitivity across the 0.8-1.0 range), based on our pilot study and current guidance </w:t>
      </w:r>
      <w:r w:rsidRPr="00EF34C7">
        <w:rPr>
          <w:rFonts w:ascii="Times New Roman" w:eastAsia="Times New Roman" w:hAnsi="Times New Roman" w:cs="Times New Roman"/>
          <w:kern w:val="0"/>
          <w:u w:color="004C7F"/>
          <w:lang w:eastAsia="en-GB"/>
          <w14:ligatures w14:val="none"/>
        </w:rPr>
        <w:fldChar w:fldCharType="begin"/>
      </w:r>
      <w:r w:rsidRPr="00EF34C7">
        <w:rPr>
          <w:rFonts w:ascii="Times New Roman" w:eastAsia="Times New Roman" w:hAnsi="Times New Roman" w:cs="Times New Roman"/>
          <w:kern w:val="0"/>
          <w:u w:color="004C7F"/>
          <w:lang w:eastAsia="en-GB"/>
          <w14:ligatures w14:val="none"/>
        </w:rPr>
        <w:instrText xml:space="preserve"> ADDIN ZOTERO_ITEM CSL_CITATION {"citationID":"tt8AGUlB","properties":{"formattedCitation":"(37\\uc0\\u8211{}40)","plainCitation":"(37–40)","noteIndex":0},"citationItems":[{"id":28,"uris":["http://zotero.org/users/6304864/items/7RQGHFXG"],"itemData":{"id":28,"type":"article-journal","container-title":"Clinical Trials","DOI":"10.1191/1740774505cn071oa","ISSN":"1740-7753","issue":"2","note":"publisher: SAGE Publications","page":"99–107","title":"Determinants of the intracluster correlation coefficient in cluster randomized trials: the case of implementation research","volume":"2","author":[{"family":"Campbell","given":"Marion K"},{"family":"Fayers","given":"Peter M"},{"family":"Grimshaw","given":"Jeremy M"}],"issued":{"date-parts":[["2005",4]]}}},{"id":46,"uris":["http://zotero.org/users/6304864/items/TXUBN9Z8"],"itemData":{"id":46,"type":"article-journal","container-title":"Statistical Methods in Medical Research","DOI":"10.1177/0962280215588242","ISSN":"1477-0334","issue":"3","note":"publisher: SAGE Publications","page":"1039–1056","title":"How big should the pilot study for my cluster randomised trial be?","volume":"25","author":[{"family":"Eldridge","given":"Sandra M"},{"family":"Costelloe","given":"Ceire E"},{"family":"Kahan","given":"Brennan C"},{"family":"Lancaster","given":"Gillian A"},{"family":"Kerry","given":"Sally M"}],"issued":{"date-parts":[["2015",6]]}}},{"id":114,"uris":["http://zotero.org/users/6304864/items/3Z8TNF78"],"itemData":{"id":114,"type":"article-journal","container-title":"Trials","DOI":"10.1186/s13063-016-1532-9","ISSN":"1745-6215","issue":"1","note":"publisher: Springer Science and Business Media LLC","title":"Intra-cluster and inter-period correlation coefficients for cross-sectional cluster randomised controlled trials for type-2 diabetes in UK primary care","URL":"http://dx.doi.org/10.1186/s13063-016-1532-9","volume":"17","author":[{"family":"Martin","given":"James"},{"family":"Girling","given":"Alan"},{"family":"Nirantharakumar","given":"Krishnarajah"},{"family":"Ryan","given":"Ronan"},{"family":"Marshall","given":"Tom"},{"family":"Hemming","given":"Karla"}],"issued":{"date-parts":[["2016",8]]}}},{"id":102,"uris":["http://zotero.org/users/6304864/items/5IVEL7JT"],"itemData":{"id":102,"type":"article-journal","container-title":"Clinical Trials","DOI":"10.1177/17407745211020852","ISSN":"1740-7753","issue":"5","note":"publisher: SAGE Publications","page":"529–540","title":"Intra-cluster correlations from the CLustered OUtcome Dataset bank to inform the design of longitudinal cluster trials","volume":"18","author":[{"family":"Korevaar","given":"Elizabeth"},{"family":"Kasza","given":"Jessica"},{"family":"Taljaard","given":"Monica"},{"family":"Hemming","given":"Karla"},{"family":"Haines","given":"Terry"},{"family":"Turner","given":"Elizabeth L"},{"family":"Thompson","given":"Jennifer A"},{"family":"Hughes","given":"James P"},{"family":"Forbes","given":"Andrew B"}],"issued":{"date-parts":[["2021",6]]}}}],"schema":"https://github.com/citation-style-language/schema/raw/master/csl-citation.json"} </w:instrText>
      </w:r>
      <w:r w:rsidRPr="00EF34C7">
        <w:rPr>
          <w:rFonts w:ascii="Times New Roman" w:eastAsia="Times New Roman" w:hAnsi="Times New Roman" w:cs="Times New Roman"/>
          <w:kern w:val="0"/>
          <w:u w:color="004C7F"/>
          <w:lang w:eastAsia="en-GB"/>
          <w14:ligatures w14:val="none"/>
        </w:rPr>
        <w:fldChar w:fldCharType="separate"/>
      </w:r>
      <w:r w:rsidRPr="00EF34C7">
        <w:rPr>
          <w:rFonts w:ascii="Times New Roman" w:eastAsia="Arial Unicode MS" w:hAnsi="Times New Roman" w:cs="Times New Roman"/>
          <w:kern w:val="0"/>
          <w:u w:color="004C7F"/>
          <w:bdr w:val="nil"/>
          <w:lang w:val="en-GB" w:eastAsia="en-GB"/>
          <w14:ligatures w14:val="none"/>
        </w:rPr>
        <w:t>(37–40)</w:t>
      </w:r>
      <w:r w:rsidRPr="00EF34C7">
        <w:rPr>
          <w:rFonts w:ascii="Times New Roman" w:eastAsia="Times New Roman" w:hAnsi="Times New Roman" w:cs="Times New Roman"/>
          <w:kern w:val="0"/>
          <w:u w:color="004C7F"/>
          <w:lang w:eastAsia="en-GB"/>
          <w14:ligatures w14:val="none"/>
        </w:rPr>
        <w:fldChar w:fldCharType="end"/>
      </w:r>
      <w:r w:rsidRPr="00EF34C7">
        <w:rPr>
          <w:rFonts w:ascii="Times New Roman" w:eastAsia="Times New Roman" w:hAnsi="Times New Roman" w:cs="Times New Roman"/>
          <w:kern w:val="0"/>
          <w:u w:color="004C7F"/>
          <w:lang w:eastAsia="en-GB"/>
          <w14:ligatures w14:val="none"/>
        </w:rPr>
        <w:t>. We included the CAC to allow for variation in clustering over time. We assume that each cluster will contribute approximately 12 observations per month to the analysis, but allowed for substantial variations in cluster sizes, on the basis of our previous work. We have also estimated the sample size required to detect a reduction in the primary outcome from 10% to 7.5%, which would require at least 30 observations per period and cluster (Figure 3B).</w:t>
      </w:r>
    </w:p>
    <w:p w14:paraId="45CCED92"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p>
    <w:p w14:paraId="61C2D945" w14:textId="77777777" w:rsidR="00EF34C7" w:rsidRPr="00EF34C7" w:rsidRDefault="00EF34C7" w:rsidP="00EF34C7">
      <w:pPr>
        <w:spacing w:after="120"/>
        <w:rPr>
          <w:rFonts w:ascii="Times New Roman" w:eastAsia="Times New Roman" w:hAnsi="Times New Roman" w:cs="Times New Roman"/>
          <w:color w:val="000000"/>
          <w:kern w:val="0"/>
          <w:u w:color="004C7F"/>
          <w:lang w:eastAsia="en-GB"/>
          <w14:ligatures w14:val="none"/>
        </w:rPr>
      </w:pPr>
      <w:r w:rsidRPr="00EF34C7">
        <w:rPr>
          <w:rFonts w:ascii="Times New Roman" w:eastAsia="Times New Roman" w:hAnsi="Times New Roman" w:cs="Times New Roman"/>
          <w:noProof/>
          <w:kern w:val="0"/>
          <w:u w:color="004C7F"/>
          <w:lang w:eastAsia="en-GB"/>
          <w14:ligatures w14:val="none"/>
        </w:rPr>
        <w:drawing>
          <wp:inline distT="0" distB="0" distL="0" distR="0" wp14:anchorId="7EF3CCE0" wp14:editId="6A079FDD">
            <wp:extent cx="5200650" cy="2333625"/>
            <wp:effectExtent l="0" t="0" r="0" b="0"/>
            <wp:docPr id="913407665" name="image2.png" descr="A graph of a graph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913407665" name="image2.png" descr="A graph of a graph of a diagram&#10;&#10;AI-generated content may be incorrect."/>
                    <pic:cNvPicPr preferRelativeResize="0"/>
                  </pic:nvPicPr>
                  <pic:blipFill>
                    <a:blip r:embed="rId7"/>
                    <a:srcRect/>
                    <a:stretch>
                      <a:fillRect/>
                    </a:stretch>
                  </pic:blipFill>
                  <pic:spPr>
                    <a:xfrm>
                      <a:off x="0" y="0"/>
                      <a:ext cx="5200650" cy="2333625"/>
                    </a:xfrm>
                    <a:prstGeom prst="rect">
                      <a:avLst/>
                    </a:prstGeom>
                    <a:ln/>
                  </pic:spPr>
                </pic:pic>
              </a:graphicData>
            </a:graphic>
          </wp:inline>
        </w:drawing>
      </w:r>
    </w:p>
    <w:p w14:paraId="0B16271A"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b/>
          <w:kern w:val="0"/>
          <w:u w:color="004C7F"/>
          <w:lang w:eastAsia="en-GB"/>
          <w14:ligatures w14:val="none"/>
        </w:rPr>
        <w:t>Figure 3:</w:t>
      </w:r>
      <w:r w:rsidRPr="00EF34C7">
        <w:rPr>
          <w:rFonts w:ascii="Times New Roman" w:eastAsia="Times New Roman" w:hAnsi="Times New Roman" w:cs="Times New Roman"/>
          <w:kern w:val="0"/>
          <w:u w:color="004C7F"/>
          <w:lang w:eastAsia="en-GB"/>
          <w14:ligatures w14:val="none"/>
        </w:rPr>
        <w:t xml:space="preserve"> Power curves for different combinations of cluster autocorrelations (CACs) and intra-cluster correlations (ICCs). A) Power curves assuming a reduction in the primary outcome of in-hospital mortality within 30 days from 20% under standard care to 15% after ATLS® training. B) Power curves assuming a reduction in the primary outcome from 10% under standard care to 7.5% after ATLS® training. Under this scenario, we would need to increase the sample size per month to approximately 30 observations to achieve 90% power under most combinations of CACs and ICCs.</w:t>
      </w:r>
    </w:p>
    <w:p w14:paraId="6BE6CDA9"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t>Nested staircase design</w:t>
      </w:r>
    </w:p>
    <w:p w14:paraId="106CB599"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The secondary outcomes that will be measured using the nested staircase design are adherence to ATLS® principles during initial patient resuscitation, quality of life, and disability. We will not include any multiplicity adjustment as these are intended to be hypothesis driving only. The expected effect of the intervention on each of these outcomes are an improvement in adherence from 50% during standard care to 70% after training </w:t>
      </w:r>
      <w:r w:rsidRPr="00EF34C7">
        <w:rPr>
          <w:rFonts w:ascii="Times New Roman" w:eastAsia="Times New Roman" w:hAnsi="Times New Roman" w:cs="Times New Roman"/>
          <w:kern w:val="0"/>
          <w:u w:color="004C7F"/>
          <w:lang w:eastAsia="en-GB"/>
          <w14:ligatures w14:val="none"/>
        </w:rPr>
        <w:fldChar w:fldCharType="begin"/>
      </w:r>
      <w:r w:rsidRPr="00EF34C7">
        <w:rPr>
          <w:rFonts w:ascii="Times New Roman" w:eastAsia="Times New Roman" w:hAnsi="Times New Roman" w:cs="Times New Roman"/>
          <w:kern w:val="0"/>
          <w:u w:color="004C7F"/>
          <w:lang w:eastAsia="en-GB"/>
          <w14:ligatures w14:val="none"/>
        </w:rPr>
        <w:instrText xml:space="preserve"> ADDIN ZOTERO_ITEM CSL_CITATION {"citationID":"tMzDupkY","properties":{"formattedCitation":"(41)","plainCitation":"(41)","noteIndex":0},"citationItems":[{"id":1513,"uris":["http://zotero.org/users/6304864/items/JEQX699V"],"itemData":{"id":1513,"type":"article-journal","abstract":"Background Trauma contributes more than ten percent of the global burden of disease. Initial assessment and resuscitation of trauma patients often requires rapid diagnosis and management of multiple concurrent complex conditions, and errors are common. We investigated whether implementing a trauma care checklist would improve care for injured patients in low-, middle-, and high-income countries.\nMethods From 2010 to 2012, the impact of the World Health Organization (WHO) Trauma Care Checklist program was assessed in 11 hospitals using a stepped wedge pre- and post-intervention comparison with randomly assigned intervention start dates. Study sites represented nine countries with diverse economic and geographic contexts. Primary end points were adherence to process of care measures; secondary data on morbidity and mortality were also collected. Multilevel logistic regression models examined differences in measures pre- versus post-intervention, accounting for patient age, gender, injury severity, and center-speciﬁc variability.\nResults Data were collected on 1641 patients before and 1781 after program implementation. Patient age (mean 34 ± 18 vs. 34 ± 18), sex (21 vs. 22 % female), and the proportion of patients with injury severity scores (ISS) C 25 (10 vs. 10 %) were similar before and after checklist implementation (p [ 0.05). Improvement was found for 18 of 19 process measures, including greater odds of having abdominal examination (OR 3.26), chest auscultation (OR 2.68), and distal pulse examination (OR 2.33) (all p \\ 0.05). These changes were robust to several sensitivity analyses.\nConclusions Implementation of the WHO Trauma Care Checklist was associated with substantial improvements in patient care process measures among a cohort of patients in diverse settings.","container-title":"World Journal of Surgery","DOI":"10.1007/s00268-016-3759-8","ISSN":"0364-2313, 1432-2323","issue":"4","journalAbbreviation":"World J Surg","language":"en","page":"954-962","source":"DOI.org (Crossref)","title":"Implementation of the World Health Organization Trauma Care Checklist Program in 11 Centers Across Multiple Economic Strata: Effect on Care Process Measures","title-short":"Implementation of the World Health Organization Trauma Care Checklist Program in 11 Centers Across Multiple Economic Strata","volume":"41","author":[{"family":"Lashoher","given":"Angela"},{"family":"Schneider","given":"Eric B."},{"family":"Juillard","given":"Catherine"},{"family":"Stevens","given":"Kent"},{"family":"Colantuoni","given":"Elizabeth"},{"family":"Berry","given":"William R."},{"family":"Bloem","given":"Christina"},{"family":"Chadbunchachai","given":"Witaya"},{"family":"Dharap","given":"Satish"},{"family":"Dy","given":"Sydney M."},{"family":"Dziekan","given":"Gerald"},{"family":"Gruen","given":"Russell L."},{"family":"Henry","given":"Jaymie A."},{"family":"Huwer","given":"Christina"},{"family":"Joshipura","given":"Manjul"},{"family":"Kelley","given":"Edward"},{"family":"Krug","given":"Etienne"},{"family":"Kumar","given":"Vineet"},{"family":"Kyamanywa","given":"Patrick"},{"family":"Mefire","given":"Alain Chichom"},{"family":"Musafir","given":"Marcos"},{"family":"Nathens","given":"Avery B."},{"family":"Ngendahayo","given":"Edouard"},{"family":"Nguyen","given":"Thai Son"},{"family":"Roy","given":"Nobhojit"},{"family":"Pronovost","given":"Peter J."},{"family":"Khan","given":"Irum Qumar"},{"family":"Razzak","given":"Junaid Abdul"},{"family":"Rubiano","given":"Andrés M."},{"family":"Turner","given":"James A."},{"family":"Varghese","given":"Mathew"},{"family":"Zakirova","given":"Rimma"},{"family":"Mock","given":"Charles"}],"issued":{"date-parts":[["2017",4]]}}}],"schema":"https://github.com/citation-style-language/schema/raw/master/csl-citation.json"} </w:instrText>
      </w:r>
      <w:r w:rsidRPr="00EF34C7">
        <w:rPr>
          <w:rFonts w:ascii="Times New Roman" w:eastAsia="Times New Roman" w:hAnsi="Times New Roman" w:cs="Times New Roman"/>
          <w:kern w:val="0"/>
          <w:u w:color="004C7F"/>
          <w:lang w:eastAsia="en-GB"/>
          <w14:ligatures w14:val="none"/>
        </w:rPr>
        <w:fldChar w:fldCharType="separate"/>
      </w:r>
      <w:r w:rsidRPr="00EF34C7">
        <w:rPr>
          <w:rFonts w:ascii="Times New Roman" w:eastAsia="Times New Roman" w:hAnsi="Times New Roman" w:cs="Times New Roman"/>
          <w:noProof/>
          <w:kern w:val="0"/>
          <w:u w:color="004C7F"/>
          <w:lang w:eastAsia="en-GB"/>
          <w14:ligatures w14:val="none"/>
        </w:rPr>
        <w:t>(41)</w:t>
      </w:r>
      <w:r w:rsidRPr="00EF34C7">
        <w:rPr>
          <w:rFonts w:ascii="Times New Roman" w:eastAsia="Times New Roman" w:hAnsi="Times New Roman" w:cs="Times New Roman"/>
          <w:kern w:val="0"/>
          <w:u w:color="004C7F"/>
          <w:lang w:eastAsia="en-GB"/>
          <w14:ligatures w14:val="none"/>
        </w:rPr>
        <w:fldChar w:fldCharType="end"/>
      </w:r>
      <w:r w:rsidRPr="00EF34C7">
        <w:rPr>
          <w:rFonts w:ascii="Times New Roman" w:eastAsia="Times New Roman" w:hAnsi="Times New Roman" w:cs="Times New Roman"/>
          <w:kern w:val="0"/>
          <w:u w:color="004C7F"/>
          <w:lang w:eastAsia="en-GB"/>
          <w14:ligatures w14:val="none"/>
        </w:rPr>
        <w:t xml:space="preserve">, an increase in EQ5D5L health status from 70 during care to 75 after training </w:t>
      </w:r>
      <w:r w:rsidRPr="00EF34C7">
        <w:rPr>
          <w:rFonts w:ascii="Times New Roman" w:eastAsia="Times New Roman" w:hAnsi="Times New Roman" w:cs="Times New Roman"/>
          <w:kern w:val="0"/>
          <w:u w:color="004C7F"/>
          <w:lang w:eastAsia="en-GB"/>
          <w14:ligatures w14:val="none"/>
        </w:rPr>
        <w:fldChar w:fldCharType="begin"/>
      </w:r>
      <w:r w:rsidRPr="00EF34C7">
        <w:rPr>
          <w:rFonts w:ascii="Times New Roman" w:eastAsia="Times New Roman" w:hAnsi="Times New Roman" w:cs="Times New Roman"/>
          <w:kern w:val="0"/>
          <w:u w:color="004C7F"/>
          <w:lang w:eastAsia="en-GB"/>
          <w14:ligatures w14:val="none"/>
        </w:rPr>
        <w:instrText xml:space="preserve"> ADDIN ZOTERO_ITEM CSL_CITATION {"citationID":"fH1frN23","properties":{"formattedCitation":"(42)","plainCitation":"(42)","noteIndex":0},"citationItems":[{"id":2306,"uris":["http://zotero.org/users/6304864/items/XL48Y4AA"],"itemData":{"id":2306,"type":"article-journal","abstract":"Trauma accounts for around 4.4 million deaths annually and is among the leading causes of death, disproportionately affecting low- and middle-income countries. Trauma quality improvement programmes may reduce adverse patient outcomes but lack robust evidence. This study assessed the effect of implementing a trauma quality improvement programme using audit filters on health-related quality of life in adult trauma patients in urban India. We conducted a controlled interrupted time series study (ClinicalTrials.gov ID NCT03235388) across four tertiary care university hospitals. Adult (≥18 years) trauma patients, who were alive at 90 days post-admission, were included. After a 14-month observation phase, two hospitals were randomized to the intervention arm and implemented the trauma quality improvement programme, while two control hospitals did not implement any interventions. The study spanned from 2017 to 2022. Health-related quality of life was assessed 90 days post-admission using the EuroQol 5-dimensions (EQ-5D) questionnaire. The main outcome was EQ-5D health status, scaled from 0 to 100, analyzed using a difference-in-differences (DiD) approach. Descriptive analysis was performed for the five individual EQ-5D dimensions. 2307 participants were eligible for the analyses. The DiD analysis showed a statistically significant reduction in the EQ-5D health status score in the intervention arm (DiD estimate -4.07 [95% CI: -7.00; -1.15]). For the 819 patients with major trauma, there was a more pronounced, but statistically insignificant reduction (DiD estimate -4.86 [95% CI: -9.87; 0.15]). In the intervention arm, mobility, self-care, and pain/discomfort improved, while usual activities and anxiety/depression worsened. Implementing trauma quality improvement programmes using audit filters may reduce the average health-related quality of life of trauma patients if more severely injured patients survive, highlighting the importance of assessing quality of life after the implementation of such programmes and ensuring adequate rehabilitation resources to support long-term recovery.","container-title":"Injury","DOI":"10.1016/j.injury.2025.112333","ISSN":"0020-1383","journalAbbreviation":"Injury","page":"112333","source":"ScienceDirect","title":"The effect of trauma quality improvement programme implementation on quality of life among trauma patients in urban India","author":[{"family":"Kapitan","given":"Eelika"},{"family":"Berg","given":"Johanna"},{"family":"David","given":"Siddarth"},{"family":"N","given":"Mohan L"},{"family":"Felländer-Tsai","given":"Li"},{"family":"Chatterjee","given":"Shamita"},{"family":"Ekelund","given":"Ulf"},{"family":"Roy","given":"Nobhojit"},{"family":"Petzold","given":"Max"},{"family":"Von Schreeb","given":"Johan"},{"family":"Soni","given":"Kapil Dev"},{"family":"Rajan","given":"Sendhil"},{"family":"Khajanchi","given":"Monty"},{"family":"Wärnberg","given":"Martin Gerdin"}],"issued":{"date-parts":[["2025",4,15]]}}}],"schema":"https://github.com/citation-style-language/schema/raw/master/csl-citation.json"} </w:instrText>
      </w:r>
      <w:r w:rsidRPr="00EF34C7">
        <w:rPr>
          <w:rFonts w:ascii="Times New Roman" w:eastAsia="Times New Roman" w:hAnsi="Times New Roman" w:cs="Times New Roman"/>
          <w:kern w:val="0"/>
          <w:u w:color="004C7F"/>
          <w:lang w:eastAsia="en-GB"/>
          <w14:ligatures w14:val="none"/>
        </w:rPr>
        <w:fldChar w:fldCharType="separate"/>
      </w:r>
      <w:r w:rsidRPr="00EF34C7">
        <w:rPr>
          <w:rFonts w:ascii="Times New Roman" w:eastAsia="Times New Roman" w:hAnsi="Times New Roman" w:cs="Times New Roman"/>
          <w:noProof/>
          <w:kern w:val="0"/>
          <w:u w:color="004C7F"/>
          <w:lang w:eastAsia="en-GB"/>
          <w14:ligatures w14:val="none"/>
        </w:rPr>
        <w:t>(42)</w:t>
      </w:r>
      <w:r w:rsidRPr="00EF34C7">
        <w:rPr>
          <w:rFonts w:ascii="Times New Roman" w:eastAsia="Times New Roman" w:hAnsi="Times New Roman" w:cs="Times New Roman"/>
          <w:kern w:val="0"/>
          <w:u w:color="004C7F"/>
          <w:lang w:eastAsia="en-GB"/>
          <w14:ligatures w14:val="none"/>
        </w:rPr>
        <w:fldChar w:fldCharType="end"/>
      </w:r>
      <w:r w:rsidRPr="00EF34C7">
        <w:rPr>
          <w:rFonts w:ascii="Times New Roman" w:eastAsia="Times New Roman" w:hAnsi="Times New Roman" w:cs="Times New Roman"/>
          <w:kern w:val="0"/>
          <w:u w:color="004C7F"/>
          <w:lang w:eastAsia="en-GB"/>
          <w14:ligatures w14:val="none"/>
        </w:rPr>
        <w:t xml:space="preserve">, and a decrease in disability from a baseline value of 25 during standard care to 22.5 after training </w:t>
      </w:r>
      <w:r w:rsidRPr="00EF34C7">
        <w:rPr>
          <w:rFonts w:ascii="Times New Roman" w:eastAsia="Times New Roman" w:hAnsi="Times New Roman" w:cs="Times New Roman"/>
          <w:kern w:val="0"/>
          <w:u w:color="004C7F"/>
          <w:lang w:eastAsia="en-GB"/>
          <w14:ligatures w14:val="none"/>
        </w:rPr>
        <w:fldChar w:fldCharType="begin"/>
      </w:r>
      <w:r w:rsidRPr="00EF34C7">
        <w:rPr>
          <w:rFonts w:ascii="Times New Roman" w:eastAsia="Times New Roman" w:hAnsi="Times New Roman" w:cs="Times New Roman"/>
          <w:kern w:val="0"/>
          <w:u w:color="004C7F"/>
          <w:lang w:eastAsia="en-GB"/>
          <w14:ligatures w14:val="none"/>
        </w:rPr>
        <w:instrText xml:space="preserve"> ADDIN ZOTERO_ITEM CSL_CITATION {"citationID":"lOVrNeAX","properties":{"formattedCitation":"(43)","plainCitation":"(43)","noteIndex":0},"citationItems":[{"id":2285,"uris":["http://zotero.org/users/6304864/items/2PVDCPVI"],"itemData":{"id":2285,"type":"article-journal","abstract":"Objectives: The 12-item World Health Organization Disability Assessment Schedule 2.0 (WHODAS 2.0) provides a standardised method for measuring health and disability. This study aimed to determine its reliability, validity and responsiveness and to establish the minimum clinically important difference (MCID) in critically ill patients. Design: Prospective, multicentre cohort study. Setting: Intensive care units of six metropolitan hospitals. Participants: Adults mechanically ventilated for &gt; 24 hours. Main outcome measures: Reliability was assessed by measuring internal consistency. Construct validity was assessed by comparing WHODAS 2.0 scores at 6 months with the EuroQoL visual analogue scale (EQ VAS) and Lawton Instrumental Activities of Daily Living (IADL) scale scores. Responsiveness was evaluated by assessing change over time, effect sizes, and percentage of patients showing no change. The MCID was calculated using both anchor and distribution-based methods with triangulation of results. Main results: A baseline and 6-month WHODAS 2.0 score were available for 448 patients. The WHODAS 2.0 demonstrated good correlation between items with no evidence of item redundancy. Cronbach α coefficient was 0.91 and average split-half coefficient was 0.91. There was a moderate correlation between the WHODAS 2.0 and the EQ VAS scores (r = -0.72; P &lt; 0.001) and between the WHODAS 2.0 and the Lawton IADL scores (r = -0.66; P &lt; 0.001) at 6 months. The effect sizes for change in the WHODAS 2.0 score from baseline to 3 months and from 3 to 6 months were low. Ceiling effects were not present and floor effects were present at baseline only. The final MCID estimate was 10%. Conclusion: The 12-item WHODAS 2.0 is a reliable, valid and responsive measure of disability in critically ill patients. A change in the total WHODAS 2.0 score of 10% represents the MCID.","container-title":"Critical Care and Resuscitation","DOI":"10.51893/2021.1.OA10","ISSN":"1441-2772","issue":"1","journalAbbreviation":"Critical Care and Resuscitation","page":"103-112","source":"ScienceDirect","title":"The psychometric properties and minimal clinically important difference for disability assessment using WHODAS 2.0 in critically ill patients","volume":"23","author":[{"family":"Higgins","given":"Alisa M."},{"family":"Neto","given":"Ary Serpa"},{"family":"Bailey","given":"Michael"},{"family":"Barrett","given":"Jonathan"},{"family":"Bellomo","given":"Rinaldo"},{"family":"Cooper","given":"D. James"},{"family":"Gabbe","given":"Belinda"},{"family":"Linke","given":"Natalie"},{"family":"Myles","given":"Paul S."},{"family":"Paton","given":"Michelle"},{"family":"Philpot","given":"Steve"},{"family":"Shulman","given":"Mark"},{"family":"Young","given":"Meredith"},{"family":"Hodgson","given":"Carol L."}],"issued":{"date-parts":[["2021",3,1]]}}}],"schema":"https://github.com/citation-style-language/schema/raw/master/csl-citation.json"} </w:instrText>
      </w:r>
      <w:r w:rsidRPr="00EF34C7">
        <w:rPr>
          <w:rFonts w:ascii="Times New Roman" w:eastAsia="Times New Roman" w:hAnsi="Times New Roman" w:cs="Times New Roman"/>
          <w:kern w:val="0"/>
          <w:u w:color="004C7F"/>
          <w:lang w:eastAsia="en-GB"/>
          <w14:ligatures w14:val="none"/>
        </w:rPr>
        <w:fldChar w:fldCharType="separate"/>
      </w:r>
      <w:r w:rsidRPr="00EF34C7">
        <w:rPr>
          <w:rFonts w:ascii="Times New Roman" w:eastAsia="Times New Roman" w:hAnsi="Times New Roman" w:cs="Times New Roman"/>
          <w:noProof/>
          <w:kern w:val="0"/>
          <w:u w:color="004C7F"/>
          <w:lang w:eastAsia="en-GB"/>
          <w14:ligatures w14:val="none"/>
        </w:rPr>
        <w:t>(43)</w:t>
      </w:r>
      <w:r w:rsidRPr="00EF34C7">
        <w:rPr>
          <w:rFonts w:ascii="Times New Roman" w:eastAsia="Times New Roman" w:hAnsi="Times New Roman" w:cs="Times New Roman"/>
          <w:kern w:val="0"/>
          <w:u w:color="004C7F"/>
          <w:lang w:eastAsia="en-GB"/>
          <w14:ligatures w14:val="none"/>
        </w:rPr>
        <w:fldChar w:fldCharType="end"/>
      </w:r>
      <w:r w:rsidRPr="00EF34C7">
        <w:rPr>
          <w:rFonts w:ascii="Times New Roman" w:eastAsia="Times New Roman" w:hAnsi="Times New Roman" w:cs="Times New Roman"/>
          <w:kern w:val="0"/>
          <w:u w:color="004C7F"/>
          <w:lang w:eastAsia="en-GB"/>
          <w14:ligatures w14:val="none"/>
        </w:rPr>
        <w:t xml:space="preserve">. For quality of life and disability, these effects correspond to standardised effect sizes, expressed as Cohen's d of 0.5. With a total of 30 clusters, </w:t>
      </w:r>
      <w:r w:rsidRPr="00EF34C7">
        <w:rPr>
          <w:rFonts w:ascii="Times New Roman" w:eastAsia="Times New Roman" w:hAnsi="Times New Roman" w:cs="Times New Roman"/>
          <w:kern w:val="0"/>
          <w:u w:color="004C7F"/>
          <w:lang w:eastAsia="en-GB"/>
          <w14:ligatures w14:val="none"/>
        </w:rPr>
        <w:lastRenderedPageBreak/>
        <w:t xml:space="preserve">six per sequence, for a discrete time decay correlation structure, with ICCs of 0.01 to 0.15 and a CAC of 0.8, there is &gt;80% power to detect these effects by including four patients in each cluster in each period. To account for loss to follow-up, we will include at least six patients per cluster per month, sampled as described under Sequence generation {16a} below. </w:t>
      </w:r>
    </w:p>
    <w:p w14:paraId="357F62F5" w14:textId="77777777" w:rsidR="00EF34C7" w:rsidRPr="00EF34C7" w:rsidRDefault="00EF34C7" w:rsidP="00EF34C7">
      <w:pPr>
        <w:widowControl w:val="0"/>
        <w:pBdr>
          <w:top w:val="nil"/>
          <w:left w:val="nil"/>
          <w:bottom w:val="nil"/>
          <w:right w:val="nil"/>
          <w:between w:val="nil"/>
          <w:bar w:val="nil"/>
        </w:pBdr>
        <w:spacing w:before="200" w:after="80"/>
        <w:outlineLvl w:val="0"/>
        <w:rPr>
          <w:rFonts w:ascii="Times New Roman" w:eastAsia="Arial Unicode MS" w:hAnsi="Times New Roman" w:cs="Times New Roman"/>
          <w:b/>
          <w:bCs/>
          <w:color w:val="000000"/>
          <w:kern w:val="0"/>
          <w:sz w:val="28"/>
          <w:szCs w:val="28"/>
          <w:u w:color="000000"/>
          <w:bdr w:val="nil"/>
          <w:lang w:val="en-US" w:eastAsia="en-GB"/>
          <w14:ligatures w14:val="none"/>
        </w:rPr>
      </w:pPr>
      <w:r w:rsidRPr="00EF34C7">
        <w:rPr>
          <w:rFonts w:ascii="Times New Roman" w:eastAsia="Arial Unicode MS" w:hAnsi="Times New Roman" w:cs="Times New Roman"/>
          <w:b/>
          <w:bCs/>
          <w:color w:val="000000"/>
          <w:kern w:val="0"/>
          <w:sz w:val="28"/>
          <w:szCs w:val="28"/>
          <w:u w:color="000000"/>
          <w:bdr w:val="nil"/>
          <w:lang w:val="en-US" w:eastAsia="en-GB"/>
          <w14:ligatures w14:val="none"/>
        </w:rPr>
        <w:t>Recruitment {15}</w:t>
      </w:r>
    </w:p>
    <w:p w14:paraId="73042991"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Participant data collection will include all participants who meets the eligibility criteria. These participants will be adult trauma patients who present to the emergency department of a participating hospital. Participants cannot opt out of the intervention because it is implemented at the cluster level and involves training physicians in ATLS®, and it is unreasonable to expect these physicians to temporarily disregard their training. However, patient participants can choose to withdraw their consent for the collection of non-routinely recorded data at any time before the final analysis. If patients withdraw their consent for the data collection no further data collection will be performed, including follow-up data. Participants can also choose to remove the previously collected data in the trial at any time before the final analysis of the data. Withdrawal of consent or removal of data from the trial will not affect patients’ care in any way. If a participant withdraws consent, follow-up will be performed according to the participating hospital’s routine. We will document and report total numbers of withdrawals (by cluster and period).</w:t>
      </w:r>
    </w:p>
    <w:p w14:paraId="01BB9458" w14:textId="77777777" w:rsidR="00EF34C7" w:rsidRPr="00EF34C7" w:rsidRDefault="00EF34C7" w:rsidP="00EF34C7">
      <w:pPr>
        <w:widowControl w:val="0"/>
        <w:pBdr>
          <w:top w:val="nil"/>
          <w:left w:val="nil"/>
          <w:bottom w:val="nil"/>
          <w:right w:val="nil"/>
          <w:between w:val="nil"/>
          <w:bar w:val="nil"/>
        </w:pBdr>
        <w:spacing w:before="200" w:after="80"/>
        <w:outlineLvl w:val="0"/>
        <w:rPr>
          <w:rFonts w:ascii="Times New Roman" w:eastAsia="Arial Unicode MS" w:hAnsi="Times New Roman" w:cs="Times New Roman"/>
          <w:color w:val="000000"/>
          <w:kern w:val="0"/>
          <w:sz w:val="28"/>
          <w:szCs w:val="28"/>
          <w:u w:color="000000"/>
          <w:bdr w:val="nil"/>
          <w:lang w:val="en-US" w:eastAsia="en-GB"/>
          <w14:ligatures w14:val="none"/>
        </w:rPr>
      </w:pPr>
      <w:r w:rsidRPr="00EF34C7">
        <w:rPr>
          <w:rFonts w:ascii="Times New Roman" w:eastAsia="Arial Unicode MS" w:hAnsi="Times New Roman" w:cs="Times New Roman"/>
          <w:b/>
          <w:bCs/>
          <w:color w:val="000000"/>
          <w:kern w:val="0"/>
          <w:sz w:val="28"/>
          <w:szCs w:val="28"/>
          <w:u w:color="000000"/>
          <w:bdr w:val="nil"/>
          <w:lang w:val="en-US" w:eastAsia="en-GB"/>
          <w14:ligatures w14:val="none"/>
        </w:rPr>
        <w:t>Assignment of interventions: allocation</w:t>
      </w:r>
    </w:p>
    <w:p w14:paraId="1436A067"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t>Sequence generation {16a}</w:t>
      </w:r>
    </w:p>
    <w:p w14:paraId="0EB45E40"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Clusters will be assigned to batches as they are found to be eligible and receive ethical approval. We will randomise the clusters within each batch to the different intervention implementation sequences within that batch (36)</w:t>
      </w:r>
      <w:r w:rsidRPr="00EF34C7">
        <w:rPr>
          <w:rFonts w:ascii="Times New Roman" w:eastAsia="Times New Roman" w:hAnsi="Times New Roman" w:cs="Times New Roman"/>
          <w:color w:val="FF0000"/>
          <w:kern w:val="0"/>
          <w:u w:color="004C7F"/>
          <w:lang w:eastAsia="en-GB"/>
          <w14:ligatures w14:val="none"/>
        </w:rPr>
        <w:t>.</w:t>
      </w:r>
      <w:r w:rsidRPr="00EF34C7">
        <w:rPr>
          <w:rFonts w:ascii="Times New Roman" w:eastAsia="Times New Roman" w:hAnsi="Times New Roman" w:cs="Times New Roman"/>
          <w:kern w:val="0"/>
          <w:u w:color="004C7F"/>
          <w:lang w:eastAsia="en-GB"/>
          <w14:ligatures w14:val="none"/>
        </w:rPr>
        <w:t xml:space="preserve"> The randomisation will be balanced within each batch on cluster size, defined as the monthly volume of eligible patient participants, using covariate constrained randomisation. Cluster sizes are expected to vary from 12 and to 20 patients per month, based on our previous experiences.</w:t>
      </w:r>
    </w:p>
    <w:p w14:paraId="389064AA"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Patients included for measurement of the secondary outcomes adherence to ATLS® principles, quality of life, and disability under the nested staircase design will constitute a random subset of patients included during the staircase months. The random subset will be selected using simple random sampling at the shift level, meaning that the timing of the clinical research coordinator's shift will be randomised to cover approximately eight hours during the morning, afternoon, or night shift. ATLS® adherence will be recorded for all patients included during these shifts. Quality of life and disability will be recorded for all patients included during the days of the randomised shifts. In each hospital, the number of shifts that will be randomised will be determined by the volume of patients included during the months preceding the staircase months.</w:t>
      </w:r>
    </w:p>
    <w:p w14:paraId="16729611"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t>Concealment mechanism {16b}</w:t>
      </w:r>
    </w:p>
    <w:p w14:paraId="44F3C884"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The randomisation will be concealed for as long as it is logistically possible, considering that arrangements for sending physicians to ATLS® training must be made in advance.</w:t>
      </w:r>
    </w:p>
    <w:p w14:paraId="57604E96"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t>Implementation {16c}</w:t>
      </w:r>
    </w:p>
    <w:p w14:paraId="24B3BA25"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The allocation sequence is generated by JM. Participants are included by clinical research coordinators at each participating site. The time point when the intervention is implemented is determined by the randomised intervention sequence, and participants included after this time point are considered exposed to the intervention.</w:t>
      </w:r>
    </w:p>
    <w:p w14:paraId="1DF8D544" w14:textId="77777777" w:rsidR="00EF34C7" w:rsidRPr="00EF34C7" w:rsidRDefault="00EF34C7" w:rsidP="00EF34C7">
      <w:pPr>
        <w:widowControl w:val="0"/>
        <w:pBdr>
          <w:top w:val="nil"/>
          <w:left w:val="nil"/>
          <w:bottom w:val="nil"/>
          <w:right w:val="nil"/>
          <w:between w:val="nil"/>
          <w:bar w:val="nil"/>
        </w:pBdr>
        <w:spacing w:before="200" w:after="80"/>
        <w:outlineLvl w:val="0"/>
        <w:rPr>
          <w:rFonts w:ascii="Times New Roman" w:eastAsia="Arial Unicode MS" w:hAnsi="Times New Roman" w:cs="Times New Roman"/>
          <w:color w:val="000000"/>
          <w:kern w:val="0"/>
          <w:u w:color="000000"/>
          <w:bdr w:val="nil"/>
          <w:lang w:val="en-US" w:eastAsia="en-GB"/>
          <w14:ligatures w14:val="none"/>
        </w:rPr>
      </w:pPr>
      <w:r w:rsidRPr="00EF34C7">
        <w:rPr>
          <w:rFonts w:ascii="Times New Roman" w:eastAsia="Arial Unicode MS" w:hAnsi="Times New Roman" w:cs="Times New Roman"/>
          <w:b/>
          <w:bCs/>
          <w:color w:val="000000"/>
          <w:kern w:val="0"/>
          <w:sz w:val="28"/>
          <w:szCs w:val="28"/>
          <w:u w:color="000000"/>
          <w:bdr w:val="nil"/>
          <w:lang w:val="en-US" w:eastAsia="en-GB"/>
          <w14:ligatures w14:val="none"/>
        </w:rPr>
        <w:t>Assignment of interventions: Blinding</w:t>
      </w:r>
    </w:p>
    <w:p w14:paraId="6E1A518A"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lastRenderedPageBreak/>
        <w:t>Who will be blinded {17a}</w:t>
      </w:r>
    </w:p>
    <w:p w14:paraId="02B7120C"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It is not possible to blind trial participants or care providers in this stepped-wedge trial. We will not blind outcome assessors nor data analysts because of how the intervention is randomised by time. </w:t>
      </w:r>
      <w:r w:rsidRPr="00EF34C7">
        <w:rPr>
          <w:rFonts w:ascii="Times New Roman" w:eastAsia="Times New Roman" w:hAnsi="Times New Roman" w:cs="Times New Roman"/>
          <w:kern w:val="0"/>
          <w:u w:color="004C7F"/>
          <w:lang w:eastAsia="en-GB" w:bidi="hi-IN"/>
          <w14:ligatures w14:val="none"/>
        </w:rPr>
        <w:t>Instead</w:t>
      </w:r>
      <w:r w:rsidRPr="00EF34C7">
        <w:rPr>
          <w:rFonts w:ascii="Times New Roman" w:eastAsia="Times New Roman" w:hAnsi="Times New Roman" w:cs="Times New Roman"/>
          <w:kern w:val="0"/>
          <w:u w:color="004C7F"/>
          <w:lang w:eastAsia="en-GB"/>
          <w14:ligatures w14:val="none"/>
        </w:rPr>
        <w:t xml:space="preserve">, </w:t>
      </w:r>
      <w:r w:rsidRPr="00EF34C7">
        <w:rPr>
          <w:rFonts w:ascii="Times New Roman" w:eastAsia="Times New Roman" w:hAnsi="Times New Roman" w:cs="Times New Roman"/>
          <w:kern w:val="0"/>
          <w:u w:color="004C7F"/>
          <w:lang w:eastAsia="en-GB" w:bidi="hi-IN"/>
          <w14:ligatures w14:val="none"/>
        </w:rPr>
        <w:t>to protect against issues to do with an unblinded analysis of the data</w:t>
      </w:r>
      <w:r w:rsidRPr="00EF34C7">
        <w:rPr>
          <w:rFonts w:ascii="Times New Roman" w:eastAsia="Times New Roman" w:hAnsi="Times New Roman" w:cs="Times New Roman"/>
          <w:kern w:val="0"/>
          <w:u w:color="004C7F"/>
          <w:lang w:eastAsia="en-GB"/>
          <w14:ligatures w14:val="none"/>
        </w:rPr>
        <w:t>,</w:t>
      </w:r>
      <w:r w:rsidRPr="00EF34C7">
        <w:rPr>
          <w:rFonts w:ascii="Times New Roman" w:eastAsia="Times New Roman" w:hAnsi="Times New Roman" w:cs="Times New Roman"/>
          <w:kern w:val="0"/>
          <w:u w:color="004C7F"/>
          <w:lang w:eastAsia="en-GB" w:bidi="hi-IN"/>
          <w14:ligatures w14:val="none"/>
        </w:rPr>
        <w:t xml:space="preserve"> a full statistical analysis plan – including example code and descriptions of all sensitivity analyses – </w:t>
      </w:r>
      <w:r w:rsidRPr="00EF34C7">
        <w:rPr>
          <w:rFonts w:ascii="Times New Roman" w:eastAsia="Times New Roman" w:hAnsi="Times New Roman" w:cs="Times New Roman"/>
          <w:kern w:val="0"/>
          <w:u w:color="004C7F"/>
          <w:lang w:eastAsia="en-GB"/>
          <w14:ligatures w14:val="none"/>
        </w:rPr>
        <w:t xml:space="preserve">will </w:t>
      </w:r>
      <w:r w:rsidRPr="00EF34C7">
        <w:rPr>
          <w:rFonts w:ascii="Times New Roman" w:eastAsia="Times New Roman" w:hAnsi="Times New Roman" w:cs="Times New Roman"/>
          <w:kern w:val="0"/>
          <w:u w:color="004C7F"/>
          <w:lang w:eastAsia="en-GB" w:bidi="hi-IN"/>
          <w14:ligatures w14:val="none"/>
        </w:rPr>
        <w:t>be published online prior to the trial statistician receiving any data.</w:t>
      </w:r>
    </w:p>
    <w:p w14:paraId="443C1407"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t>Procedure for unblinding if needed {17b}</w:t>
      </w:r>
    </w:p>
    <w:p w14:paraId="4FD916D4" w14:textId="77777777" w:rsidR="00EF34C7" w:rsidRPr="00EF34C7" w:rsidRDefault="00EF34C7" w:rsidP="00EF34C7">
      <w:pPr>
        <w:spacing w:after="120"/>
        <w:rPr>
          <w:rFonts w:ascii="Times New Roman" w:eastAsia="Times New Roman" w:hAnsi="Times New Roman" w:cs="Times New Roman"/>
          <w:color w:val="006600"/>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Not applicable as the trial is not blinded.</w:t>
      </w:r>
    </w:p>
    <w:p w14:paraId="564D9C08" w14:textId="77777777" w:rsidR="00EF34C7" w:rsidRPr="00EF34C7" w:rsidRDefault="00EF34C7" w:rsidP="00EF34C7">
      <w:pPr>
        <w:widowControl w:val="0"/>
        <w:pBdr>
          <w:top w:val="nil"/>
          <w:left w:val="nil"/>
          <w:bottom w:val="nil"/>
          <w:right w:val="nil"/>
          <w:between w:val="nil"/>
          <w:bar w:val="nil"/>
        </w:pBdr>
        <w:spacing w:before="200" w:after="80"/>
        <w:outlineLvl w:val="0"/>
        <w:rPr>
          <w:rFonts w:ascii="Times New Roman" w:eastAsia="Arial Unicode MS" w:hAnsi="Times New Roman" w:cs="Times New Roman"/>
          <w:color w:val="000000"/>
          <w:kern w:val="0"/>
          <w:sz w:val="28"/>
          <w:szCs w:val="28"/>
          <w:u w:color="000000"/>
          <w:bdr w:val="nil"/>
          <w:lang w:val="en-US" w:eastAsia="en-GB"/>
          <w14:ligatures w14:val="none"/>
        </w:rPr>
      </w:pPr>
      <w:r w:rsidRPr="00EF34C7">
        <w:rPr>
          <w:rFonts w:ascii="Times New Roman" w:eastAsia="Arial Unicode MS" w:hAnsi="Times New Roman" w:cs="Times New Roman"/>
          <w:b/>
          <w:bCs/>
          <w:color w:val="000000"/>
          <w:kern w:val="0"/>
          <w:sz w:val="28"/>
          <w:szCs w:val="28"/>
          <w:u w:color="000000"/>
          <w:bdr w:val="nil"/>
          <w:lang w:val="en-US" w:eastAsia="en-GB"/>
          <w14:ligatures w14:val="none"/>
        </w:rPr>
        <w:t>Data collection and management</w:t>
      </w:r>
    </w:p>
    <w:p w14:paraId="7A67B0A6"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t>Plans for assessment and collection of outcomes {18a}</w:t>
      </w:r>
    </w:p>
    <w:p w14:paraId="76F0D706" w14:textId="77777777" w:rsidR="00EF34C7" w:rsidRPr="00EF34C7" w:rsidRDefault="00EF34C7" w:rsidP="00EF34C7">
      <w:pPr>
        <w:spacing w:after="120"/>
        <w:rPr>
          <w:rFonts w:ascii="Times New Roman" w:eastAsia="Times New Roman" w:hAnsi="Times New Roman" w:cs="Times New Roman"/>
          <w:color w:val="000000"/>
          <w:kern w:val="0"/>
          <w:u w:color="004C7F"/>
          <w:lang w:eastAsia="en-GB"/>
          <w14:ligatures w14:val="none"/>
        </w:rPr>
      </w:pPr>
      <w:r w:rsidRPr="00EF34C7">
        <w:rPr>
          <w:rFonts w:ascii="Times New Roman" w:eastAsia="Times New Roman" w:hAnsi="Times New Roman" w:cs="Times New Roman"/>
          <w:kern w:val="0"/>
          <w:highlight w:val="yellow"/>
          <w:u w:color="004C7F"/>
          <w:lang w:eastAsia="en-GB"/>
          <w14:ligatures w14:val="none"/>
        </w:rPr>
        <w:t>Outcomes will be assessed and collected as described in Table 1. Outcome recording will be verified for a sample of observations through remote and on-site monitoring of source data by the coordinating centre. The source data of all patients who die in-hospital are reviewed.</w:t>
      </w:r>
      <w:r w:rsidRPr="00EF34C7">
        <w:rPr>
          <w:rFonts w:ascii="Times New Roman" w:eastAsia="Times New Roman" w:hAnsi="Times New Roman" w:cs="Times New Roman"/>
          <w:kern w:val="0"/>
          <w:u w:color="004C7F"/>
          <w:lang w:eastAsia="en-GB"/>
          <w14:ligatures w14:val="none"/>
        </w:rPr>
        <w:t xml:space="preserve"> Data collection will be performed via a paper based case record form (CRF), which will then be transferred to an electronic CRF (eCRF) on REDCap </w:t>
      </w:r>
      <w:r w:rsidRPr="00EF34C7">
        <w:rPr>
          <w:rFonts w:ascii="Times New Roman" w:eastAsia="Times New Roman" w:hAnsi="Times New Roman" w:cs="Times New Roman"/>
          <w:kern w:val="0"/>
          <w:u w:color="004C7F"/>
          <w:lang w:eastAsia="en-GB"/>
          <w14:ligatures w14:val="none"/>
        </w:rPr>
        <w:fldChar w:fldCharType="begin"/>
      </w:r>
      <w:r w:rsidRPr="00EF34C7">
        <w:rPr>
          <w:rFonts w:ascii="Times New Roman" w:eastAsia="Times New Roman" w:hAnsi="Times New Roman" w:cs="Times New Roman"/>
          <w:kern w:val="0"/>
          <w:u w:color="004C7F"/>
          <w:lang w:eastAsia="en-GB"/>
          <w14:ligatures w14:val="none"/>
        </w:rPr>
        <w:instrText xml:space="preserve"> ADDIN ZOTERO_ITEM CSL_CITATION {"citationID":"WDbIQ9G0","properties":{"formattedCitation":"(44,45)","plainCitation":"(44,45)","noteIndex":0},"citationItems":[{"id":653,"uris":["http://zotero.org/users/6304864/items/YNW6IRZ9"],"itemData":{"id":653,"type":"article-journal","abstract":"Research electronic data capture (REDCap) is a novel workflow methodology and software solution designed for rapid development and deployment of electronic data capture tools to support clinical and translational research. We present: (1) a brief description of the REDCap metadata-driven software toolset; (2) detail concerning the capture and use of study-related metadata from scientific research teams; (3) measures of impact for REDCap; (4) details concerning a consortium network of domestic and international institutions collaborating on the project; and (5) strengths and limitations of the REDCap system. REDCap is currently supporting 286 translational research projects in a growing collaborative network including 27 active partner institutions.","container-title":"Journal of Biomedical Informatics","DOI":"10.1016/j.jbi.2008.08.010","ISSN":"1532-0480","issue":"2","journalAbbreviation":"J Biomed Inform","language":"eng","note":"PMID: 18929686\nPMCID: PMC2700030","page":"377-381","source":"PubMed","title":"Research electronic data capture (REDCap)--a metadata-driven methodology and workflow process for providing translational research informatics support","volume":"42","author":[{"family":"Harris","given":"Paul A."},{"family":"Taylor","given":"Robert"},{"family":"Thielke","given":"Robert"},{"family":"Payne","given":"Jonathon"},{"family":"Gonzalez","given":"Nathaniel"},{"family":"Conde","given":"Jose G."}],"issued":{"date-parts":[["2009",4]]}}},{"id":656,"uris":["http://zotero.org/users/6304864/items/7IB9RW3R"],"itemData":{"id":656,"type":"article-journal","abstract":"The Research Electronic Data Capture (REDCap) data management platform was developed in 2004 to address an institutional need at Vanderbilt University, then shared with a limited number of adopting sites beginning in 2006. Given bi-directional benefit in early sharing experiments, we created a broader consortium sharing and support model for any academic, non-profit, or government partner wishing to adopt the software. Our sharing framework and consortium-based support model have evolved over time along with the size of the consortium (currently more than 3200 REDCap partners across 128 countries). While the \"REDCap Consortium\" model represents only one example of how to build and disseminate a software platform, lessons learned from our approach may assist other research institutions seeking to build and disseminate innovative technologies.","container-title":"Journal of Biomedical Informatics","DOI":"10.1016/j.jbi.2019.103208","ISSN":"1532-0480","journalAbbreviation":"J Biomed Inform","language":"eng","note":"PMID: 31078660\nPMCID: PMC7254481","page":"103208","source":"PubMed","title":"The REDCap consortium: Building an international community of software platform partners","title-short":"The REDCap consortium","volume":"95","author":[{"family":"Harris","given":"Paul A."},{"family":"Taylor","given":"Robert"},{"family":"Minor","given":"Brenda L."},{"family":"Elliott","given":"Veida"},{"family":"Fernandez","given":"Michelle"},{"family":"O'Neal","given":"Lindsay"},{"family":"McLeod","given":"Laura"},{"family":"Delacqua","given":"Giovanni"},{"family":"Delacqua","given":"Francesco"},{"family":"Kirby","given":"Jacqueline"},{"family":"Duda","given":"Stephany N."},{"literal":"REDCap Consortium"}],"issued":{"date-parts":[["2019",7]]}}}],"schema":"https://github.com/citation-style-language/schema/raw/master/csl-citation.json"} </w:instrText>
      </w:r>
      <w:r w:rsidRPr="00EF34C7">
        <w:rPr>
          <w:rFonts w:ascii="Times New Roman" w:eastAsia="Times New Roman" w:hAnsi="Times New Roman" w:cs="Times New Roman"/>
          <w:kern w:val="0"/>
          <w:u w:color="004C7F"/>
          <w:lang w:eastAsia="en-GB"/>
          <w14:ligatures w14:val="none"/>
        </w:rPr>
        <w:fldChar w:fldCharType="separate"/>
      </w:r>
      <w:r w:rsidRPr="00EF34C7">
        <w:rPr>
          <w:rFonts w:ascii="Times New Roman" w:eastAsia="Times New Roman" w:hAnsi="Times New Roman" w:cs="Times New Roman"/>
          <w:noProof/>
          <w:kern w:val="0"/>
          <w:u w:color="004C7F"/>
          <w:lang w:eastAsia="en-GB"/>
          <w14:ligatures w14:val="none"/>
        </w:rPr>
        <w:t>(44,45)</w:t>
      </w:r>
      <w:r w:rsidRPr="00EF34C7">
        <w:rPr>
          <w:rFonts w:ascii="Times New Roman" w:eastAsia="Times New Roman" w:hAnsi="Times New Roman" w:cs="Times New Roman"/>
          <w:kern w:val="0"/>
          <w:u w:color="004C7F"/>
          <w:lang w:eastAsia="en-GB"/>
          <w14:ligatures w14:val="none"/>
        </w:rPr>
        <w:fldChar w:fldCharType="end"/>
      </w:r>
      <w:r w:rsidRPr="00EF34C7">
        <w:rPr>
          <w:rFonts w:ascii="Times New Roman" w:eastAsia="Times New Roman" w:hAnsi="Times New Roman" w:cs="Times New Roman"/>
          <w:kern w:val="0"/>
          <w:u w:color="004C7F"/>
          <w:lang w:eastAsia="en-GB"/>
          <w14:ligatures w14:val="none"/>
        </w:rPr>
        <w:t>. Site investigators will keep source documents for each patient participant in the trial. A document describing what has been classified as source data in the trial (source data reference document) will be included in the Investigator Site File (ISF). Data will be registered, managed, and stored in a manner that enables correct reporting, interpretation, and verification. All documentation will be stored securely and retained according to regulatory requirements. The complete Trial Master File, as well as source documents, will be archived for at least 10 years after the trial is completed. Source data in the medical records system are stored and archived in accordance with Indian national regulations. Metadata will be publicly accessible via a persistent DOI, and anonymized data will be released upon project completion.</w:t>
      </w:r>
    </w:p>
    <w:p w14:paraId="1075F1A6"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t>Plans to promote participant retention and complete follow-up {18b}</w:t>
      </w:r>
    </w:p>
    <w:p w14:paraId="17C43982"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The primary outcome is extracted from medical records and is known to be missing to a negligible extent. To promote complete telephone follow up following discharge we collect multiple phone numbers for each participant. </w:t>
      </w:r>
      <w:r w:rsidRPr="00EF34C7">
        <w:rPr>
          <w:rFonts w:ascii="Times New Roman" w:eastAsia="Times New Roman" w:hAnsi="Times New Roman" w:cs="Times New Roman"/>
          <w:kern w:val="0"/>
          <w:highlight w:val="yellow"/>
          <w:u w:color="004C7F"/>
          <w:lang w:eastAsia="en-GB"/>
          <w14:ligatures w14:val="none"/>
        </w:rPr>
        <w:t>For outcomes collected through telephone follow up</w:t>
      </w:r>
      <w:r w:rsidRPr="00EF34C7">
        <w:rPr>
          <w:rFonts w:ascii="Times New Roman" w:eastAsia="Times New Roman" w:hAnsi="Times New Roman" w:cs="Times New Roman"/>
          <w:kern w:val="0"/>
          <w:highlight w:val="yellow"/>
          <w:u w:color="004C7F"/>
          <w:lang w:val="en-GB" w:eastAsia="en-GB"/>
          <w14:ligatures w14:val="none"/>
        </w:rPr>
        <w:t>, at least three calls are attempted. Depending on the response, a subsequent call to complete the follow-up may be scheduled. In cases where no contact can be established despite repeated attempts, the participant is classified as lost to follow-up.</w:t>
      </w:r>
    </w:p>
    <w:p w14:paraId="5DDEFFA6" w14:textId="77777777" w:rsidR="00EF34C7" w:rsidRPr="00EF34C7" w:rsidRDefault="00EF34C7" w:rsidP="00EF34C7">
      <w:pPr>
        <w:widowControl w:val="0"/>
        <w:pBdr>
          <w:top w:val="nil"/>
          <w:left w:val="nil"/>
          <w:bottom w:val="nil"/>
          <w:right w:val="nil"/>
          <w:between w:val="nil"/>
          <w:bar w:val="nil"/>
        </w:pBdr>
        <w:spacing w:before="200" w:after="80"/>
        <w:outlineLvl w:val="0"/>
        <w:rPr>
          <w:rFonts w:ascii="Times New Roman" w:eastAsia="Arial Unicode MS" w:hAnsi="Times New Roman" w:cs="Times New Roman"/>
          <w:b/>
          <w:bCs/>
          <w:color w:val="000000"/>
          <w:kern w:val="0"/>
          <w:sz w:val="28"/>
          <w:szCs w:val="28"/>
          <w:u w:color="000000"/>
          <w:bdr w:val="nil"/>
          <w:lang w:val="en-US" w:eastAsia="en-GB"/>
          <w14:ligatures w14:val="none"/>
        </w:rPr>
      </w:pPr>
      <w:r w:rsidRPr="00EF34C7">
        <w:rPr>
          <w:rFonts w:ascii="Times New Roman" w:eastAsia="Arial Unicode MS" w:hAnsi="Times New Roman" w:cs="Times New Roman"/>
          <w:b/>
          <w:bCs/>
          <w:color w:val="000000"/>
          <w:kern w:val="0"/>
          <w:sz w:val="28"/>
          <w:szCs w:val="28"/>
          <w:u w:color="000000"/>
          <w:bdr w:val="nil"/>
          <w:lang w:val="en-US" w:eastAsia="en-GB"/>
          <w14:ligatures w14:val="none"/>
        </w:rPr>
        <w:t>Data management {19}</w:t>
      </w:r>
    </w:p>
    <w:p w14:paraId="4F0271D3"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Data entry will be performed in REDCap. The George Institute India will be the coordinating center in India. It will be the responsibility of the George Institute to train site investigators and site staff before the trial about the documentation requirements and data collection procedures. Data management will be performed through ongoing quality metrics assessment, review of missing data and outliers, and documentation in the investigator site file. Study-related documents will be stored securely and retained according to regulatory requirements. Data management will strictly follow ICH GCP principles and Indian regulations.</w:t>
      </w:r>
      <w:r w:rsidRPr="00EF34C7">
        <w:rPr>
          <w:rFonts w:ascii="Times New Roman" w:eastAsia="Times New Roman" w:hAnsi="Times New Roman" w:cs="Times New Roman"/>
          <w:color w:val="0078D4"/>
          <w:kern w:val="0"/>
          <w:u w:color="004C7F"/>
          <w:lang w:eastAsia="en-GB"/>
          <w14:ligatures w14:val="none"/>
        </w:rPr>
        <w:t xml:space="preserve"> </w:t>
      </w:r>
      <w:r w:rsidRPr="00EF34C7">
        <w:rPr>
          <w:rFonts w:ascii="Times New Roman" w:eastAsia="Times New Roman" w:hAnsi="Times New Roman" w:cs="Times New Roman"/>
          <w:kern w:val="0"/>
          <w:u w:color="004C7F"/>
          <w:lang w:eastAsia="en-GB"/>
          <w14:ligatures w14:val="none"/>
        </w:rPr>
        <w:t xml:space="preserve">Access to trial-related documentation, such as patient participants’ medical records, CRFs, other source data and other trial documentation, will be provided for monitoring and auditing purposes. Access will also be granted in the context of regulatory inspections. </w:t>
      </w:r>
      <w:r w:rsidRPr="00EF34C7">
        <w:rPr>
          <w:rFonts w:ascii="Times New Roman" w:eastAsia="Times New Roman" w:hAnsi="Times New Roman" w:cs="Times New Roman"/>
          <w:color w:val="000000"/>
          <w:kern w:val="0"/>
          <w:u w:color="004C7F"/>
          <w:lang w:eastAsia="en-GB"/>
          <w14:ligatures w14:val="none"/>
        </w:rPr>
        <w:t>Pseudonymised data will be transferred to secure servers at Karolinska Institutet for analysis.</w:t>
      </w:r>
    </w:p>
    <w:p w14:paraId="2BD5826C" w14:textId="77777777" w:rsidR="00EF34C7" w:rsidRPr="00EF34C7" w:rsidRDefault="00EF34C7" w:rsidP="00EF34C7">
      <w:pPr>
        <w:widowControl w:val="0"/>
        <w:pBdr>
          <w:top w:val="nil"/>
          <w:left w:val="nil"/>
          <w:bottom w:val="nil"/>
          <w:right w:val="nil"/>
          <w:between w:val="nil"/>
          <w:bar w:val="nil"/>
        </w:pBdr>
        <w:spacing w:before="200" w:after="80"/>
        <w:outlineLvl w:val="0"/>
        <w:rPr>
          <w:rFonts w:ascii="Times New Roman" w:eastAsia="Arial Unicode MS" w:hAnsi="Times New Roman" w:cs="Times New Roman"/>
          <w:b/>
          <w:bCs/>
          <w:color w:val="000000"/>
          <w:kern w:val="0"/>
          <w:sz w:val="28"/>
          <w:szCs w:val="28"/>
          <w:u w:color="000000"/>
          <w:bdr w:val="nil"/>
          <w:lang w:val="en-US" w:eastAsia="en-GB"/>
          <w14:ligatures w14:val="none"/>
        </w:rPr>
      </w:pPr>
      <w:r w:rsidRPr="00EF34C7">
        <w:rPr>
          <w:rFonts w:ascii="Times New Roman" w:eastAsia="Arial Unicode MS" w:hAnsi="Times New Roman" w:cs="Times New Roman"/>
          <w:b/>
          <w:bCs/>
          <w:color w:val="000000"/>
          <w:kern w:val="0"/>
          <w:sz w:val="28"/>
          <w:szCs w:val="28"/>
          <w:u w:color="000000"/>
          <w:bdr w:val="nil"/>
          <w:lang w:val="en-US" w:eastAsia="en-GB"/>
          <w14:ligatures w14:val="none"/>
        </w:rPr>
        <w:t>Confidentiality {27}</w:t>
      </w:r>
    </w:p>
    <w:p w14:paraId="38F929C0"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lastRenderedPageBreak/>
        <w:t xml:space="preserve">All data will be handled according to the Indian Council of Medical Research’s guidelines and standard operating procedures of the George Institute for Global Health India on data security and protection. Trial data will be stored and shared via the eCRF throughout the trial. The eCRF will be accessible via two-factor authentication, and the data will be held on a secure server. All investigators and trial site staff involved in this trial must comply with the requirements of the ICMR guidelines on data security and protection. </w:t>
      </w:r>
    </w:p>
    <w:p w14:paraId="49C36D49"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t>Plans for collection, laboratory evaluation and storage of biological specimens for genetic or molecular analysis in this trial/future use {33}</w:t>
      </w:r>
    </w:p>
    <w:p w14:paraId="69446EBF"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No biological specimens will be collected in this trial.</w:t>
      </w:r>
    </w:p>
    <w:p w14:paraId="01597E71" w14:textId="77777777" w:rsidR="00EF34C7" w:rsidRPr="00EF34C7" w:rsidRDefault="00EF34C7" w:rsidP="00EF34C7">
      <w:pPr>
        <w:widowControl w:val="0"/>
        <w:pBdr>
          <w:top w:val="nil"/>
          <w:left w:val="nil"/>
          <w:bottom w:val="nil"/>
          <w:right w:val="nil"/>
          <w:between w:val="nil"/>
          <w:bar w:val="nil"/>
        </w:pBdr>
        <w:spacing w:before="200" w:after="80"/>
        <w:outlineLvl w:val="0"/>
        <w:rPr>
          <w:rFonts w:ascii="Times New Roman" w:eastAsia="Arial Unicode MS" w:hAnsi="Times New Roman" w:cs="Times New Roman"/>
          <w:color w:val="000000"/>
          <w:kern w:val="0"/>
          <w:sz w:val="28"/>
          <w:szCs w:val="28"/>
          <w:u w:color="000000"/>
          <w:bdr w:val="nil"/>
          <w:lang w:val="en-US" w:eastAsia="en-GB"/>
          <w14:ligatures w14:val="none"/>
        </w:rPr>
      </w:pPr>
      <w:r w:rsidRPr="00EF34C7">
        <w:rPr>
          <w:rFonts w:ascii="Times New Roman" w:eastAsia="Arial Unicode MS" w:hAnsi="Times New Roman" w:cs="Times New Roman"/>
          <w:b/>
          <w:bCs/>
          <w:color w:val="000000"/>
          <w:kern w:val="0"/>
          <w:sz w:val="28"/>
          <w:szCs w:val="28"/>
          <w:u w:color="000000"/>
          <w:bdr w:val="nil"/>
          <w:lang w:val="en-US" w:eastAsia="en-GB"/>
          <w14:ligatures w14:val="none"/>
        </w:rPr>
        <w:t>Statistical methods</w:t>
      </w:r>
    </w:p>
    <w:p w14:paraId="61545B7D"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t>Statistical methods for primary and secondary outcomes {20a}</w:t>
      </w:r>
    </w:p>
    <w:p w14:paraId="7C46AB37"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The primary analysis set will include all observations within clusters with available data and irrespective of the receipt of the intervention. Clusters and observations within clusters will be considered exposed to the intervention after the date at which the cluster was scheduled for transition. All data will be included with the exception of the transition phases.</w:t>
      </w:r>
    </w:p>
    <w:p w14:paraId="3E235C5C"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We will not adjust for multiplicity of analyses because none of the secondary outcomes will be singularly more important. However, all secondary outcomes will be interpreted with due consideration for the way all are affected by the intervention without undue emphasis on a single outcome that might be statistically significant when all others appear to have remained unchanged.</w:t>
      </w:r>
    </w:p>
    <w:p w14:paraId="6D9B072B" w14:textId="77777777" w:rsidR="00EF34C7" w:rsidRPr="00EF34C7" w:rsidRDefault="00EF34C7" w:rsidP="00EF34C7">
      <w:pPr>
        <w:spacing w:after="120"/>
        <w:rPr>
          <w:rFonts w:ascii="Times New Roman" w:eastAsia="Times New Roman" w:hAnsi="Times New Roman" w:cs="Times New Roman"/>
          <w:color w:val="0078D4"/>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We have several requirements for the analysis model. First, all analyses will consider the clustered nature of the design. Second, as the trial has only 30 clusters, it will be essential for the model to allow for correction due to the small number of clusters. Third, as the design is a stepped-wedge study, we will adjust for temporal confounding following standard approaches with categorical effects for the period of the study (one month) </w:t>
      </w:r>
      <w:r w:rsidRPr="00EF34C7">
        <w:rPr>
          <w:rFonts w:ascii="Times New Roman" w:eastAsia="Times New Roman" w:hAnsi="Times New Roman" w:cs="Times New Roman"/>
          <w:kern w:val="0"/>
          <w:u w:color="004C7F"/>
          <w:lang w:eastAsia="en-GB"/>
          <w14:ligatures w14:val="none"/>
        </w:rPr>
        <w:fldChar w:fldCharType="begin"/>
      </w:r>
      <w:r w:rsidRPr="00EF34C7">
        <w:rPr>
          <w:rFonts w:ascii="Times New Roman" w:eastAsia="Times New Roman" w:hAnsi="Times New Roman" w:cs="Times New Roman"/>
          <w:kern w:val="0"/>
          <w:u w:color="004C7F"/>
          <w:lang w:eastAsia="en-GB"/>
          <w14:ligatures w14:val="none"/>
        </w:rPr>
        <w:instrText xml:space="preserve"> ADDIN ZOTERO_ITEM CSL_CITATION {"citationID":"l70jW85X","properties":{"formattedCitation":"(46,47)","plainCitation":"(46,47)","noteIndex":0},"citationItems":[{"id":107,"uris":["http://zotero.org/users/6304864/items/QKZVAKAQ"],"itemData":{"id":107,"type":"article-journal","container-title":"Statistical Methods in Medical Research","DOI":"10.1177/0962280220932962","ISSN":"1477-0334","issue":"2","note":"publisher: SAGE Publications","page":"612–639","title":"Mixed-effects models for the design and analysis of stepped wedge cluster randomized trials: An overview","volume":"30","author":[{"family":"Li","given":"Fan"},{"family":"Hughes","given":"James P"},{"family":"Hemming","given":"Karla"},{"family":"Taljaard","given":"Monica"},{"family":"Melnick","given":"Edward R."},{"family":"Heagerty","given":"Patrick J"}],"issued":{"date-parts":[["2020",7]]}}},{"id":2622,"uris":["http://zotero.org/users/6304864/items/ZHCVHZ8S"],"itemData":{"id":2622,"type":"article-journal","abstract":"Mixed models are commonly used to analyze stepped wedge trials (SWTs) to account for clustering and repeated measures on clusters. One critical issue researchers face is whether to include a random time effect or a random treatment effect. When the wrong model is chosen, inference on the treatment effect may be invalid. We explore asymptotic and finite-sample convergence of variance component estimates when the model is misspecified and how misspecification affects the estimated variance of the treatment effect. For asymptotic results, we rely on analytical solutions rather than simulation studies, which allow us to succinctly describe the convergence of misspecified estimates, even though there are multiple roots for each misspecified model. We found that both direction and magnitude of the bias associated with model-based standard errors depends on the study design and magnitude of the true variance components. We identify some scenarios in which choosing the wrong random effect has a large impact on model-based inference. However, many trends depend on trial design and assumptions about the true correlation structure, so we provide tools for researchers to investigate specific scenarios of interest. We use data from an SWT on disinvesting from weekend services in hospital wards to demonstrate how these results can be applied as a sensitivity analysis, which quantifies the impact of misspecification under a variety of settings and directly compares the potential consequences of different modeling choices. Our results will provide guidance for prespecified model choices and supplement sensitivity analyses to inform confidence in the validity of results.","container-title":"Statistics in Medicine","DOI":"10.1002/sim.9326","ISSN":"1097-0258","issue":"10","journalAbbreviation":"Stat Med","language":"eng","note":"PMID: 35137437\nPMCID: PMC9007853","page":"1751-1766","source":"PubMed","title":"Model misspecification in stepped wedge trials: Random effects for time or treatment","title-short":"Model misspecification in stepped wedge trials","volume":"41","author":[{"family":"Voldal","given":"Emily C."},{"family":"Xia","given":"Fan"},{"family":"Kenny","given":"Avi"},{"family":"Heagerty","given":"Patrick J."},{"family":"Hughes","given":"James P."}],"issued":{"date-parts":[["2022",5,10]]}}}],"schema":"https://github.com/citation-style-language/schema/raw/master/csl-citation.json"} </w:instrText>
      </w:r>
      <w:r w:rsidRPr="00EF34C7">
        <w:rPr>
          <w:rFonts w:ascii="Times New Roman" w:eastAsia="Times New Roman" w:hAnsi="Times New Roman" w:cs="Times New Roman"/>
          <w:kern w:val="0"/>
          <w:u w:color="004C7F"/>
          <w:lang w:eastAsia="en-GB"/>
          <w14:ligatures w14:val="none"/>
        </w:rPr>
        <w:fldChar w:fldCharType="separate"/>
      </w:r>
      <w:r w:rsidRPr="00EF34C7">
        <w:rPr>
          <w:rFonts w:ascii="Times New Roman" w:eastAsia="Times New Roman" w:hAnsi="Times New Roman" w:cs="Times New Roman"/>
          <w:noProof/>
          <w:kern w:val="0"/>
          <w:u w:color="004C7F"/>
          <w:lang w:eastAsia="en-GB"/>
          <w14:ligatures w14:val="none"/>
        </w:rPr>
        <w:t>(46,47)</w:t>
      </w:r>
      <w:r w:rsidRPr="00EF34C7">
        <w:rPr>
          <w:rFonts w:ascii="Times New Roman" w:eastAsia="Times New Roman" w:hAnsi="Times New Roman" w:cs="Times New Roman"/>
          <w:kern w:val="0"/>
          <w:u w:color="004C7F"/>
          <w:lang w:eastAsia="en-GB"/>
          <w14:ligatures w14:val="none"/>
        </w:rPr>
        <w:fldChar w:fldCharType="end"/>
      </w:r>
      <w:r w:rsidRPr="00EF34C7">
        <w:rPr>
          <w:rFonts w:ascii="Times New Roman" w:eastAsia="Times New Roman" w:hAnsi="Times New Roman" w:cs="Times New Roman"/>
          <w:kern w:val="0"/>
          <w:u w:color="004C7F"/>
          <w:lang w:eastAsia="en-GB"/>
          <w14:ligatures w14:val="none"/>
        </w:rPr>
        <w:t>.</w:t>
      </w:r>
    </w:p>
    <w:p w14:paraId="6F6EDCFA" w14:textId="77777777" w:rsidR="00EF34C7" w:rsidRPr="00EF34C7" w:rsidRDefault="00EF34C7" w:rsidP="00EF34C7">
      <w:pPr>
        <w:spacing w:after="120"/>
        <w:rPr>
          <w:rFonts w:ascii="Times New Roman" w:eastAsia="Times New Roman" w:hAnsi="Times New Roman" w:cs="Times New Roman"/>
          <w:color w:val="0078D4"/>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In the case of binary outcomes, </w:t>
      </w:r>
      <w:r w:rsidRPr="00EF34C7">
        <w:rPr>
          <w:rFonts w:ascii="Times New Roman" w:eastAsia="Times New Roman" w:hAnsi="Times New Roman" w:cs="Times New Roman"/>
          <w:kern w:val="0"/>
          <w:highlight w:val="yellow"/>
          <w:u w:color="004C7F"/>
          <w:lang w:eastAsia="en-GB"/>
          <w14:ligatures w14:val="none"/>
        </w:rPr>
        <w:t>the primary estimand will be the odds ratio obtained from a mixed effects binomial regression with a logit link. We will also apply</w:t>
      </w:r>
      <w:r w:rsidRPr="00EF34C7">
        <w:rPr>
          <w:rFonts w:ascii="Times New Roman" w:eastAsia="Times New Roman" w:hAnsi="Times New Roman" w:cs="Times New Roman"/>
          <w:kern w:val="0"/>
          <w:u w:color="004C7F"/>
          <w:lang w:eastAsia="en-GB"/>
          <w14:ligatures w14:val="none"/>
        </w:rPr>
        <w:t xml:space="preserve"> a binomial model with identity link to estimate the risk difference. These models will be fitted using residual pseudo-likelihood estimation based on linearisation with subject-specific expansion (RSPL). If the binomial model with the identity link does not converge then only an odds ratio will be reported.</w:t>
      </w:r>
    </w:p>
    <w:p w14:paraId="0B20534B"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We will include fixed effects for period and a fixed effect for intervention exposure. The primary analysis will allow for clustering as a random cluster and random cluster by period effect. To correct potential inflation of the type I error rate due to the small number of clusters, a correction for a small number of clusters will be applied. Our primary method will be a Kenward Roger correction </w:t>
      </w:r>
      <w:r w:rsidRPr="00EF34C7">
        <w:rPr>
          <w:rFonts w:ascii="Times New Roman" w:eastAsia="Times New Roman" w:hAnsi="Times New Roman" w:cs="Times New Roman"/>
          <w:kern w:val="0"/>
          <w:u w:color="004C7F"/>
          <w:lang w:eastAsia="en-GB"/>
          <w14:ligatures w14:val="none"/>
        </w:rPr>
        <w:fldChar w:fldCharType="begin"/>
      </w:r>
      <w:r w:rsidRPr="00EF34C7">
        <w:rPr>
          <w:rFonts w:ascii="Times New Roman" w:eastAsia="Times New Roman" w:hAnsi="Times New Roman" w:cs="Times New Roman"/>
          <w:kern w:val="0"/>
          <w:u w:color="004C7F"/>
          <w:lang w:eastAsia="en-GB"/>
          <w14:ligatures w14:val="none"/>
        </w:rPr>
        <w:instrText xml:space="preserve"> ADDIN ZOTERO_ITEM CSL_CITATION {"citationID":"fS4c4Dn4","properties":{"formattedCitation":"(48)","plainCitation":"(48)","noteIndex":0},"citationItems":[{"id":2620,"uris":["http://zotero.org/users/6304864/items/W5KXJYAP"],"itemData":{"id":2620,"type":"article-journal","abstract":"Stepped wedge trials are an appealing and potentially powerful cluster randomized trial design. However, they are frequently implemented with a small number of clusters. Standard analysis methods for these trials such as a linear mixed model with estimation via maximum likelihood or restricted maximum likelihood (REML) rely on asymptotic properties and have been shown to yield inflated type I error when applied to studies with a small number of clusters. Small-sample methods such as the Kenward-Roger approximation in combination with REML can potentially improve estimation of the fixed effects such as the treatment effect. A Bayesian approach may also be promising for such multilevel models but has not yet seen much application in cluster randomized trials.","container-title":"BMC Medical Research Methodology","DOI":"10.1186/s12874-022-01550-8","ISSN":"1471-2288","issue":"1","journalAbbreviation":"BMC Med Res Methodol","language":"en","page":"112","source":"Springer Link","title":"Evaluating the performance of Bayesian and restricted maximum likelihood estimation for stepped wedge cluster randomized trials with a small number of clusters","volume":"22","author":[{"family":"Grantham","given":"Kelsey L."},{"family":"Kasza","given":"Jessica"},{"family":"Heritier","given":"Stephane"},{"family":"Carlin","given":"John B."},{"family":"Forbes","given":"Andrew B."}],"issued":{"date-parts":[["2022",4,13]]}}}],"schema":"https://github.com/citation-style-language/schema/raw/master/csl-citation.json"} </w:instrText>
      </w:r>
      <w:r w:rsidRPr="00EF34C7">
        <w:rPr>
          <w:rFonts w:ascii="Times New Roman" w:eastAsia="Times New Roman" w:hAnsi="Times New Roman" w:cs="Times New Roman"/>
          <w:kern w:val="0"/>
          <w:u w:color="004C7F"/>
          <w:lang w:eastAsia="en-GB"/>
          <w14:ligatures w14:val="none"/>
        </w:rPr>
        <w:fldChar w:fldCharType="separate"/>
      </w:r>
      <w:r w:rsidRPr="00EF34C7">
        <w:rPr>
          <w:rFonts w:ascii="Times New Roman" w:eastAsia="Times New Roman" w:hAnsi="Times New Roman" w:cs="Times New Roman"/>
          <w:noProof/>
          <w:kern w:val="0"/>
          <w:u w:color="004C7F"/>
          <w:lang w:eastAsia="en-GB"/>
          <w14:ligatures w14:val="none"/>
        </w:rPr>
        <w:t>(48)</w:t>
      </w:r>
      <w:r w:rsidRPr="00EF34C7">
        <w:rPr>
          <w:rFonts w:ascii="Times New Roman" w:eastAsia="Times New Roman" w:hAnsi="Times New Roman" w:cs="Times New Roman"/>
          <w:kern w:val="0"/>
          <w:u w:color="004C7F"/>
          <w:lang w:eastAsia="en-GB"/>
          <w14:ligatures w14:val="none"/>
        </w:rPr>
        <w:fldChar w:fldCharType="end"/>
      </w:r>
      <w:r w:rsidRPr="00EF34C7">
        <w:rPr>
          <w:rFonts w:ascii="Times New Roman" w:eastAsia="Times New Roman" w:hAnsi="Times New Roman" w:cs="Times New Roman"/>
          <w:kern w:val="0"/>
          <w:u w:color="004C7F"/>
          <w:lang w:eastAsia="en-GB"/>
          <w14:ligatures w14:val="none"/>
        </w:rPr>
        <w:t>, but this choice might be updated based on new methods work available closer to the end of patient inclusion, and may differ for the outcomes collected via the complete main stepped-wedge design and incomplete nested staircase designs.</w:t>
      </w:r>
    </w:p>
    <w:p w14:paraId="72280A15" w14:textId="77777777" w:rsidR="00EF34C7" w:rsidRPr="00EF34C7" w:rsidRDefault="00EF34C7" w:rsidP="00EF34C7">
      <w:pPr>
        <w:spacing w:after="120"/>
        <w:rPr>
          <w:rFonts w:ascii="Times New Roman" w:eastAsia="Times New Roman" w:hAnsi="Times New Roman" w:cs="Times New Roman"/>
          <w:color w:val="000000"/>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We will use a two-sided significance level of 5% and estimate 95% confidence intervals.</w:t>
      </w:r>
    </w:p>
    <w:p w14:paraId="0517BD6C"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t>Interim analyses {21b}</w:t>
      </w:r>
    </w:p>
    <w:p w14:paraId="7ACA7A06"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w:t>
      </w:r>
      <w:r w:rsidRPr="00EF34C7">
        <w:rPr>
          <w:rFonts w:ascii="Times New Roman" w:eastAsia="Times New Roman" w:hAnsi="Times New Roman" w:cs="Times New Roman"/>
          <w:kern w:val="0"/>
          <w:u w:color="004C7F"/>
          <w:lang w:eastAsia="en-GB"/>
          <w14:ligatures w14:val="none"/>
        </w:rPr>
        <w:lastRenderedPageBreak/>
        <w:t xml:space="preserve">control groups. </w:t>
      </w:r>
      <w:r w:rsidRPr="00EF34C7">
        <w:rPr>
          <w:rFonts w:ascii="Times New Roman" w:eastAsia="Times New Roman" w:hAnsi="Times New Roman" w:cs="Times New Roman"/>
          <w:kern w:val="0"/>
          <w:highlight w:val="yellow"/>
          <w:u w:color="004C7F"/>
          <w:lang w:eastAsia="en-GB"/>
          <w14:ligatures w14:val="none"/>
        </w:rPr>
        <w:t>No efficacy stopping is planned because any estimates obtained at the time point of the interim analysis will be associated with major statistical uncertainties.</w:t>
      </w:r>
    </w:p>
    <w:p w14:paraId="44B8354F"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t>Methods for additional analyses (e.g. subgroup analyses) {20b}</w:t>
      </w:r>
    </w:p>
    <w:p w14:paraId="69E1FE93" w14:textId="77777777" w:rsidR="00EF34C7" w:rsidRPr="00EF34C7" w:rsidRDefault="00EF34C7" w:rsidP="00EF34C7">
      <w:pPr>
        <w:spacing w:before="200" w:after="120"/>
        <w:outlineLvl w:val="2"/>
        <w:rPr>
          <w:rFonts w:ascii="Times New Roman" w:eastAsia="Times New Roman" w:hAnsi="Times New Roman" w:cs="Times New Roman"/>
          <w:b/>
          <w:bCs/>
          <w:kern w:val="0"/>
          <w:u w:color="004C7F"/>
          <w:lang w:eastAsia="en-GB"/>
          <w14:ligatures w14:val="none"/>
        </w:rPr>
      </w:pPr>
      <w:r w:rsidRPr="00EF34C7">
        <w:rPr>
          <w:rFonts w:ascii="Times New Roman" w:eastAsia="Times New Roman" w:hAnsi="Times New Roman" w:cs="Times New Roman"/>
          <w:b/>
          <w:bCs/>
          <w:kern w:val="0"/>
          <w:u w:color="004C7F"/>
          <w:lang w:eastAsia="en-GB"/>
          <w14:ligatures w14:val="none"/>
        </w:rPr>
        <w:t>Sensitivity analyses</w:t>
      </w:r>
    </w:p>
    <w:p w14:paraId="1DF0364E"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We will conduct a sensitivity analysis to explore whether models with more complicated correlation structures are better fits to the data. These models are not our primary analysis models as there is limited understanding of when such models will converge and how to choose between the various correlation structures that may be plausible. To this end we will additionally fit generalised linear mixed models (with the same link functions and fixed effects described above) to include a discrete time decay correlation structure that includes a random cluster effect with an auto-regressive structure (AR (1)). </w:t>
      </w:r>
    </w:p>
    <w:p w14:paraId="23600D34"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To explore whether the fixed period effect is both parsimonious and adequate to represent the extent of any underlying secular trend, we will model the time effect using a spline function. Models will also be extended to include random cluster by intervention effects (with a non-zero covariance term) to examine whether the results are sensitive to the assumption of no intervention by cluster interaction. A fully adjusted covariate analysis will adjust for a set of prespecified individual-level covariates of known prognostic importance.</w:t>
      </w:r>
    </w:p>
    <w:p w14:paraId="36E74694" w14:textId="77777777" w:rsidR="00EF34C7" w:rsidRPr="00EF34C7" w:rsidRDefault="00EF34C7" w:rsidP="00EF34C7">
      <w:pPr>
        <w:spacing w:before="200" w:after="120"/>
        <w:outlineLvl w:val="2"/>
        <w:rPr>
          <w:rFonts w:ascii="Times New Roman" w:eastAsia="Times New Roman" w:hAnsi="Times New Roman" w:cs="Times New Roman"/>
          <w:b/>
          <w:bCs/>
          <w:kern w:val="0"/>
          <w:u w:color="004C7F"/>
          <w:lang w:eastAsia="en-GB"/>
          <w14:ligatures w14:val="none"/>
        </w:rPr>
      </w:pPr>
      <w:r w:rsidRPr="00EF34C7">
        <w:rPr>
          <w:rFonts w:ascii="Times New Roman" w:eastAsia="Times New Roman" w:hAnsi="Times New Roman" w:cs="Times New Roman"/>
          <w:b/>
          <w:bCs/>
          <w:kern w:val="0"/>
          <w:u w:color="004C7F"/>
          <w:lang w:eastAsia="en-GB"/>
          <w14:ligatures w14:val="none"/>
        </w:rPr>
        <w:t>Additional analyses including subgroup analyses</w:t>
      </w:r>
    </w:p>
    <w:p w14:paraId="618B6891"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The primary subgroup analyses will be based on geographical region because demonstrating the consistency of any effect across multiple regions will improve the generalisability of the results (4). The number of regions will depend on how clusters are distributed across states in India. Additional subgroup analyses will include age across the groups such as older adolescents (15-19 years), young adults (20-24 years), adults (25-59 years), and older adults (60 years and older) </w:t>
      </w:r>
      <w:r w:rsidRPr="00EF34C7">
        <w:rPr>
          <w:rFonts w:ascii="Times New Roman" w:eastAsia="Times New Roman" w:hAnsi="Times New Roman" w:cs="Times New Roman"/>
          <w:kern w:val="0"/>
          <w:u w:color="004C7F"/>
          <w:lang w:eastAsia="en-GB"/>
          <w14:ligatures w14:val="none"/>
        </w:rPr>
        <w:fldChar w:fldCharType="begin"/>
      </w:r>
      <w:r w:rsidRPr="00EF34C7">
        <w:rPr>
          <w:rFonts w:ascii="Times New Roman" w:eastAsia="Times New Roman" w:hAnsi="Times New Roman" w:cs="Times New Roman"/>
          <w:kern w:val="0"/>
          <w:u w:color="004C7F"/>
          <w:lang w:eastAsia="en-GB"/>
          <w14:ligatures w14:val="none"/>
        </w:rPr>
        <w:instrText xml:space="preserve"> ADDIN ZOTERO_ITEM CSL_CITATION {"citationID":"3LPiTHJr","properties":{"formattedCitation":"(49)","plainCitation":"(49)","noteIndex":0},"citationItems":[{"id":207,"uris":["http://zotero.org/users/6304864/items/FLGAEQ67"],"itemData":{"id":207,"type":"article-journal","container-title":"The Lancet Healthy Longevity","DOI":"10.1016/S2666-7568(21)00115-X","ISSN":"2666-7568","issue":"7","journalAbbreviation":"The Lancet Healthy Longevity","language":"English","note":"publisher: Elsevier","page":"e436-e443","source":"www.thelancet.com","title":"A call for standardised age-disaggregated health data","volume":"2","author":[{"family":"Diaz","given":"Theresa"},{"family":"Strong","given":"Kathleen L."},{"family":"Cao","given":"Bochen"},{"family":"Guthold","given":"Regina"},{"family":"Moran","given":"Allisyn C."},{"family":"Moller","given":"Ann-Beth"},{"family":"Requejo","given":"Jennifer"},{"family":"Sadana","given":"Ritu"},{"family":"Thiyagarajan","given":"Jotheeswaran Amuthavalli"},{"family":"Adebayo","given":"Emmanuel"},{"family":"Akwara","given":"Elsie"},{"family":"Amouzou","given":"Agbessi"},{"family":"Varon","given":"John J. Aponte"},{"family":"Azzopardi","given":"Peter S."},{"family":"Boschi-Pinto","given":"Cynthia"},{"family":"Carvajal","given":"Liliana"},{"family":"Chandra-Mouli","given":"Venkatraman"},{"family":"Crofts","given":"Sarah"},{"family":"Dastgiri","given":"Saeed"},{"family":"Dery","given":"Jeremiah S."},{"family":"Elnakib","given":"Shatha"},{"family":"Fagan","given":"Lucy"},{"family":"Ferguson","given":"B. Jane"},{"family":"Fitzner","given":"Julia"},{"family":"Friedman","given":"Howard S."},{"family":"Hagell","given":"Ann"},{"family":"Jongstra","given":"Eduard"},{"family":"Kann","given":"Laura"},{"family":"Chatterji","given":"Somnath"},{"family":"English","given":"Mike"},{"family":"Glaziou","given":"Philippe"},{"family":"Hanson","given":"Claudia"},{"family":"Hosseinpoor","given":"Ahmad R."},{"family":"Marsh","given":"Andrew"},{"family":"Morgan","given":"Alison P."},{"family":"Munos","given":"Melinda K."},{"family":"Noor","given":"Abdisalan"},{"family":"Pavlin","given":"Boris I."},{"family":"Pereira","given":"Rich"},{"family":"Porth","given":"Tyler A."},{"family":"Schellenberg","given":"Joanna"},{"family":"Siddique","given":"Rizwana"},{"family":"You","given":"Danzhen"},{"family":"Vaz","given":"Lara M. E."},{"family":"Banerjee","given":"Anshu"}],"issued":{"date-parts":[["2021",7,1]]}}}],"schema":"https://github.com/citation-style-language/schema/raw/master/csl-citation.json"} </w:instrText>
      </w:r>
      <w:r w:rsidRPr="00EF34C7">
        <w:rPr>
          <w:rFonts w:ascii="Times New Roman" w:eastAsia="Times New Roman" w:hAnsi="Times New Roman" w:cs="Times New Roman"/>
          <w:kern w:val="0"/>
          <w:u w:color="004C7F"/>
          <w:lang w:eastAsia="en-GB"/>
          <w14:ligatures w14:val="none"/>
        </w:rPr>
        <w:fldChar w:fldCharType="separate"/>
      </w:r>
      <w:r w:rsidRPr="00EF34C7">
        <w:rPr>
          <w:rFonts w:ascii="Times New Roman" w:eastAsia="Times New Roman" w:hAnsi="Times New Roman" w:cs="Times New Roman"/>
          <w:noProof/>
          <w:kern w:val="0"/>
          <w:u w:color="004C7F"/>
          <w:lang w:eastAsia="en-GB"/>
          <w14:ligatures w14:val="none"/>
        </w:rPr>
        <w:t>(49)</w:t>
      </w:r>
      <w:r w:rsidRPr="00EF34C7">
        <w:rPr>
          <w:rFonts w:ascii="Times New Roman" w:eastAsia="Times New Roman" w:hAnsi="Times New Roman" w:cs="Times New Roman"/>
          <w:kern w:val="0"/>
          <w:u w:color="004C7F"/>
          <w:lang w:eastAsia="en-GB"/>
          <w14:ligatures w14:val="none"/>
        </w:rPr>
        <w:fldChar w:fldCharType="end"/>
      </w:r>
      <w:r w:rsidRPr="00EF34C7">
        <w:rPr>
          <w:rFonts w:ascii="Times New Roman" w:eastAsia="Times New Roman" w:hAnsi="Times New Roman" w:cs="Times New Roman"/>
          <w:kern w:val="0"/>
          <w:u w:color="004C7F"/>
          <w:lang w:eastAsia="en-GB"/>
          <w14:ligatures w14:val="none"/>
        </w:rPr>
        <w:t xml:space="preserve">; sex; the clinical cohorts blunt multisystem trauma, penetrating trauma, and severe isolated traumatic brain injury </w:t>
      </w:r>
      <w:r w:rsidRPr="00EF34C7">
        <w:rPr>
          <w:rFonts w:ascii="Times New Roman" w:eastAsia="Times New Roman" w:hAnsi="Times New Roman" w:cs="Times New Roman"/>
          <w:kern w:val="0"/>
          <w:u w:color="004C7F"/>
          <w:lang w:eastAsia="en-GB"/>
          <w14:ligatures w14:val="none"/>
        </w:rPr>
        <w:fldChar w:fldCharType="begin"/>
      </w:r>
      <w:r w:rsidRPr="00EF34C7">
        <w:rPr>
          <w:rFonts w:ascii="Times New Roman" w:eastAsia="Times New Roman" w:hAnsi="Times New Roman" w:cs="Times New Roman"/>
          <w:kern w:val="0"/>
          <w:u w:color="004C7F"/>
          <w:lang w:eastAsia="en-GB"/>
          <w14:ligatures w14:val="none"/>
        </w:rPr>
        <w:instrText xml:space="preserve"> ADDIN ZOTERO_ITEM CSL_CITATION {"citationID":"LcLshNY0","properties":{"formattedCitation":"(50)","plainCitation":"(50)","noteIndex":0},"citationItems":[{"id":85,"uris":["http://zotero.org/users/6304864/items/PDU4K7FQ"],"itemData":{"id":85,"type":"article-journal","container-title":"Current Trauma Reports","DOI":"10.1007/s40719-018-0127-1","ISSN":"2198-6096","issue":"2","note":"publisher: Springer Science and Business Media LLC","page":"160–169","title":"Quality Benchmarking in Trauma: from the NTDB to TQIP","volume":"4","author":[{"family":"Hornor","given":"Melissa A."},{"family":"Hoeft","given":"Christopher"},{"family":"Nathens","given":"Avery B."}],"issued":{"date-parts":[["2018",4]]}}}],"schema":"https://github.com/citation-style-language/schema/raw/master/csl-citation.json"} </w:instrText>
      </w:r>
      <w:r w:rsidRPr="00EF34C7">
        <w:rPr>
          <w:rFonts w:ascii="Times New Roman" w:eastAsia="Times New Roman" w:hAnsi="Times New Roman" w:cs="Times New Roman"/>
          <w:kern w:val="0"/>
          <w:u w:color="004C7F"/>
          <w:lang w:eastAsia="en-GB"/>
          <w14:ligatures w14:val="none"/>
        </w:rPr>
        <w:fldChar w:fldCharType="separate"/>
      </w:r>
      <w:r w:rsidRPr="00EF34C7">
        <w:rPr>
          <w:rFonts w:ascii="Times New Roman" w:eastAsia="Times New Roman" w:hAnsi="Times New Roman" w:cs="Times New Roman"/>
          <w:noProof/>
          <w:kern w:val="0"/>
          <w:u w:color="004C7F"/>
          <w:lang w:eastAsia="en-GB"/>
          <w14:ligatures w14:val="none"/>
        </w:rPr>
        <w:t>(50)</w:t>
      </w:r>
      <w:r w:rsidRPr="00EF34C7">
        <w:rPr>
          <w:rFonts w:ascii="Times New Roman" w:eastAsia="Times New Roman" w:hAnsi="Times New Roman" w:cs="Times New Roman"/>
          <w:kern w:val="0"/>
          <w:u w:color="004C7F"/>
          <w:lang w:eastAsia="en-GB"/>
          <w14:ligatures w14:val="none"/>
        </w:rPr>
        <w:fldChar w:fldCharType="end"/>
      </w:r>
      <w:r w:rsidRPr="00EF34C7">
        <w:rPr>
          <w:rFonts w:ascii="Times New Roman" w:eastAsia="Times New Roman" w:hAnsi="Times New Roman" w:cs="Times New Roman"/>
          <w:kern w:val="0"/>
          <w:u w:color="004C7F"/>
          <w:lang w:eastAsia="en-GB"/>
          <w14:ligatures w14:val="none"/>
        </w:rPr>
        <w:t>, and cluster size.</w:t>
      </w:r>
    </w:p>
    <w:p w14:paraId="3C37637C"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Models will also be extended to include an interaction between treatment and number of periods since first treated, to examine if there is any indication of a relationship between duration of exposure to the intervention and outcomes. This will allow us to consider different lag effects (i.e., it takes time for the intervention to become embedded within the culture before its impact can properly start to be realised); as well as weaning effects (i.e., the effect of the intervention starts to decrease – or fade). This type of analysis attempts to disentangle the effect of having differing lengths of exposure to the intervention. </w:t>
      </w:r>
    </w:p>
    <w:p w14:paraId="33F05999"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t>Methods in analysis to handle protocol non-adherence and any statistical methods to handle missing data {20c}</w:t>
      </w:r>
    </w:p>
    <w:p w14:paraId="26AA1C59"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we will explore the impact of this assumption using a sensitivity analysis (e.g., pattern mixture models or selection models) to assess how robust our findings are to different assumptions about the missing data mechanism. Additionally, we will perform diagnostic checks after multiple imputation to ensure the </w:t>
      </w:r>
      <w:r w:rsidRPr="00EF34C7">
        <w:rPr>
          <w:rFonts w:ascii="Times New Roman" w:eastAsia="Times New Roman" w:hAnsi="Times New Roman" w:cs="Times New Roman"/>
          <w:kern w:val="0"/>
          <w:u w:color="004C7F"/>
          <w:lang w:eastAsia="en-GB"/>
          <w14:ligatures w14:val="none"/>
        </w:rPr>
        <w:lastRenderedPageBreak/>
        <w:t>quality of the imputation process, including comparing distributions of observed and imputed data and checking convergence.</w:t>
      </w:r>
    </w:p>
    <w:p w14:paraId="670E4D09"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t>Plans to give access to the full protocol, participant level-data and statistical code {31c}</w:t>
      </w:r>
    </w:p>
    <w:p w14:paraId="2AAE2FC8"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The full protocol and statistical code will be publicly available. A deidentified anonymous dataset will also be publicly available.</w:t>
      </w:r>
    </w:p>
    <w:p w14:paraId="776BD981" w14:textId="77777777" w:rsidR="00EF34C7" w:rsidRPr="00EF34C7" w:rsidRDefault="00EF34C7" w:rsidP="00EF34C7">
      <w:pPr>
        <w:widowControl w:val="0"/>
        <w:pBdr>
          <w:top w:val="nil"/>
          <w:left w:val="nil"/>
          <w:bottom w:val="nil"/>
          <w:right w:val="nil"/>
          <w:between w:val="nil"/>
          <w:bar w:val="nil"/>
        </w:pBdr>
        <w:spacing w:before="200" w:after="80"/>
        <w:outlineLvl w:val="0"/>
        <w:rPr>
          <w:rFonts w:ascii="Times New Roman" w:eastAsia="Arial Unicode MS" w:hAnsi="Times New Roman" w:cs="Times New Roman"/>
          <w:color w:val="000000"/>
          <w:kern w:val="0"/>
          <w:sz w:val="28"/>
          <w:szCs w:val="28"/>
          <w:u w:color="000000"/>
          <w:bdr w:val="nil"/>
          <w:lang w:val="en-US" w:eastAsia="en-GB"/>
          <w14:ligatures w14:val="none"/>
        </w:rPr>
      </w:pPr>
      <w:r w:rsidRPr="00EF34C7">
        <w:rPr>
          <w:rFonts w:ascii="Times New Roman" w:eastAsia="Arial Unicode MS" w:hAnsi="Times New Roman" w:cs="Times New Roman"/>
          <w:b/>
          <w:bCs/>
          <w:color w:val="000000"/>
          <w:kern w:val="0"/>
          <w:sz w:val="28"/>
          <w:szCs w:val="28"/>
          <w:u w:color="000000"/>
          <w:bdr w:val="nil"/>
          <w:lang w:val="en-US" w:eastAsia="en-GB"/>
          <w14:ligatures w14:val="none"/>
        </w:rPr>
        <w:t>Oversight and monitoring</w:t>
      </w:r>
    </w:p>
    <w:p w14:paraId="7F841F7F"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t xml:space="preserve">Composition of the coordinating </w:t>
      </w:r>
      <w:proofErr w:type="spellStart"/>
      <w:r w:rsidRPr="00EF34C7">
        <w:rPr>
          <w:rFonts w:ascii="Times New Roman" w:eastAsia="Arial Unicode MS" w:hAnsi="Times New Roman" w:cs="Times New Roman"/>
          <w:b/>
          <w:bCs/>
          <w:color w:val="000000"/>
          <w:kern w:val="0"/>
          <w:sz w:val="26"/>
          <w:szCs w:val="26"/>
          <w:u w:color="000000"/>
          <w:bdr w:val="nil"/>
          <w:lang w:val="en-US" w:eastAsia="en-GB"/>
          <w14:ligatures w14:val="none"/>
        </w:rPr>
        <w:t>centre</w:t>
      </w:r>
      <w:proofErr w:type="spellEnd"/>
      <w:r w:rsidRPr="00EF34C7">
        <w:rPr>
          <w:rFonts w:ascii="Times New Roman" w:eastAsia="Arial Unicode MS" w:hAnsi="Times New Roman" w:cs="Times New Roman"/>
          <w:b/>
          <w:bCs/>
          <w:color w:val="000000"/>
          <w:kern w:val="0"/>
          <w:sz w:val="26"/>
          <w:szCs w:val="26"/>
          <w:u w:color="000000"/>
          <w:bdr w:val="nil"/>
          <w:lang w:val="en-US" w:eastAsia="en-GB"/>
          <w14:ligatures w14:val="none"/>
        </w:rPr>
        <w:t xml:space="preserve"> and trial steering committee {5d}</w:t>
      </w:r>
    </w:p>
    <w:p w14:paraId="0AB95216"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The trial management and oversight are governed by three trial committees and groups: the Trial Team (TT), the Trial Management Group (TMG), the joint Trial Steering and Data Monitoring Committee (SDMC). The TT is responsible for running the trial operations on a day-to-day basis, maintaining trial databases, randomising clusters, ensuring complete and correct data, and preparing reports for meetings (including those of the TMG, and the SDMC). The TT will also address research governance and regulatory matters wherever needed. The TMG will be responsible for managing the trial, including its clinical and practical aspects as well as technical aspects and any safety issues related to the trial participants. In addition, the TMG will be also responsible for providing inputs to the SDMC meetings.</w:t>
      </w:r>
    </w:p>
    <w:p w14:paraId="028ECEB8"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t>Composition of the data monitoring committee, its role and reporting structure {21a}</w:t>
      </w:r>
    </w:p>
    <w:p w14:paraId="3B9D0937" w14:textId="77777777" w:rsidR="00EF34C7" w:rsidRPr="00EF34C7" w:rsidRDefault="00EF34C7" w:rsidP="00EF34C7">
      <w:pPr>
        <w:spacing w:after="120"/>
        <w:rPr>
          <w:rFonts w:ascii="Times New Roman" w:eastAsia="Times New Roman" w:hAnsi="Times New Roman" w:cs="Times New Roman"/>
          <w:b/>
          <w:color w:val="FF0000"/>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In this trial a SDMC will be used. The SDMC’s responsibility is to oversee and safeguard the trial and the trial participants, monitor the main outcome measures including safety and </w:t>
      </w:r>
      <w:r w:rsidRPr="00EF34C7">
        <w:rPr>
          <w:rFonts w:ascii="Times New Roman" w:eastAsia="Times New Roman" w:hAnsi="Times New Roman" w:cs="Times New Roman"/>
          <w:bCs/>
          <w:kern w:val="0"/>
          <w:u w:color="004C7F"/>
          <w:lang w:eastAsia="en-GB"/>
          <w14:ligatures w14:val="none"/>
        </w:rPr>
        <w:t>efficacy</w:t>
      </w:r>
      <w:r w:rsidRPr="00EF34C7">
        <w:rPr>
          <w:rFonts w:ascii="Times New Roman" w:eastAsia="Times New Roman" w:hAnsi="Times New Roman" w:cs="Times New Roman"/>
          <w:kern w:val="0"/>
          <w:u w:color="004C7F"/>
          <w:lang w:eastAsia="en-GB"/>
          <w14:ligatures w14:val="none"/>
        </w:rPr>
        <w:t xml:space="preserve">, and monitor the overall progress of the trial. The SDMC also receives and reviews information on the accruing data of this trial and provides advice on the trial to the TMG. The relationship between the groups is briefly described in </w:t>
      </w:r>
      <w:r w:rsidRPr="00EF34C7">
        <w:rPr>
          <w:rFonts w:ascii="Times New Roman" w:eastAsia="Times New Roman" w:hAnsi="Times New Roman" w:cs="Times New Roman"/>
          <w:bCs/>
          <w:kern w:val="0"/>
          <w:u w:color="004C7F"/>
          <w:lang w:eastAsia="en-GB"/>
          <w14:ligatures w14:val="none"/>
        </w:rPr>
        <w:t>Figure 4. Details of the composition, roles, and meeting frequency of TT, TMG and SDMC are tabulated in the Table 3.</w:t>
      </w:r>
    </w:p>
    <w:p w14:paraId="12774872"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noProof/>
          <w:kern w:val="0"/>
          <w:u w:color="004C7F"/>
          <w:lang w:eastAsia="en-GB"/>
          <w14:ligatures w14:val="none"/>
        </w:rPr>
        <w:drawing>
          <wp:inline distT="0" distB="0" distL="0" distR="0" wp14:anchorId="418CD01B" wp14:editId="52186816">
            <wp:extent cx="2768400" cy="2336400"/>
            <wp:effectExtent l="0" t="0" r="0" b="6985"/>
            <wp:docPr id="134890749" name="Picture 4" descr="A diagram of a trial te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0749" name="Picture 4" descr="A diagram of a trial team&#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768400" cy="2336400"/>
                    </a:xfrm>
                    <a:prstGeom prst="rect">
                      <a:avLst/>
                    </a:prstGeom>
                  </pic:spPr>
                </pic:pic>
              </a:graphicData>
            </a:graphic>
          </wp:inline>
        </w:drawing>
      </w:r>
    </w:p>
    <w:p w14:paraId="0522F025"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b/>
          <w:kern w:val="0"/>
          <w:u w:color="004C7F"/>
          <w:lang w:eastAsia="en-GB"/>
          <w14:ligatures w14:val="none"/>
        </w:rPr>
        <w:t xml:space="preserve">Figure 4: </w:t>
      </w:r>
      <w:r w:rsidRPr="00EF34C7">
        <w:rPr>
          <w:rFonts w:ascii="Times New Roman" w:eastAsia="Times New Roman" w:hAnsi="Times New Roman" w:cs="Times New Roman"/>
          <w:kern w:val="0"/>
          <w:u w:color="004C7F"/>
          <w:lang w:eastAsia="en-GB"/>
          <w14:ligatures w14:val="none"/>
        </w:rPr>
        <w:t>Trial organisation overview.</w:t>
      </w:r>
    </w:p>
    <w:p w14:paraId="28636DCC" w14:textId="77777777" w:rsidR="00EF34C7" w:rsidRPr="00EF34C7" w:rsidRDefault="00EF34C7" w:rsidP="00EF34C7">
      <w:pPr>
        <w:widowControl w:val="0"/>
        <w:pBdr>
          <w:top w:val="nil"/>
          <w:left w:val="nil"/>
          <w:bottom w:val="nil"/>
          <w:right w:val="nil"/>
          <w:between w:val="nil"/>
          <w:bar w:val="nil"/>
        </w:pBdr>
        <w:spacing w:before="200" w:after="80"/>
        <w:outlineLvl w:val="0"/>
        <w:rPr>
          <w:rFonts w:ascii="Times New Roman" w:eastAsia="Arial Unicode MS" w:hAnsi="Times New Roman" w:cs="Times New Roman"/>
          <w:b/>
          <w:bCs/>
          <w:color w:val="000000"/>
          <w:kern w:val="0"/>
          <w:sz w:val="28"/>
          <w:szCs w:val="28"/>
          <w:u w:color="000000"/>
          <w:bdr w:val="nil"/>
          <w:lang w:val="en-US" w:eastAsia="en-GB"/>
          <w14:ligatures w14:val="none"/>
        </w:rPr>
      </w:pPr>
      <w:r w:rsidRPr="00EF34C7">
        <w:rPr>
          <w:rFonts w:ascii="Times New Roman" w:eastAsia="Arial Unicode MS" w:hAnsi="Times New Roman" w:cs="Times New Roman"/>
          <w:b/>
          <w:bCs/>
          <w:color w:val="000000"/>
          <w:kern w:val="0"/>
          <w:sz w:val="28"/>
          <w:szCs w:val="28"/>
          <w:u w:color="000000"/>
          <w:bdr w:val="nil"/>
          <w:lang w:val="en-US" w:eastAsia="en-GB"/>
          <w14:ligatures w14:val="none"/>
        </w:rPr>
        <w:t>Adverse event reporting and harms {22}</w:t>
      </w:r>
    </w:p>
    <w:p w14:paraId="0977E0FD" w14:textId="77777777" w:rsidR="00EF34C7" w:rsidRPr="00EF34C7" w:rsidRDefault="00EF34C7" w:rsidP="00EF34C7">
      <w:pPr>
        <w:spacing w:after="120"/>
        <w:rPr>
          <w:rFonts w:ascii="Times New Roman" w:eastAsia="Times New Roman" w:hAnsi="Times New Roman" w:cs="Times New Roman"/>
          <w:color w:val="000000"/>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In line with other current trials that include critically ill patients </w:t>
      </w:r>
      <w:r w:rsidRPr="00EF34C7">
        <w:rPr>
          <w:rFonts w:ascii="Times New Roman" w:eastAsia="Times New Roman" w:hAnsi="Times New Roman" w:cs="Times New Roman"/>
          <w:kern w:val="0"/>
          <w:u w:color="004C7F"/>
          <w:lang w:eastAsia="en-GB"/>
          <w14:ligatures w14:val="none"/>
        </w:rPr>
        <w:fldChar w:fldCharType="begin"/>
      </w:r>
      <w:r w:rsidRPr="00EF34C7">
        <w:rPr>
          <w:rFonts w:ascii="Times New Roman" w:eastAsia="Times New Roman" w:hAnsi="Times New Roman" w:cs="Times New Roman"/>
          <w:kern w:val="0"/>
          <w:u w:color="004C7F"/>
          <w:lang w:eastAsia="en-GB"/>
          <w14:ligatures w14:val="none"/>
        </w:rPr>
        <w:instrText xml:space="preserve"> ADDIN ZOTERO_ITEM CSL_CITATION {"citationID":"m9ATsmdB","properties":{"formattedCitation":"(51)","plainCitation":"(51)","noteIndex":0},"citationItems":[{"id":2309,"uris":["http://zotero.org/users/6304864/items/CYGYV8YI"],"itemData":{"id":2309,"type":"article-journal","abstract":"Background Basic management for patients who have suffered a cardiac arrest and are admitted to an intensive care unit (ICU) after resuscitation includes setting targets for blood pressure and managing sedation and temperature. However, optimal targets and management are unknown. Methods The STEPCARE (Sedation, Temperature and Pressure after Cardiac Arrest and Resuscitation) trial is a multicenter, parallel-group, randomized, factorial, superiority trial in which sedation, temperature, and blood pressure strategies will be studied in three separate comparisons (SED-CARE, TEMP-CARE, and MAP-CARE). The trial population will be adults admitted to intensive care who are comatose after resuscitation from out-of-hospital cardiac arrest. The primary outcome will be all-cause mortality, and the secondary outcomes will be poor functional outcome (modified Rankin Scale 4–6), Health-Related Quality of Life using EQ-VAS, and specific serious adverse events in the intensive care unit predefined for each trial. All outcomes will be assessed at 6 months after randomization. The prognosticators, outcome assessors, statisticians, data managers, steering group, and manuscript writers will be blinded to treatment allocation. This statistical analysis plan includes a comprehensive description of the statistical analyses, handling of missing data, and assessments of underlying statistical assumptions. Analyses will be conducted according to the intention-to-treat principle, that is, all randomized participants with available data will be included. The analyses will be performed independently by two statisticians following the present plan. Conclusion This statistical analysis plan describes the statistical analyses for the STEPCARE trial in detail. The aim of this predefined statistical analysis plan is to minimize the risk of analysis bias.","container-title":"Acta Anaesthesiologica Scandinavica","DOI":"10.1111/aas.70033","ISSN":"1399-6576","issue":"5","language":"en","license":"© 2025 The Author(s). Acta Anaesthesiologica Scandinavica published by John Wiley &amp; Sons Ltd on behalf of Acta Anaesthesiologica Scandinavica Foundation.","note":"_eprint: https://onlinelibrary.wiley.com/doi/pdf/10.1111/aas.70033","page":"e70033","source":"Wiley Online Library","title":"Sedation, temperature and pressure after cardiac arrest and resuscitation—The STEPCARE trial: A statistical analysis plan","title-short":"Sedation, temperature and pressure after cardiac arrest and resuscitation—The STEPCARE trial","volume":"69","author":[{"family":"Kamp","given":"C. B."},{"family":"Dankiewicz","given":"J."},{"family":"Harboe Olsen","given":"M."},{"family":"Holgersson","given":"J."},{"family":"Saxena","given":"M."},{"family":"Young","given":"P."},{"family":"Niemelä","given":"V. H."},{"family":"Hästbacka","given":"J."},{"family":"Levin","given":"H."},{"family":"Lilja","given":"G."},{"family":"Moseby-Knappe","given":"M."},{"family":"Tiainen","given":"M."},{"family":"Reinikainen","given":"M."},{"family":"Ceric","given":"A."},{"family":"Johnsson","given":"J."},{"family":"Undén","given":"J."},{"family":"Düring","given":"J."},{"family":"Lybeck","given":"A."},{"family":"Rodriguez-Santos","given":"D."},{"family":"Lundin","given":"A."},{"family":"Kåhlin","given":"J."},{"family":"Grip","given":"J."},{"family":"Lotman","given":"E."},{"family":"Romundstad","given":"L."},{"family":"Seidel","given":"P."},{"family":"Stammet","given":"P."},{"family":"Graf","given":"T."},{"family":"Mengel","given":"A."},{"family":"Leithner","given":"C."},{"family":"Nee","given":"J."},{"family":"Drúwe","given":"P."},{"family":"Ameloot","given":"K."},{"family":"Wise","given":"M. P."},{"family":"McGuigan","given":"P. J."},{"family":"Ratcliffe","given":"A."},{"family":"Cole","given":"J."},{"family":"White","given":"J."},{"family":"Pareek","given":"N."},{"family":"Glover","given":"G."},{"family":"Handslip","given":"R."},{"family":"Proudfoot","given":"A."},{"family":"Thomas","given":"M."},{"family":"Pogson","given":"D."},{"family":"Keeble","given":"T. R."},{"family":"Nichol","given":"A."},{"family":"Haenggi","given":"M."},{"family":"Hilty","given":"M. P."},{"family":"Iten","given":"M."},{"family":"Schrag","given":"C."},{"family":"Nafi","given":"M."},{"family":"Joannidis","given":"M."},{"family":"Robba","given":"C."},{"family":"Pellis","given":"T."},{"family":"Belohlavek","given":"J."},{"family":"Smid","given":"O."},{"family":"Rob","given":"D."},{"family":"Arabi","given":"Y."},{"family":"Buabbas","given":"S."},{"family":"Yew Woon","given":"C."},{"family":"Li","given":"Q."},{"family":"Reade","given":"M."},{"family":"Delaney","given":"A."},{"family":"Venkatesh","given":"B."},{"family":"Hammond","given":"N."},{"family":"Bass","given":"F."},{"family":"Aneman","given":"A."},{"family":"Stewart","given":"A."},{"family":"Navarra","given":"L."},{"family":"Crichton","given":"B."},{"family":"Knight","given":"D."},{"family":"Williams","given":"A."},{"family":"Tirkkonen","given":"J."},{"family":"Oksanen","given":"T."},{"family":"Kaakinen","given":"T."},{"family":"Bendel","given":"S."},{"family":"Friberg","given":"H."},{"family":"Cronberg","given":"T."},{"family":"Skrifvars","given":"M. B."},{"family":"Nielsen","given":"N."},{"family":"Jakobsen","given":"J. C."}],"issued":{"date-parts":[["2025"]]}}}],"schema":"https://github.com/citation-style-language/schema/raw/master/csl-citation.json"} </w:instrText>
      </w:r>
      <w:r w:rsidRPr="00EF34C7">
        <w:rPr>
          <w:rFonts w:ascii="Times New Roman" w:eastAsia="Times New Roman" w:hAnsi="Times New Roman" w:cs="Times New Roman"/>
          <w:kern w:val="0"/>
          <w:u w:color="004C7F"/>
          <w:lang w:eastAsia="en-GB"/>
          <w14:ligatures w14:val="none"/>
        </w:rPr>
        <w:fldChar w:fldCharType="separate"/>
      </w:r>
      <w:r w:rsidRPr="00EF34C7">
        <w:rPr>
          <w:rFonts w:ascii="Times New Roman" w:eastAsia="Times New Roman" w:hAnsi="Times New Roman" w:cs="Times New Roman"/>
          <w:noProof/>
          <w:kern w:val="0"/>
          <w:u w:color="004C7F"/>
          <w:lang w:eastAsia="en-GB"/>
          <w14:ligatures w14:val="none"/>
        </w:rPr>
        <w:t>(51)</w:t>
      </w:r>
      <w:r w:rsidRPr="00EF34C7">
        <w:rPr>
          <w:rFonts w:ascii="Times New Roman" w:eastAsia="Times New Roman" w:hAnsi="Times New Roman" w:cs="Times New Roman"/>
          <w:kern w:val="0"/>
          <w:u w:color="004C7F"/>
          <w:lang w:eastAsia="en-GB"/>
          <w14:ligatures w14:val="none"/>
        </w:rPr>
        <w:fldChar w:fldCharType="end"/>
      </w:r>
      <w:r w:rsidRPr="00EF34C7">
        <w:rPr>
          <w:rFonts w:ascii="Times New Roman" w:eastAsia="Times New Roman" w:hAnsi="Times New Roman" w:cs="Times New Roman"/>
          <w:kern w:val="0"/>
          <w:u w:color="004C7F"/>
          <w:lang w:eastAsia="en-GB"/>
          <w14:ligatures w14:val="none"/>
        </w:rPr>
        <w:t xml:space="preserve">, we will not collect adverse events or serious adverse events, because many of these events are expected in this patient population. In addition, we already collect many of these events, such as mortality, as part of our outcomes. </w:t>
      </w:r>
      <w:r w:rsidRPr="00EF34C7">
        <w:rPr>
          <w:rFonts w:ascii="Times New Roman" w:eastAsia="Times New Roman" w:hAnsi="Times New Roman" w:cs="Times New Roman"/>
          <w:color w:val="000000"/>
          <w:kern w:val="0"/>
          <w:u w:color="004C7F"/>
          <w:lang w:eastAsia="en-GB"/>
          <w14:ligatures w14:val="none"/>
        </w:rPr>
        <w:t xml:space="preserve">We will only report safety events if they are life-threatening, prolong hospitalisation or result in meaningful harm to the participant. It is difficult to predefine a comprehensive list of </w:t>
      </w:r>
      <w:r w:rsidRPr="00EF34C7">
        <w:rPr>
          <w:rFonts w:ascii="Times New Roman" w:eastAsia="Times New Roman" w:hAnsi="Times New Roman" w:cs="Times New Roman"/>
          <w:color w:val="000000"/>
          <w:kern w:val="0"/>
          <w:u w:color="004C7F"/>
          <w:lang w:eastAsia="en-GB"/>
          <w14:ligatures w14:val="none"/>
        </w:rPr>
        <w:lastRenderedPageBreak/>
        <w:t>events that can be considered safety events, but we will actively assess the presence of the following safety events:</w:t>
      </w:r>
    </w:p>
    <w:p w14:paraId="56FEEE06" w14:textId="77777777" w:rsidR="00EF34C7" w:rsidRPr="00EF34C7" w:rsidRDefault="00EF34C7" w:rsidP="00EF34C7">
      <w:pPr>
        <w:numPr>
          <w:ilvl w:val="0"/>
          <w:numId w:val="14"/>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Prolonged mechanical ventilation (&gt; 7 days)</w:t>
      </w:r>
    </w:p>
    <w:p w14:paraId="0CFE4B27" w14:textId="77777777" w:rsidR="00EF34C7" w:rsidRPr="00EF34C7" w:rsidRDefault="00EF34C7" w:rsidP="00EF34C7">
      <w:pPr>
        <w:numPr>
          <w:ilvl w:val="0"/>
          <w:numId w:val="14"/>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Initiation of renal replacement therapy</w:t>
      </w:r>
    </w:p>
    <w:p w14:paraId="1295CB05" w14:textId="77777777" w:rsidR="00EF34C7" w:rsidRPr="00EF34C7" w:rsidRDefault="00EF34C7" w:rsidP="00EF34C7">
      <w:pPr>
        <w:numPr>
          <w:ilvl w:val="0"/>
          <w:numId w:val="14"/>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Prolonged (&gt; 2 days) or renewed (restarting after at least 2 days) use of vasopressors such as norepinephrine or vasopressin</w:t>
      </w:r>
    </w:p>
    <w:p w14:paraId="179A4CF8"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These are considered safety events because they may suggest pulmonary, renal, septic or bleeding complications, and an increase in their occurrence following ATLS® training may indicate that the intervention is harmful. These events must therefore be tracked during the standard care phase as well as the intervention phase. However, these events will be considered indicative of harm related to the intervention only if they occurr more often during the intervention phase than during the standard care phase. In addition, safety reports other than those mentioned above will be collected. These events will be identified during the trial, and the reporting of these safety events will be based on the clinical judgement of the site investigators. Examples of safety events may include missed injuries or missed investigations, which may be suspected if certain injuries or investigations were identified or conducted more often during the standard care phase than during the intervention phase.</w:t>
      </w:r>
    </w:p>
    <w:p w14:paraId="15878AE1"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All safety events will be recorded in the CRF and reported to the trial management team within 24 hours of its occurrence. The trial management team will then assess if the event can be considered related to the trial or the intervention within 24 hours of reporting. Events that are probably related will be reported immediately to the joint SDMC. All safety events will be followed up by the local investigator until they are fully evaluated. In addition, site investigators will report safety events based on the local ethics committee as per the Indian guidelines.</w:t>
      </w:r>
    </w:p>
    <w:p w14:paraId="0BE7A9D7" w14:textId="77777777" w:rsidR="00EF34C7" w:rsidRPr="00EF34C7" w:rsidRDefault="00EF34C7" w:rsidP="00EF34C7">
      <w:pPr>
        <w:widowControl w:val="0"/>
        <w:pBdr>
          <w:top w:val="nil"/>
          <w:left w:val="nil"/>
          <w:bottom w:val="nil"/>
          <w:right w:val="nil"/>
          <w:between w:val="nil"/>
          <w:bar w:val="nil"/>
        </w:pBdr>
        <w:spacing w:before="200" w:after="80"/>
        <w:outlineLvl w:val="0"/>
        <w:rPr>
          <w:rFonts w:ascii="Times New Roman" w:eastAsia="Arial Unicode MS" w:hAnsi="Times New Roman" w:cs="Times New Roman"/>
          <w:b/>
          <w:bCs/>
          <w:color w:val="000000"/>
          <w:kern w:val="0"/>
          <w:sz w:val="28"/>
          <w:szCs w:val="28"/>
          <w:u w:color="000000"/>
          <w:bdr w:val="nil"/>
          <w:lang w:val="en-US" w:eastAsia="en-GB"/>
          <w14:ligatures w14:val="none"/>
        </w:rPr>
      </w:pPr>
      <w:r w:rsidRPr="00EF34C7">
        <w:rPr>
          <w:rFonts w:ascii="Times New Roman" w:eastAsia="Arial Unicode MS" w:hAnsi="Times New Roman" w:cs="Times New Roman"/>
          <w:b/>
          <w:bCs/>
          <w:color w:val="000000"/>
          <w:kern w:val="0"/>
          <w:sz w:val="28"/>
          <w:szCs w:val="28"/>
          <w:u w:color="000000"/>
          <w:bdr w:val="nil"/>
          <w:lang w:val="en-US" w:eastAsia="en-GB"/>
          <w14:ligatures w14:val="none"/>
        </w:rPr>
        <w:t>Frequency and plans for auditing trial conduct {23}</w:t>
      </w:r>
    </w:p>
    <w:p w14:paraId="516B5740"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Authorised representatives for the sponsor and Competent Authorities (CA) may conduct audits or inspections at the trial site, including source data verification. The investigator must ensure that all source documents are available for audits and inspections. The audit or inspection will ensure that all study-related activities are performed, registered, analysed and reported correctly and according to the protocol, ICH-GCP and national regulations. These audits will be perfomed to systematically and independently review all trial-related activities and documents.</w:t>
      </w:r>
    </w:p>
    <w:p w14:paraId="1DFF0A4B" w14:textId="77777777" w:rsidR="00EF34C7" w:rsidRPr="00EF34C7" w:rsidRDefault="00EF34C7" w:rsidP="00EF34C7">
      <w:pPr>
        <w:widowControl w:val="0"/>
        <w:pBdr>
          <w:top w:val="nil"/>
          <w:left w:val="nil"/>
          <w:bottom w:val="nil"/>
          <w:right w:val="nil"/>
          <w:between w:val="nil"/>
          <w:bar w:val="nil"/>
        </w:pBdr>
        <w:spacing w:before="200" w:after="80"/>
        <w:outlineLvl w:val="0"/>
        <w:rPr>
          <w:rFonts w:ascii="Times New Roman" w:eastAsia="Arial Unicode MS" w:hAnsi="Times New Roman" w:cs="Times New Roman"/>
          <w:b/>
          <w:bCs/>
          <w:color w:val="000000"/>
          <w:kern w:val="0"/>
          <w:sz w:val="28"/>
          <w:szCs w:val="28"/>
          <w:u w:color="000000"/>
          <w:bdr w:val="nil"/>
          <w:lang w:val="en-US" w:eastAsia="en-GB"/>
          <w14:ligatures w14:val="none"/>
        </w:rPr>
      </w:pPr>
      <w:r w:rsidRPr="00EF34C7">
        <w:rPr>
          <w:rFonts w:ascii="Times New Roman" w:eastAsia="Arial Unicode MS" w:hAnsi="Times New Roman" w:cs="Times New Roman"/>
          <w:b/>
          <w:bCs/>
          <w:color w:val="000000"/>
          <w:kern w:val="0"/>
          <w:sz w:val="28"/>
          <w:szCs w:val="28"/>
          <w:u w:color="000000"/>
          <w:bdr w:val="nil"/>
          <w:lang w:val="en-US" w:eastAsia="en-GB"/>
          <w14:ligatures w14:val="none"/>
        </w:rPr>
        <w:t>Plans for communicating important protocol amendments to relevant parties (e.g. trial participants, ethical committees) {25}</w:t>
      </w:r>
    </w:p>
    <w:p w14:paraId="5C3AA321"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Substantial amendments to the clinical trial protocol are possible only through approved protocol amendments and by agreement between the sponsor and the principal investigator.</w:t>
      </w:r>
    </w:p>
    <w:p w14:paraId="5091188E" w14:textId="77777777" w:rsidR="00EF34C7" w:rsidRPr="00EF34C7" w:rsidRDefault="00EF34C7" w:rsidP="00EF34C7">
      <w:pPr>
        <w:widowControl w:val="0"/>
        <w:pBdr>
          <w:top w:val="nil"/>
          <w:left w:val="nil"/>
          <w:bottom w:val="nil"/>
          <w:right w:val="nil"/>
          <w:between w:val="nil"/>
          <w:bar w:val="nil"/>
        </w:pBdr>
        <w:spacing w:before="200" w:after="80"/>
        <w:outlineLvl w:val="0"/>
        <w:rPr>
          <w:rFonts w:ascii="Times New Roman" w:eastAsia="Arial Unicode MS" w:hAnsi="Times New Roman" w:cs="Times New Roman"/>
          <w:color w:val="000000"/>
          <w:kern w:val="0"/>
          <w:sz w:val="28"/>
          <w:szCs w:val="28"/>
          <w:u w:color="000000"/>
          <w:bdr w:val="nil"/>
          <w:lang w:val="en-US" w:eastAsia="en-GB"/>
          <w14:ligatures w14:val="none"/>
        </w:rPr>
      </w:pPr>
      <w:r w:rsidRPr="00EF34C7">
        <w:rPr>
          <w:rFonts w:ascii="Times New Roman" w:eastAsia="Arial Unicode MS" w:hAnsi="Times New Roman" w:cs="Times New Roman"/>
          <w:b/>
          <w:bCs/>
          <w:color w:val="000000"/>
          <w:kern w:val="0"/>
          <w:sz w:val="28"/>
          <w:szCs w:val="28"/>
          <w:u w:color="000000"/>
          <w:bdr w:val="nil"/>
          <w:lang w:val="en-US" w:eastAsia="en-GB"/>
          <w14:ligatures w14:val="none"/>
        </w:rPr>
        <w:t>Dissemination plans {31a}</w:t>
      </w:r>
    </w:p>
    <w:p w14:paraId="6967EB2E"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The trial will be reported to the funders within a year of completion. The results of the trial will also be prepared as manuscripts for publication. The authorship of the trial manuscripts will be based on the International Committee of Medical Journal Editors (ICMJE) criteria </w:t>
      </w:r>
      <w:r w:rsidRPr="00EF34C7">
        <w:rPr>
          <w:rFonts w:ascii="Times New Roman" w:eastAsia="Times New Roman" w:hAnsi="Times New Roman" w:cs="Times New Roman"/>
          <w:kern w:val="0"/>
          <w:u w:color="004C7F"/>
          <w:lang w:eastAsia="en-GB"/>
          <w14:ligatures w14:val="none"/>
        </w:rPr>
        <w:fldChar w:fldCharType="begin"/>
      </w:r>
      <w:r w:rsidRPr="00EF34C7">
        <w:rPr>
          <w:rFonts w:ascii="Times New Roman" w:eastAsia="Times New Roman" w:hAnsi="Times New Roman" w:cs="Times New Roman"/>
          <w:kern w:val="0"/>
          <w:u w:color="004C7F"/>
          <w:lang w:eastAsia="en-GB"/>
          <w14:ligatures w14:val="none"/>
        </w:rPr>
        <w:instrText xml:space="preserve"> ADDIN ZOTERO_ITEM CSL_CITATION {"citationID":"ZGH2KydQ","properties":{"formattedCitation":"(52)","plainCitation":"(52)","noteIndex":0},"citationItems":[{"id":659,"uris":["http://zotero.org/users/6304864/items/Q46RPZ7Z"],"itemData":{"id":659,"type":"webpage","title":"ICMJE | Recommendations | Defining the Role of Authors and Contributors","URL":"https://www.icmje.org/recommendations/browse/roles-and-responsibilities/defining-the-role-of-authors-and-contributors.html","accessed":{"date-parts":[["2024",2,9]]}}}],"schema":"https://github.com/citation-style-language/schema/raw/master/csl-citation.json"} </w:instrText>
      </w:r>
      <w:r w:rsidRPr="00EF34C7">
        <w:rPr>
          <w:rFonts w:ascii="Times New Roman" w:eastAsia="Times New Roman" w:hAnsi="Times New Roman" w:cs="Times New Roman"/>
          <w:kern w:val="0"/>
          <w:u w:color="004C7F"/>
          <w:lang w:eastAsia="en-GB"/>
          <w14:ligatures w14:val="none"/>
        </w:rPr>
        <w:fldChar w:fldCharType="separate"/>
      </w:r>
      <w:r w:rsidRPr="00EF34C7">
        <w:rPr>
          <w:rFonts w:ascii="Times New Roman" w:eastAsia="Times New Roman" w:hAnsi="Times New Roman" w:cs="Times New Roman"/>
          <w:noProof/>
          <w:kern w:val="0"/>
          <w:u w:color="004C7F"/>
          <w:lang w:eastAsia="en-GB"/>
          <w14:ligatures w14:val="none"/>
        </w:rPr>
        <w:t>(52)</w:t>
      </w:r>
      <w:r w:rsidRPr="00EF34C7">
        <w:rPr>
          <w:rFonts w:ascii="Times New Roman" w:eastAsia="Times New Roman" w:hAnsi="Times New Roman" w:cs="Times New Roman"/>
          <w:kern w:val="0"/>
          <w:u w:color="004C7F"/>
          <w:lang w:eastAsia="en-GB"/>
          <w14:ligatures w14:val="none"/>
        </w:rPr>
        <w:fldChar w:fldCharType="end"/>
      </w:r>
      <w:r w:rsidRPr="00EF34C7">
        <w:rPr>
          <w:rFonts w:ascii="Times New Roman" w:eastAsia="Times New Roman" w:hAnsi="Times New Roman" w:cs="Times New Roman"/>
          <w:kern w:val="0"/>
          <w:u w:color="004C7F"/>
          <w:lang w:eastAsia="en-GB"/>
          <w14:ligatures w14:val="none"/>
        </w:rPr>
        <w:t>:</w:t>
      </w:r>
    </w:p>
    <w:p w14:paraId="52B63D9E" w14:textId="77777777" w:rsidR="00EF34C7" w:rsidRPr="00EF34C7" w:rsidRDefault="00EF34C7" w:rsidP="00EF34C7">
      <w:pPr>
        <w:numPr>
          <w:ilvl w:val="0"/>
          <w:numId w:val="16"/>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Substantial contributions to the conception or design of the work; or the acquisition, analysis, or interpretation of data for the work; AND</w:t>
      </w:r>
    </w:p>
    <w:p w14:paraId="3466C48B" w14:textId="77777777" w:rsidR="00EF34C7" w:rsidRPr="00EF34C7" w:rsidRDefault="00EF34C7" w:rsidP="00EF34C7">
      <w:pPr>
        <w:numPr>
          <w:ilvl w:val="0"/>
          <w:numId w:val="15"/>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Drafting the work or reviewing it critically for important intellectual content; AND</w:t>
      </w:r>
    </w:p>
    <w:p w14:paraId="658EE2C8" w14:textId="77777777" w:rsidR="00EF34C7" w:rsidRPr="00EF34C7" w:rsidRDefault="00EF34C7" w:rsidP="00EF34C7">
      <w:pPr>
        <w:numPr>
          <w:ilvl w:val="0"/>
          <w:numId w:val="13"/>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Final approval of the version to be published; AND</w:t>
      </w:r>
    </w:p>
    <w:p w14:paraId="359F0E24" w14:textId="77777777" w:rsidR="00EF34C7" w:rsidRPr="00EF34C7" w:rsidRDefault="00EF34C7" w:rsidP="00EF34C7">
      <w:pPr>
        <w:numPr>
          <w:ilvl w:val="0"/>
          <w:numId w:val="13"/>
        </w:numPr>
        <w:spacing w:after="120"/>
        <w:contextualSpacing/>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Agreement to be accountable for all aspects of the work in ensuring that questions related to the accuracy or integrity of any part of the work are appropriately investigated and resolved.</w:t>
      </w:r>
    </w:p>
    <w:p w14:paraId="31EE3BBE"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lastRenderedPageBreak/>
        <w:t>In addition to being accountable for the parts of the work completed, an author should be able to identify which coauthors are responsible for other specific parts of the work. In addition, authors should have confidence in the integrity of the contributions of their coauthors. The most recent version of the ICMJE criteria will be followed. We will also use the ICMJE criteria for nonauthor contributorship. Before work on a trial manuscript is initiated, a writing group will be formed and first and last authors will be designated. This writing group will be formed by discussion in the TMG.</w:t>
      </w:r>
    </w:p>
    <w:p w14:paraId="1B76B880" w14:textId="77777777" w:rsidR="00EF34C7" w:rsidRPr="00EF34C7" w:rsidRDefault="00EF34C7" w:rsidP="00EF34C7">
      <w:pPr>
        <w:widowControl w:val="0"/>
        <w:pBdr>
          <w:top w:val="nil"/>
          <w:left w:val="nil"/>
          <w:bottom w:val="nil"/>
          <w:right w:val="nil"/>
          <w:between w:val="nil"/>
          <w:bar w:val="nil"/>
        </w:pBdr>
        <w:spacing w:before="200" w:after="80"/>
        <w:outlineLvl w:val="0"/>
        <w:rPr>
          <w:rFonts w:ascii="Times New Roman" w:eastAsia="Arial Unicode MS" w:hAnsi="Times New Roman" w:cs="Times New Roman"/>
          <w:color w:val="000000"/>
          <w:kern w:val="0"/>
          <w:sz w:val="28"/>
          <w:szCs w:val="28"/>
          <w:u w:color="000000"/>
          <w:bdr w:val="nil"/>
          <w:lang w:val="en-US" w:eastAsia="en-GB"/>
          <w14:ligatures w14:val="none"/>
        </w:rPr>
      </w:pPr>
      <w:r w:rsidRPr="00EF34C7">
        <w:rPr>
          <w:rFonts w:ascii="Times New Roman" w:eastAsia="Arial Unicode MS" w:hAnsi="Times New Roman" w:cs="Times New Roman"/>
          <w:b/>
          <w:bCs/>
          <w:color w:val="000000"/>
          <w:kern w:val="0"/>
          <w:sz w:val="28"/>
          <w:szCs w:val="28"/>
          <w:u w:color="000000"/>
          <w:bdr w:val="nil"/>
          <w:lang w:val="en-US" w:eastAsia="en-GB"/>
          <w14:ligatures w14:val="none"/>
        </w:rPr>
        <w:t>Discussion</w:t>
      </w:r>
    </w:p>
    <w:p w14:paraId="3490BD20"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This will be the first large scale trial to provide robust evidence of the effectiveness of ATLS® since the programme was initiated in 1978. Regardless of the findings, this study will have important implications for trauma life support training globally. If ATLS® training improves patient outcomes, ways to promote its use and optimise its implementation, especially in low- and middle income countries such as India, should be explored. If patient outcomes do not improve, then trauma life support training needs to change.</w:t>
      </w:r>
    </w:p>
    <w:p w14:paraId="2FB43810" w14:textId="77777777" w:rsidR="00EF34C7" w:rsidRPr="00EF34C7" w:rsidRDefault="00EF34C7" w:rsidP="00EF34C7">
      <w:pPr>
        <w:widowControl w:val="0"/>
        <w:pBdr>
          <w:top w:val="nil"/>
          <w:left w:val="nil"/>
          <w:bottom w:val="nil"/>
          <w:right w:val="nil"/>
          <w:between w:val="nil"/>
          <w:bar w:val="nil"/>
        </w:pBdr>
        <w:spacing w:before="200" w:after="80"/>
        <w:outlineLvl w:val="0"/>
        <w:rPr>
          <w:rFonts w:ascii="Times New Roman" w:eastAsia="Arial Unicode MS" w:hAnsi="Times New Roman" w:cs="Times New Roman"/>
          <w:color w:val="000000"/>
          <w:kern w:val="0"/>
          <w:sz w:val="28"/>
          <w:szCs w:val="28"/>
          <w:u w:color="000000"/>
          <w:bdr w:val="nil"/>
          <w:lang w:val="en-US" w:eastAsia="en-GB"/>
          <w14:ligatures w14:val="none"/>
        </w:rPr>
      </w:pPr>
      <w:r w:rsidRPr="00EF34C7">
        <w:rPr>
          <w:rFonts w:ascii="Times New Roman" w:eastAsia="Arial Unicode MS" w:hAnsi="Times New Roman" w:cs="Times New Roman"/>
          <w:b/>
          <w:bCs/>
          <w:color w:val="000000"/>
          <w:kern w:val="0"/>
          <w:sz w:val="28"/>
          <w:szCs w:val="28"/>
          <w:u w:color="000000"/>
          <w:bdr w:val="nil"/>
          <w:lang w:val="en-US" w:eastAsia="en-GB"/>
          <w14:ligatures w14:val="none"/>
        </w:rPr>
        <w:t>Trial status</w:t>
      </w:r>
    </w:p>
    <w:p w14:paraId="2FD78392"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The current protocol version is 1.5.0, dated June 12, 2025. Inclusion of participant began on February 27, 2025. The approximate date when inclusion will be completed is November, 2029.</w:t>
      </w:r>
    </w:p>
    <w:p w14:paraId="79DF55FF" w14:textId="77777777" w:rsidR="00EF34C7" w:rsidRPr="00EF34C7" w:rsidRDefault="00EF34C7" w:rsidP="00EF34C7">
      <w:pPr>
        <w:widowControl w:val="0"/>
        <w:pBdr>
          <w:top w:val="nil"/>
          <w:left w:val="nil"/>
          <w:bottom w:val="nil"/>
          <w:right w:val="nil"/>
          <w:between w:val="nil"/>
          <w:bar w:val="nil"/>
        </w:pBdr>
        <w:spacing w:before="200" w:after="80"/>
        <w:outlineLvl w:val="0"/>
        <w:rPr>
          <w:rFonts w:ascii="Times New Roman" w:eastAsia="Arial Unicode MS" w:hAnsi="Times New Roman" w:cs="Times New Roman"/>
          <w:b/>
          <w:bCs/>
          <w:color w:val="006600"/>
          <w:kern w:val="0"/>
          <w:sz w:val="28"/>
          <w:szCs w:val="28"/>
          <w:u w:color="004C7F"/>
          <w:bdr w:val="nil"/>
          <w:lang w:val="en-US" w:eastAsia="en-GB"/>
          <w14:ligatures w14:val="none"/>
        </w:rPr>
      </w:pPr>
      <w:r w:rsidRPr="00EF34C7">
        <w:rPr>
          <w:rFonts w:ascii="Times New Roman" w:eastAsia="Arial Unicode MS" w:hAnsi="Times New Roman" w:cs="Times New Roman"/>
          <w:b/>
          <w:bCs/>
          <w:color w:val="000000"/>
          <w:kern w:val="0"/>
          <w:sz w:val="28"/>
          <w:szCs w:val="28"/>
          <w:u w:color="000000"/>
          <w:bdr w:val="nil"/>
          <w:lang w:val="en-US" w:eastAsia="en-GB"/>
          <w14:ligatures w14:val="none"/>
        </w:rPr>
        <w:t>Abbreviations</w:t>
      </w:r>
    </w:p>
    <w:p w14:paraId="07F30F4D"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b/>
          <w:i/>
          <w:kern w:val="0"/>
          <w:u w:color="004C7F"/>
          <w:lang w:eastAsia="en-GB"/>
          <w14:ligatures w14:val="none"/>
        </w:rPr>
        <w:t>ATLS:</w:t>
      </w:r>
      <w:r w:rsidRPr="00EF34C7">
        <w:rPr>
          <w:rFonts w:ascii="Times New Roman" w:eastAsia="Times New Roman" w:hAnsi="Times New Roman" w:cs="Times New Roman"/>
          <w:kern w:val="0"/>
          <w:u w:color="004C7F"/>
          <w:lang w:eastAsia="en-GB"/>
          <w14:ligatures w14:val="none"/>
        </w:rPr>
        <w:t xml:space="preserve"> Advance Trauma Life Support</w:t>
      </w:r>
    </w:p>
    <w:p w14:paraId="129EB399"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b/>
          <w:i/>
          <w:kern w:val="0"/>
          <w:u w:color="004C7F"/>
          <w:lang w:eastAsia="en-GB"/>
          <w14:ligatures w14:val="none"/>
        </w:rPr>
        <w:t>CRF:</w:t>
      </w:r>
      <w:r w:rsidRPr="00EF34C7">
        <w:rPr>
          <w:rFonts w:ascii="Times New Roman" w:eastAsia="Times New Roman" w:hAnsi="Times New Roman" w:cs="Times New Roman"/>
          <w:kern w:val="0"/>
          <w:u w:color="004C7F"/>
          <w:lang w:eastAsia="en-GB"/>
          <w14:ligatures w14:val="none"/>
        </w:rPr>
        <w:t xml:space="preserve"> Case Record Form</w:t>
      </w:r>
    </w:p>
    <w:p w14:paraId="6D5CB804"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b/>
          <w:i/>
          <w:kern w:val="0"/>
          <w:u w:color="004C7F"/>
          <w:lang w:eastAsia="en-GB"/>
          <w14:ligatures w14:val="none"/>
        </w:rPr>
        <w:t xml:space="preserve">ISF: </w:t>
      </w:r>
      <w:r w:rsidRPr="00EF34C7">
        <w:rPr>
          <w:rFonts w:ascii="Times New Roman" w:eastAsia="Times New Roman" w:hAnsi="Times New Roman" w:cs="Times New Roman"/>
          <w:kern w:val="0"/>
          <w:u w:color="004C7F"/>
          <w:lang w:eastAsia="en-GB"/>
          <w14:ligatures w14:val="none"/>
        </w:rPr>
        <w:t>Investigator Site File</w:t>
      </w:r>
    </w:p>
    <w:p w14:paraId="190C5D94" w14:textId="77777777" w:rsidR="00EF34C7" w:rsidRPr="00EF34C7" w:rsidRDefault="00EF34C7" w:rsidP="00EF34C7">
      <w:pPr>
        <w:spacing w:after="120"/>
        <w:rPr>
          <w:rFonts w:ascii="Times New Roman" w:eastAsia="Times New Roman" w:hAnsi="Times New Roman" w:cs="Times New Roman"/>
          <w:b/>
          <w:i/>
          <w:kern w:val="0"/>
          <w:u w:color="004C7F"/>
          <w:lang w:eastAsia="en-GB"/>
          <w14:ligatures w14:val="none"/>
        </w:rPr>
      </w:pPr>
      <w:r w:rsidRPr="00EF34C7">
        <w:rPr>
          <w:rFonts w:ascii="Times New Roman" w:eastAsia="Times New Roman" w:hAnsi="Times New Roman" w:cs="Times New Roman"/>
          <w:b/>
          <w:i/>
          <w:kern w:val="0"/>
          <w:u w:color="004C7F"/>
          <w:lang w:eastAsia="en-GB"/>
          <w14:ligatures w14:val="none"/>
        </w:rPr>
        <w:t xml:space="preserve">TMF: </w:t>
      </w:r>
      <w:r w:rsidRPr="00EF34C7">
        <w:rPr>
          <w:rFonts w:ascii="Times New Roman" w:eastAsia="Times New Roman" w:hAnsi="Times New Roman" w:cs="Times New Roman"/>
          <w:kern w:val="0"/>
          <w:u w:color="004C7F"/>
          <w:lang w:eastAsia="en-GB"/>
          <w14:ligatures w14:val="none"/>
        </w:rPr>
        <w:t>Trial Master File</w:t>
      </w:r>
    </w:p>
    <w:p w14:paraId="0A6EAE71"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b/>
          <w:i/>
          <w:kern w:val="0"/>
          <w:u w:color="004C7F"/>
          <w:lang w:eastAsia="en-GB"/>
          <w14:ligatures w14:val="none"/>
        </w:rPr>
        <w:t xml:space="preserve">TMG: </w:t>
      </w:r>
      <w:r w:rsidRPr="00EF34C7">
        <w:rPr>
          <w:rFonts w:ascii="Times New Roman" w:eastAsia="Times New Roman" w:hAnsi="Times New Roman" w:cs="Times New Roman"/>
          <w:kern w:val="0"/>
          <w:u w:color="004C7F"/>
          <w:lang w:eastAsia="en-GB"/>
          <w14:ligatures w14:val="none"/>
        </w:rPr>
        <w:t>Trial management group</w:t>
      </w:r>
    </w:p>
    <w:p w14:paraId="5326D6F4"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b/>
          <w:i/>
          <w:kern w:val="0"/>
          <w:u w:color="004C7F"/>
          <w:lang w:eastAsia="en-GB"/>
          <w14:ligatures w14:val="none"/>
        </w:rPr>
        <w:t xml:space="preserve">TT: </w:t>
      </w:r>
      <w:r w:rsidRPr="00EF34C7">
        <w:rPr>
          <w:rFonts w:ascii="Times New Roman" w:eastAsia="Times New Roman" w:hAnsi="Times New Roman" w:cs="Times New Roman"/>
          <w:kern w:val="0"/>
          <w:u w:color="004C7F"/>
          <w:lang w:eastAsia="en-GB"/>
          <w14:ligatures w14:val="none"/>
        </w:rPr>
        <w:t>Trial team</w:t>
      </w:r>
    </w:p>
    <w:p w14:paraId="1411276F"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b/>
          <w:i/>
          <w:kern w:val="0"/>
          <w:u w:color="004C7F"/>
          <w:lang w:eastAsia="en-GB"/>
          <w14:ligatures w14:val="none"/>
        </w:rPr>
        <w:t xml:space="preserve">SDMC: </w:t>
      </w:r>
      <w:r w:rsidRPr="00EF34C7">
        <w:rPr>
          <w:rFonts w:ascii="Times New Roman" w:eastAsia="Times New Roman" w:hAnsi="Times New Roman" w:cs="Times New Roman"/>
          <w:kern w:val="0"/>
          <w:u w:color="004C7F"/>
          <w:lang w:eastAsia="en-GB"/>
          <w14:ligatures w14:val="none"/>
        </w:rPr>
        <w:t>Trial Steering and Data Monitoring Committee</w:t>
      </w:r>
    </w:p>
    <w:p w14:paraId="71228A2A" w14:textId="77777777" w:rsidR="00EF34C7" w:rsidRPr="00EF34C7" w:rsidRDefault="00EF34C7" w:rsidP="00EF34C7">
      <w:pPr>
        <w:widowControl w:val="0"/>
        <w:pBdr>
          <w:top w:val="nil"/>
          <w:left w:val="nil"/>
          <w:bottom w:val="nil"/>
          <w:right w:val="nil"/>
          <w:between w:val="nil"/>
          <w:bar w:val="nil"/>
        </w:pBdr>
        <w:spacing w:before="200" w:after="80"/>
        <w:outlineLvl w:val="0"/>
        <w:rPr>
          <w:rFonts w:ascii="Times New Roman" w:eastAsia="Arial Unicode MS" w:hAnsi="Times New Roman" w:cs="Times New Roman"/>
          <w:color w:val="000000"/>
          <w:kern w:val="0"/>
          <w:sz w:val="28"/>
          <w:szCs w:val="28"/>
          <w:u w:color="000000"/>
          <w:bdr w:val="nil"/>
          <w:lang w:val="en-US" w:eastAsia="en-GB"/>
          <w14:ligatures w14:val="none"/>
        </w:rPr>
      </w:pPr>
      <w:r w:rsidRPr="00EF34C7">
        <w:rPr>
          <w:rFonts w:ascii="Times New Roman" w:eastAsia="Arial Unicode MS" w:hAnsi="Times New Roman" w:cs="Times New Roman"/>
          <w:b/>
          <w:bCs/>
          <w:color w:val="000000"/>
          <w:kern w:val="0"/>
          <w:sz w:val="28"/>
          <w:szCs w:val="28"/>
          <w:u w:color="000000"/>
          <w:bdr w:val="nil"/>
          <w:lang w:val="en-US" w:eastAsia="en-GB"/>
          <w14:ligatures w14:val="none"/>
        </w:rPr>
        <w:t>Declarations</w:t>
      </w:r>
    </w:p>
    <w:p w14:paraId="551B59FA"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t>Acknowledgements</w:t>
      </w:r>
    </w:p>
    <w:p w14:paraId="1557BB3E"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We would like to acknowledge the efforts of all current and future site investigators, clinical research coordinators, and staff at the coordinating centre who help run this trial.</w:t>
      </w:r>
    </w:p>
    <w:p w14:paraId="61B6F0D2"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t>Authors’ contributions {31b}</w:t>
      </w:r>
    </w:p>
    <w:p w14:paraId="42418414" w14:textId="77777777" w:rsidR="00EF34C7" w:rsidRPr="00EF34C7" w:rsidRDefault="00EF34C7" w:rsidP="00EF34C7">
      <w:pPr>
        <w:spacing w:after="120"/>
        <w:rPr>
          <w:rFonts w:ascii="Times New Roman" w:eastAsia="Times New Roman" w:hAnsi="Times New Roman" w:cs="Times New Roman"/>
          <w:kern w:val="0"/>
          <w:u w:color="004C7F"/>
          <w:lang w:val="en-IN" w:eastAsia="zh-CN"/>
          <w14:ligatures w14:val="none"/>
        </w:rPr>
      </w:pPr>
      <w:r w:rsidRPr="00EF34C7">
        <w:rPr>
          <w:rFonts w:ascii="Times New Roman" w:eastAsia="Times New Roman" w:hAnsi="Times New Roman" w:cs="Times New Roman"/>
          <w:kern w:val="0"/>
          <w:u w:color="004C7F"/>
          <w:lang w:val="en-IN" w:eastAsia="zh-CN"/>
          <w14:ligatures w14:val="none"/>
        </w:rPr>
        <w:t>MGW conceived this study. SR, SF and PK prepared the protocol for publication, and drafted the first and subsequent manuscript versions. SR lead the preparation of this manuscript, under the supervision of MGW. AB, GB, DB, JB, SC, LFT, KH, VJ, MK, AM, RS, KDS and MGW designed the trial. MGW drafted the first and subsequent versions of the protocol. AB, GB, DB, JB, SC, LFT, KH, VJ, MK, AM, AO, RS and KDS provided input on the first and subsequent versions of the protocol. JK and JM provided input on later versions of the protocol and this manuscript, specifically related to the nested staircase design and the randomisation procedure respectively. All authors reviewed the manuscript.</w:t>
      </w:r>
    </w:p>
    <w:p w14:paraId="6674BA4C"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t>Funding {4}</w:t>
      </w:r>
    </w:p>
    <w:p w14:paraId="271BD6F1"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lastRenderedPageBreak/>
        <w:t>The study is funded by the Swedish Research Council (reg. no. 2023-03128) and Laerdal Foundation (reg. no. 2023-0297). However, the funding for this study is partial, and additional funding will be secured during the course of the study. If funding is not secured, the study will be stopped, which will likely result in an underpowered study. However, the intervention in this case is the standard of care in many countries and data collection is considered to carry minimal risk. The risk of harm to participants is minimal and there is potentially a direct benefit to the participants who receive the intervention. Therefore, the benefit-risk ratio is considered favourable, even if the study is underpowered.</w:t>
      </w:r>
    </w:p>
    <w:p w14:paraId="7211B384"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t>Availability of data and materials {29}</w:t>
      </w:r>
    </w:p>
    <w:p w14:paraId="2C20B23C"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The full protocol and statistical code will be publicly available. A deidentified anonymous dataset will also be publicly available.</w:t>
      </w:r>
    </w:p>
    <w:p w14:paraId="7D627532"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t>Ethics approval and consent to participate {24}</w:t>
      </w:r>
    </w:p>
    <w:p w14:paraId="4536F15B" w14:textId="77777777" w:rsidR="00EF34C7" w:rsidRPr="00EF34C7" w:rsidRDefault="00EF34C7" w:rsidP="00EF34C7">
      <w:pPr>
        <w:spacing w:after="120"/>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 xml:space="preserve">Ethics approval has been obtained from The George Institute Ethics Committee (ECR/272/Indt/DL/2017), all hospitals in the first and second batches, and the Swedish Ethical Review Authority (2024-07547-01) </w:t>
      </w:r>
    </w:p>
    <w:p w14:paraId="67D60301"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t>Consent for publication {32}</w:t>
      </w:r>
    </w:p>
    <w:p w14:paraId="183E1A21" w14:textId="77777777" w:rsidR="00EF34C7" w:rsidRPr="00EF34C7" w:rsidRDefault="00EF34C7" w:rsidP="00EF34C7">
      <w:pPr>
        <w:spacing w:after="120"/>
        <w:rPr>
          <w:rFonts w:ascii="Helvetica Neue" w:eastAsia="Helvetica Neue" w:hAnsi="Helvetica Neue" w:cs="Helvetica Neue"/>
          <w:color w:val="333333"/>
          <w:kern w:val="0"/>
          <w:sz w:val="34"/>
          <w:szCs w:val="34"/>
          <w:u w:color="333333"/>
          <w:lang w:eastAsia="en-GB"/>
          <w14:ligatures w14:val="none"/>
        </w:rPr>
      </w:pPr>
      <w:r w:rsidRPr="00EF34C7">
        <w:rPr>
          <w:rFonts w:ascii="Times New Roman" w:eastAsia="Helvetica Neue" w:hAnsi="Times New Roman" w:cs="Times New Roman"/>
          <w:kern w:val="0"/>
          <w:u w:color="004C7F"/>
          <w:lang w:eastAsia="en-GB"/>
          <w14:ligatures w14:val="none"/>
        </w:rPr>
        <w:t>A model consent form is available on request to the corresponding author.</w:t>
      </w:r>
    </w:p>
    <w:p w14:paraId="217D1285"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t>Competing interests {28}</w:t>
      </w:r>
    </w:p>
    <w:p w14:paraId="563C4A70" w14:textId="77777777" w:rsidR="00EF34C7" w:rsidRPr="00EF34C7" w:rsidRDefault="00EF34C7" w:rsidP="00EF34C7">
      <w:pPr>
        <w:spacing w:after="120"/>
        <w:rPr>
          <w:rFonts w:ascii="Times New Roman" w:eastAsia="Times New Roman" w:hAnsi="Times New Roman" w:cs="Times New Roman"/>
          <w:color w:val="000000"/>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t>Several of the contributors are active instructors of ATLS</w:t>
      </w:r>
      <w:r w:rsidRPr="00EF34C7">
        <w:rPr>
          <w:rFonts w:ascii="Times New Roman" w:eastAsia="Times New Roman" w:hAnsi="Times New Roman" w:cs="Times New Roman"/>
          <w:color w:val="000000"/>
          <w:kern w:val="0"/>
          <w:u w:color="004C7F"/>
          <w:lang w:eastAsia="en-GB"/>
          <w14:ligatures w14:val="none"/>
        </w:rPr>
        <w:t>® and/or other trauma life support training programmes.</w:t>
      </w:r>
    </w:p>
    <w:p w14:paraId="62008786" w14:textId="77777777" w:rsidR="00EF34C7" w:rsidRPr="00EF34C7" w:rsidRDefault="00EF34C7" w:rsidP="00EF34C7">
      <w:pPr>
        <w:widowControl w:val="0"/>
        <w:pBdr>
          <w:top w:val="nil"/>
          <w:left w:val="nil"/>
          <w:bottom w:val="nil"/>
          <w:right w:val="nil"/>
          <w:between w:val="nil"/>
          <w:bar w:val="nil"/>
        </w:pBdr>
        <w:spacing w:before="200" w:after="80"/>
        <w:outlineLvl w:val="1"/>
        <w:rPr>
          <w:rFonts w:ascii="Times New Roman" w:eastAsia="Arial Unicode MS" w:hAnsi="Times New Roman" w:cs="Times New Roman"/>
          <w:b/>
          <w:bCs/>
          <w:color w:val="000000"/>
          <w:kern w:val="0"/>
          <w:sz w:val="26"/>
          <w:szCs w:val="26"/>
          <w:u w:color="000000"/>
          <w:bdr w:val="nil"/>
          <w:lang w:val="en-US" w:eastAsia="en-GB"/>
          <w14:ligatures w14:val="none"/>
        </w:rPr>
      </w:pPr>
      <w:r w:rsidRPr="00EF34C7">
        <w:rPr>
          <w:rFonts w:ascii="Times New Roman" w:eastAsia="Arial Unicode MS" w:hAnsi="Times New Roman" w:cs="Times New Roman"/>
          <w:b/>
          <w:bCs/>
          <w:color w:val="000000"/>
          <w:kern w:val="0"/>
          <w:sz w:val="26"/>
          <w:szCs w:val="26"/>
          <w:u w:color="000000"/>
          <w:bdr w:val="nil"/>
          <w:lang w:val="en-US" w:eastAsia="en-GB"/>
          <w14:ligatures w14:val="none"/>
        </w:rPr>
        <w:t xml:space="preserve">Authors’ information (optional) </w:t>
      </w:r>
    </w:p>
    <w:p w14:paraId="495BFB8B" w14:textId="77777777" w:rsidR="00EF34C7" w:rsidRPr="00EF34C7" w:rsidRDefault="00EF34C7" w:rsidP="00EF34C7">
      <w:pPr>
        <w:widowControl w:val="0"/>
        <w:pBdr>
          <w:top w:val="nil"/>
          <w:left w:val="nil"/>
          <w:bottom w:val="nil"/>
          <w:right w:val="nil"/>
          <w:between w:val="nil"/>
          <w:bar w:val="nil"/>
        </w:pBdr>
        <w:spacing w:before="200" w:after="80"/>
        <w:outlineLvl w:val="0"/>
        <w:rPr>
          <w:rFonts w:ascii="Times New Roman" w:eastAsia="Arial Unicode MS" w:hAnsi="Times New Roman" w:cs="Times New Roman"/>
          <w:b/>
          <w:bCs/>
          <w:color w:val="000000"/>
          <w:kern w:val="0"/>
          <w:sz w:val="28"/>
          <w:szCs w:val="28"/>
          <w:u w:color="000000"/>
          <w:bdr w:val="nil"/>
          <w:lang w:val="en-US" w:eastAsia="en-GB"/>
          <w14:ligatures w14:val="none"/>
        </w:rPr>
      </w:pPr>
      <w:r w:rsidRPr="00EF34C7">
        <w:rPr>
          <w:rFonts w:ascii="Times New Roman" w:eastAsia="Arial Unicode MS" w:hAnsi="Times New Roman" w:cs="Times New Roman"/>
          <w:b/>
          <w:bCs/>
          <w:color w:val="000000"/>
          <w:kern w:val="0"/>
          <w:sz w:val="28"/>
          <w:szCs w:val="28"/>
          <w:u w:color="000000"/>
          <w:bdr w:val="nil"/>
          <w:lang w:val="en-US" w:eastAsia="en-GB"/>
          <w14:ligatures w14:val="none"/>
        </w:rPr>
        <w:t>References</w:t>
      </w:r>
    </w:p>
    <w:p w14:paraId="68CDD17F"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Arial" w:eastAsia="Arial" w:hAnsi="Arial" w:cs="Arial"/>
          <w:color w:val="006600"/>
          <w:kern w:val="0"/>
          <w:sz w:val="20"/>
          <w:szCs w:val="20"/>
          <w:u w:val="single" w:color="006600"/>
          <w:lang w:eastAsia="en-GB"/>
          <w14:ligatures w14:val="none"/>
        </w:rPr>
        <w:fldChar w:fldCharType="begin"/>
      </w:r>
      <w:r w:rsidRPr="00EF34C7">
        <w:rPr>
          <w:rFonts w:ascii="Arial" w:eastAsia="Arial" w:hAnsi="Arial" w:cs="Arial"/>
          <w:color w:val="006600"/>
          <w:kern w:val="0"/>
          <w:sz w:val="20"/>
          <w:szCs w:val="20"/>
          <w:u w:val="single" w:color="006600"/>
          <w:lang w:eastAsia="en-GB"/>
          <w14:ligatures w14:val="none"/>
        </w:rPr>
        <w:instrText xml:space="preserve"> ADDIN ZOTERO_BIBL {"uncited":[],"omitted":[],"custom":[]} CSL_BIBLIOGRAPHY </w:instrText>
      </w:r>
      <w:r w:rsidRPr="00EF34C7">
        <w:rPr>
          <w:rFonts w:ascii="Arial" w:eastAsia="Arial" w:hAnsi="Arial" w:cs="Arial"/>
          <w:color w:val="006600"/>
          <w:kern w:val="0"/>
          <w:sz w:val="20"/>
          <w:szCs w:val="20"/>
          <w:u w:val="single" w:color="006600"/>
          <w:lang w:eastAsia="en-GB"/>
          <w14:ligatures w14:val="none"/>
        </w:rPr>
        <w:fldChar w:fldCharType="separate"/>
      </w:r>
      <w:r w:rsidRPr="00EF34C7">
        <w:rPr>
          <w:rFonts w:ascii="Times New Roman" w:eastAsia="Arial Unicode MS" w:hAnsi="Times New Roman" w:cs="Times New Roman"/>
          <w:kern w:val="0"/>
          <w:u w:color="004C7F"/>
          <w:bdr w:val="nil"/>
          <w:lang w:val="en-GB" w:eastAsia="en-GB"/>
          <w14:ligatures w14:val="none"/>
        </w:rPr>
        <w:t>1.</w:t>
      </w:r>
      <w:r w:rsidRPr="00EF34C7">
        <w:rPr>
          <w:rFonts w:ascii="Times New Roman" w:eastAsia="Arial Unicode MS" w:hAnsi="Times New Roman" w:cs="Times New Roman"/>
          <w:kern w:val="0"/>
          <w:u w:color="004C7F"/>
          <w:bdr w:val="nil"/>
          <w:lang w:val="en-GB" w:eastAsia="en-GB"/>
          <w14:ligatures w14:val="none"/>
        </w:rPr>
        <w:tab/>
        <w:t xml:space="preserve">GBD 2021 Collaborators. Injuries - Level 1 cause. Lancet. 2024 May 18;403(10440):1951–2262. </w:t>
      </w:r>
    </w:p>
    <w:p w14:paraId="3AEAD259"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2.</w:t>
      </w:r>
      <w:r w:rsidRPr="00EF34C7">
        <w:rPr>
          <w:rFonts w:ascii="Times New Roman" w:eastAsia="Arial Unicode MS" w:hAnsi="Times New Roman" w:cs="Times New Roman"/>
          <w:kern w:val="0"/>
          <w:u w:color="004C7F"/>
          <w:bdr w:val="nil"/>
          <w:lang w:val="en-GB" w:eastAsia="en-GB"/>
          <w14:ligatures w14:val="none"/>
        </w:rPr>
        <w:tab/>
        <w:t>Crossing the Global Quality Chasm: Improving Health Care Worldwide [Internet]. Washington, D.C.: National Academies Press; 2018 [cited 2025 Sept 29]. Available from: https://www.nap.edu/catalog/25152</w:t>
      </w:r>
    </w:p>
    <w:p w14:paraId="5D9478AC"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3.</w:t>
      </w:r>
      <w:r w:rsidRPr="00EF34C7">
        <w:rPr>
          <w:rFonts w:ascii="Times New Roman" w:eastAsia="Arial Unicode MS" w:hAnsi="Times New Roman" w:cs="Times New Roman"/>
          <w:kern w:val="0"/>
          <w:u w:color="004C7F"/>
          <w:bdr w:val="nil"/>
          <w:lang w:val="en-GB" w:eastAsia="en-GB"/>
          <w14:ligatures w14:val="none"/>
        </w:rPr>
        <w:tab/>
        <w:t xml:space="preserve">GBD 2019 Diseases and Injuries Collaborators. Global burden of 369 diseases and injuries in 204 countries and territories, 1990–2019: a systematic analysis for the Global Burden of Disease Study 2019. The Lancet. 2020 Oct;396(10258):1204–22. </w:t>
      </w:r>
    </w:p>
    <w:p w14:paraId="23E63E3F"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4.</w:t>
      </w:r>
      <w:r w:rsidRPr="00EF34C7">
        <w:rPr>
          <w:rFonts w:ascii="Times New Roman" w:eastAsia="Arial Unicode MS" w:hAnsi="Times New Roman" w:cs="Times New Roman"/>
          <w:kern w:val="0"/>
          <w:u w:color="004C7F"/>
          <w:bdr w:val="nil"/>
          <w:lang w:val="en-GB" w:eastAsia="en-GB"/>
          <w14:ligatures w14:val="none"/>
        </w:rPr>
        <w:tab/>
        <w:t xml:space="preserve">Rauf R, von Matthey F, </w:t>
      </w:r>
      <w:proofErr w:type="spellStart"/>
      <w:r w:rsidRPr="00EF34C7">
        <w:rPr>
          <w:rFonts w:ascii="Times New Roman" w:eastAsia="Arial Unicode MS" w:hAnsi="Times New Roman" w:cs="Times New Roman"/>
          <w:kern w:val="0"/>
          <w:u w:color="004C7F"/>
          <w:bdr w:val="nil"/>
          <w:lang w:val="en-GB" w:eastAsia="en-GB"/>
          <w14:ligatures w14:val="none"/>
        </w:rPr>
        <w:t>Croenlein</w:t>
      </w:r>
      <w:proofErr w:type="spellEnd"/>
      <w:r w:rsidRPr="00EF34C7">
        <w:rPr>
          <w:rFonts w:ascii="Times New Roman" w:eastAsia="Arial Unicode MS" w:hAnsi="Times New Roman" w:cs="Times New Roman"/>
          <w:kern w:val="0"/>
          <w:u w:color="004C7F"/>
          <w:bdr w:val="nil"/>
          <w:lang w:val="en-GB" w:eastAsia="en-GB"/>
          <w14:ligatures w14:val="none"/>
        </w:rPr>
        <w:t xml:space="preserve"> M, Zyskowski M, van </w:t>
      </w:r>
      <w:proofErr w:type="spellStart"/>
      <w:r w:rsidRPr="00EF34C7">
        <w:rPr>
          <w:rFonts w:ascii="Times New Roman" w:eastAsia="Arial Unicode MS" w:hAnsi="Times New Roman" w:cs="Times New Roman"/>
          <w:kern w:val="0"/>
          <w:u w:color="004C7F"/>
          <w:bdr w:val="nil"/>
          <w:lang w:val="en-GB" w:eastAsia="en-GB"/>
          <w14:ligatures w14:val="none"/>
        </w:rPr>
        <w:t>Griensven</w:t>
      </w:r>
      <w:proofErr w:type="spellEnd"/>
      <w:r w:rsidRPr="00EF34C7">
        <w:rPr>
          <w:rFonts w:ascii="Times New Roman" w:eastAsia="Arial Unicode MS" w:hAnsi="Times New Roman" w:cs="Times New Roman"/>
          <w:kern w:val="0"/>
          <w:u w:color="004C7F"/>
          <w:bdr w:val="nil"/>
          <w:lang w:val="en-GB" w:eastAsia="en-GB"/>
          <w14:ligatures w14:val="none"/>
        </w:rPr>
        <w:t xml:space="preserve"> M, </w:t>
      </w:r>
      <w:proofErr w:type="spellStart"/>
      <w:r w:rsidRPr="00EF34C7">
        <w:rPr>
          <w:rFonts w:ascii="Times New Roman" w:eastAsia="Arial Unicode MS" w:hAnsi="Times New Roman" w:cs="Times New Roman"/>
          <w:kern w:val="0"/>
          <w:u w:color="004C7F"/>
          <w:bdr w:val="nil"/>
          <w:lang w:val="en-GB" w:eastAsia="en-GB"/>
          <w14:ligatures w14:val="none"/>
        </w:rPr>
        <w:t>Biberthaler</w:t>
      </w:r>
      <w:proofErr w:type="spellEnd"/>
      <w:r w:rsidRPr="00EF34C7">
        <w:rPr>
          <w:rFonts w:ascii="Times New Roman" w:eastAsia="Arial Unicode MS" w:hAnsi="Times New Roman" w:cs="Times New Roman"/>
          <w:kern w:val="0"/>
          <w:u w:color="004C7F"/>
          <w:bdr w:val="nil"/>
          <w:lang w:val="en-GB" w:eastAsia="en-GB"/>
          <w14:ligatures w14:val="none"/>
        </w:rPr>
        <w:t xml:space="preserve"> P, et al. Changes in the temporal distribution of in-hospital mortality in severely injured patients—An analysis of the </w:t>
      </w:r>
      <w:proofErr w:type="spellStart"/>
      <w:r w:rsidRPr="00EF34C7">
        <w:rPr>
          <w:rFonts w:ascii="Times New Roman" w:eastAsia="Arial Unicode MS" w:hAnsi="Times New Roman" w:cs="Times New Roman"/>
          <w:kern w:val="0"/>
          <w:u w:color="004C7F"/>
          <w:bdr w:val="nil"/>
          <w:lang w:val="en-GB" w:eastAsia="en-GB"/>
          <w14:ligatures w14:val="none"/>
        </w:rPr>
        <w:t>TraumaRegister</w:t>
      </w:r>
      <w:proofErr w:type="spellEnd"/>
      <w:r w:rsidRPr="00EF34C7">
        <w:rPr>
          <w:rFonts w:ascii="Times New Roman" w:eastAsia="Arial Unicode MS" w:hAnsi="Times New Roman" w:cs="Times New Roman"/>
          <w:kern w:val="0"/>
          <w:u w:color="004C7F"/>
          <w:bdr w:val="nil"/>
          <w:lang w:val="en-GB" w:eastAsia="en-GB"/>
          <w14:ligatures w14:val="none"/>
        </w:rPr>
        <w:t xml:space="preserve"> DGU. Patman S, editor. PLOS ONE. 2019 Feb;14(2</w:t>
      </w:r>
      <w:proofErr w:type="gramStart"/>
      <w:r w:rsidRPr="00EF34C7">
        <w:rPr>
          <w:rFonts w:ascii="Times New Roman" w:eastAsia="Arial Unicode MS" w:hAnsi="Times New Roman" w:cs="Times New Roman"/>
          <w:kern w:val="0"/>
          <w:u w:color="004C7F"/>
          <w:bdr w:val="nil"/>
          <w:lang w:val="en-GB" w:eastAsia="en-GB"/>
          <w14:ligatures w14:val="none"/>
        </w:rPr>
        <w:t>):e</w:t>
      </w:r>
      <w:proofErr w:type="gramEnd"/>
      <w:r w:rsidRPr="00EF34C7">
        <w:rPr>
          <w:rFonts w:ascii="Times New Roman" w:eastAsia="Arial Unicode MS" w:hAnsi="Times New Roman" w:cs="Times New Roman"/>
          <w:kern w:val="0"/>
          <w:u w:color="004C7F"/>
          <w:bdr w:val="nil"/>
          <w:lang w:val="en-GB" w:eastAsia="en-GB"/>
          <w14:ligatures w14:val="none"/>
        </w:rPr>
        <w:t xml:space="preserve">0212095. </w:t>
      </w:r>
    </w:p>
    <w:p w14:paraId="52EEAF9B"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5.</w:t>
      </w:r>
      <w:r w:rsidRPr="00EF34C7">
        <w:rPr>
          <w:rFonts w:ascii="Times New Roman" w:eastAsia="Arial Unicode MS" w:hAnsi="Times New Roman" w:cs="Times New Roman"/>
          <w:kern w:val="0"/>
          <w:u w:color="004C7F"/>
          <w:bdr w:val="nil"/>
          <w:lang w:val="en-GB" w:eastAsia="en-GB"/>
          <w14:ligatures w14:val="none"/>
        </w:rPr>
        <w:tab/>
        <w:t xml:space="preserve">Roy N, </w:t>
      </w:r>
      <w:proofErr w:type="spellStart"/>
      <w:r w:rsidRPr="00EF34C7">
        <w:rPr>
          <w:rFonts w:ascii="Times New Roman" w:eastAsia="Arial Unicode MS" w:hAnsi="Times New Roman" w:cs="Times New Roman"/>
          <w:kern w:val="0"/>
          <w:u w:color="004C7F"/>
          <w:bdr w:val="nil"/>
          <w:lang w:val="en-GB" w:eastAsia="en-GB"/>
          <w14:ligatures w14:val="none"/>
        </w:rPr>
        <w:t>Kizhakke</w:t>
      </w:r>
      <w:proofErr w:type="spellEnd"/>
      <w:r w:rsidRPr="00EF34C7">
        <w:rPr>
          <w:rFonts w:ascii="Times New Roman" w:eastAsia="Arial Unicode MS" w:hAnsi="Times New Roman" w:cs="Times New Roman"/>
          <w:kern w:val="0"/>
          <w:u w:color="004C7F"/>
          <w:bdr w:val="nil"/>
          <w:lang w:val="en-GB" w:eastAsia="en-GB"/>
          <w14:ligatures w14:val="none"/>
        </w:rPr>
        <w:t xml:space="preserve"> </w:t>
      </w:r>
      <w:proofErr w:type="spellStart"/>
      <w:r w:rsidRPr="00EF34C7">
        <w:rPr>
          <w:rFonts w:ascii="Times New Roman" w:eastAsia="Arial Unicode MS" w:hAnsi="Times New Roman" w:cs="Times New Roman"/>
          <w:kern w:val="0"/>
          <w:u w:color="004C7F"/>
          <w:bdr w:val="nil"/>
          <w:lang w:val="en-GB" w:eastAsia="en-GB"/>
          <w14:ligatures w14:val="none"/>
        </w:rPr>
        <w:t>Veetil</w:t>
      </w:r>
      <w:proofErr w:type="spellEnd"/>
      <w:r w:rsidRPr="00EF34C7">
        <w:rPr>
          <w:rFonts w:ascii="Times New Roman" w:eastAsia="Arial Unicode MS" w:hAnsi="Times New Roman" w:cs="Times New Roman"/>
          <w:kern w:val="0"/>
          <w:u w:color="004C7F"/>
          <w:bdr w:val="nil"/>
          <w:lang w:val="en-GB" w:eastAsia="en-GB"/>
          <w14:ligatures w14:val="none"/>
        </w:rPr>
        <w:t xml:space="preserve"> D, </w:t>
      </w:r>
      <w:proofErr w:type="spellStart"/>
      <w:r w:rsidRPr="00EF34C7">
        <w:rPr>
          <w:rFonts w:ascii="Times New Roman" w:eastAsia="Arial Unicode MS" w:hAnsi="Times New Roman" w:cs="Times New Roman"/>
          <w:kern w:val="0"/>
          <w:u w:color="004C7F"/>
          <w:bdr w:val="nil"/>
          <w:lang w:val="en-GB" w:eastAsia="en-GB"/>
          <w14:ligatures w14:val="none"/>
        </w:rPr>
        <w:t>Khajanchi</w:t>
      </w:r>
      <w:proofErr w:type="spellEnd"/>
      <w:r w:rsidRPr="00EF34C7">
        <w:rPr>
          <w:rFonts w:ascii="Times New Roman" w:eastAsia="Arial Unicode MS" w:hAnsi="Times New Roman" w:cs="Times New Roman"/>
          <w:kern w:val="0"/>
          <w:u w:color="004C7F"/>
          <w:bdr w:val="nil"/>
          <w:lang w:val="en-GB" w:eastAsia="en-GB"/>
          <w14:ligatures w14:val="none"/>
        </w:rPr>
        <w:t xml:space="preserve"> MU, Kumar V, Solomon H, Kamble J, et al. Learning from 2523 trauma deaths in India- opportunities to prevent in-hospital deaths. BMC Health Services Research [Internet]. 2017 Feb;17(1). Available from: http://dx.doi.org/10.1186/s12913-017-2085-7</w:t>
      </w:r>
    </w:p>
    <w:p w14:paraId="29D3BA68"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lastRenderedPageBreak/>
        <w:t>6.</w:t>
      </w:r>
      <w:r w:rsidRPr="00EF34C7">
        <w:rPr>
          <w:rFonts w:ascii="Times New Roman" w:eastAsia="Arial Unicode MS" w:hAnsi="Times New Roman" w:cs="Times New Roman"/>
          <w:kern w:val="0"/>
          <w:u w:color="004C7F"/>
          <w:bdr w:val="nil"/>
          <w:lang w:val="en-GB" w:eastAsia="en-GB"/>
          <w14:ligatures w14:val="none"/>
        </w:rPr>
        <w:tab/>
      </w:r>
      <w:proofErr w:type="spellStart"/>
      <w:r w:rsidRPr="00EF34C7">
        <w:rPr>
          <w:rFonts w:ascii="Times New Roman" w:eastAsia="Arial Unicode MS" w:hAnsi="Times New Roman" w:cs="Times New Roman"/>
          <w:kern w:val="0"/>
          <w:u w:color="004C7F"/>
          <w:bdr w:val="nil"/>
          <w:lang w:val="en-GB" w:eastAsia="en-GB"/>
          <w14:ligatures w14:val="none"/>
        </w:rPr>
        <w:t>Callcut</w:t>
      </w:r>
      <w:proofErr w:type="spellEnd"/>
      <w:r w:rsidRPr="00EF34C7">
        <w:rPr>
          <w:rFonts w:ascii="Times New Roman" w:eastAsia="Arial Unicode MS" w:hAnsi="Times New Roman" w:cs="Times New Roman"/>
          <w:kern w:val="0"/>
          <w:u w:color="004C7F"/>
          <w:bdr w:val="nil"/>
          <w:lang w:val="en-GB" w:eastAsia="en-GB"/>
          <w14:ligatures w14:val="none"/>
        </w:rPr>
        <w:t xml:space="preserve"> RA, </w:t>
      </w:r>
      <w:proofErr w:type="spellStart"/>
      <w:r w:rsidRPr="00EF34C7">
        <w:rPr>
          <w:rFonts w:ascii="Times New Roman" w:eastAsia="Arial Unicode MS" w:hAnsi="Times New Roman" w:cs="Times New Roman"/>
          <w:kern w:val="0"/>
          <w:u w:color="004C7F"/>
          <w:bdr w:val="nil"/>
          <w:lang w:val="en-GB" w:eastAsia="en-GB"/>
          <w14:ligatures w14:val="none"/>
        </w:rPr>
        <w:t>Kornblith</w:t>
      </w:r>
      <w:proofErr w:type="spellEnd"/>
      <w:r w:rsidRPr="00EF34C7">
        <w:rPr>
          <w:rFonts w:ascii="Times New Roman" w:eastAsia="Arial Unicode MS" w:hAnsi="Times New Roman" w:cs="Times New Roman"/>
          <w:kern w:val="0"/>
          <w:u w:color="004C7F"/>
          <w:bdr w:val="nil"/>
          <w:lang w:val="en-GB" w:eastAsia="en-GB"/>
          <w14:ligatures w14:val="none"/>
        </w:rPr>
        <w:t xml:space="preserve"> LZ, Conroy AS, Robles AJ, </w:t>
      </w:r>
      <w:proofErr w:type="spellStart"/>
      <w:r w:rsidRPr="00EF34C7">
        <w:rPr>
          <w:rFonts w:ascii="Times New Roman" w:eastAsia="Arial Unicode MS" w:hAnsi="Times New Roman" w:cs="Times New Roman"/>
          <w:kern w:val="0"/>
          <w:u w:color="004C7F"/>
          <w:bdr w:val="nil"/>
          <w:lang w:val="en-GB" w:eastAsia="en-GB"/>
          <w14:ligatures w14:val="none"/>
        </w:rPr>
        <w:t>Meizoso</w:t>
      </w:r>
      <w:proofErr w:type="spellEnd"/>
      <w:r w:rsidRPr="00EF34C7">
        <w:rPr>
          <w:rFonts w:ascii="Times New Roman" w:eastAsia="Arial Unicode MS" w:hAnsi="Times New Roman" w:cs="Times New Roman"/>
          <w:kern w:val="0"/>
          <w:u w:color="004C7F"/>
          <w:bdr w:val="nil"/>
          <w:lang w:val="en-GB" w:eastAsia="en-GB"/>
          <w14:ligatures w14:val="none"/>
        </w:rPr>
        <w:t xml:space="preserve"> JP, Namias N, et al. The why and how our trauma patients die: A prospective </w:t>
      </w:r>
      <w:proofErr w:type="spellStart"/>
      <w:r w:rsidRPr="00EF34C7">
        <w:rPr>
          <w:rFonts w:ascii="Times New Roman" w:eastAsia="Arial Unicode MS" w:hAnsi="Times New Roman" w:cs="Times New Roman"/>
          <w:kern w:val="0"/>
          <w:u w:color="004C7F"/>
          <w:bdr w:val="nil"/>
          <w:lang w:val="en-GB" w:eastAsia="en-GB"/>
          <w14:ligatures w14:val="none"/>
        </w:rPr>
        <w:t>Multicenter</w:t>
      </w:r>
      <w:proofErr w:type="spellEnd"/>
      <w:r w:rsidRPr="00EF34C7">
        <w:rPr>
          <w:rFonts w:ascii="Times New Roman" w:eastAsia="Arial Unicode MS" w:hAnsi="Times New Roman" w:cs="Times New Roman"/>
          <w:kern w:val="0"/>
          <w:u w:color="004C7F"/>
          <w:bdr w:val="nil"/>
          <w:lang w:val="en-GB" w:eastAsia="en-GB"/>
          <w14:ligatures w14:val="none"/>
        </w:rPr>
        <w:t xml:space="preserve"> Western Trauma Association study. J Trauma Acute Care Surg. 2019 May;86(5):864–70. </w:t>
      </w:r>
    </w:p>
    <w:p w14:paraId="3AA2ED3E"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7.</w:t>
      </w:r>
      <w:r w:rsidRPr="00EF34C7">
        <w:rPr>
          <w:rFonts w:ascii="Times New Roman" w:eastAsia="Arial Unicode MS" w:hAnsi="Times New Roman" w:cs="Times New Roman"/>
          <w:kern w:val="0"/>
          <w:u w:color="004C7F"/>
          <w:bdr w:val="nil"/>
          <w:lang w:val="en-GB" w:eastAsia="en-GB"/>
          <w14:ligatures w14:val="none"/>
        </w:rPr>
        <w:tab/>
        <w:t xml:space="preserve">Ghorbani P, </w:t>
      </w:r>
      <w:proofErr w:type="spellStart"/>
      <w:r w:rsidRPr="00EF34C7">
        <w:rPr>
          <w:rFonts w:ascii="Times New Roman" w:eastAsia="Arial Unicode MS" w:hAnsi="Times New Roman" w:cs="Times New Roman"/>
          <w:kern w:val="0"/>
          <w:u w:color="004C7F"/>
          <w:bdr w:val="nil"/>
          <w:lang w:val="en-GB" w:eastAsia="en-GB"/>
          <w14:ligatures w14:val="none"/>
        </w:rPr>
        <w:t>Strömmer</w:t>
      </w:r>
      <w:proofErr w:type="spellEnd"/>
      <w:r w:rsidRPr="00EF34C7">
        <w:rPr>
          <w:rFonts w:ascii="Times New Roman" w:eastAsia="Arial Unicode MS" w:hAnsi="Times New Roman" w:cs="Times New Roman"/>
          <w:kern w:val="0"/>
          <w:u w:color="004C7F"/>
          <w:bdr w:val="nil"/>
          <w:lang w:val="en-GB" w:eastAsia="en-GB"/>
          <w14:ligatures w14:val="none"/>
        </w:rPr>
        <w:t xml:space="preserve"> L. Analysis of preventable deaths and errors in trauma care in a Scandinavian trauma </w:t>
      </w:r>
      <w:proofErr w:type="gramStart"/>
      <w:r w:rsidRPr="00EF34C7">
        <w:rPr>
          <w:rFonts w:ascii="Times New Roman" w:eastAsia="Arial Unicode MS" w:hAnsi="Times New Roman" w:cs="Times New Roman"/>
          <w:kern w:val="0"/>
          <w:u w:color="004C7F"/>
          <w:bdr w:val="nil"/>
          <w:lang w:val="en-GB" w:eastAsia="en-GB"/>
          <w14:ligatures w14:val="none"/>
        </w:rPr>
        <w:t>level-I</w:t>
      </w:r>
      <w:proofErr w:type="gramEnd"/>
      <w:r w:rsidRPr="00EF34C7">
        <w:rPr>
          <w:rFonts w:ascii="Times New Roman" w:eastAsia="Arial Unicode MS" w:hAnsi="Times New Roman" w:cs="Times New Roman"/>
          <w:kern w:val="0"/>
          <w:u w:color="004C7F"/>
          <w:bdr w:val="nil"/>
          <w:lang w:val="en-GB" w:eastAsia="en-GB"/>
          <w14:ligatures w14:val="none"/>
        </w:rPr>
        <w:t xml:space="preserve"> centre. Acta </w:t>
      </w:r>
      <w:proofErr w:type="spellStart"/>
      <w:r w:rsidRPr="00EF34C7">
        <w:rPr>
          <w:rFonts w:ascii="Times New Roman" w:eastAsia="Arial Unicode MS" w:hAnsi="Times New Roman" w:cs="Times New Roman"/>
          <w:kern w:val="0"/>
          <w:u w:color="004C7F"/>
          <w:bdr w:val="nil"/>
          <w:lang w:val="en-GB" w:eastAsia="en-GB"/>
          <w14:ligatures w14:val="none"/>
        </w:rPr>
        <w:t>Anaesthesiologica</w:t>
      </w:r>
      <w:proofErr w:type="spellEnd"/>
      <w:r w:rsidRPr="00EF34C7">
        <w:rPr>
          <w:rFonts w:ascii="Times New Roman" w:eastAsia="Arial Unicode MS" w:hAnsi="Times New Roman" w:cs="Times New Roman"/>
          <w:kern w:val="0"/>
          <w:u w:color="004C7F"/>
          <w:bdr w:val="nil"/>
          <w:lang w:val="en-GB" w:eastAsia="en-GB"/>
          <w14:ligatures w14:val="none"/>
        </w:rPr>
        <w:t xml:space="preserve"> Scandinavica. 2018 May;62(8):1146–53. </w:t>
      </w:r>
    </w:p>
    <w:p w14:paraId="1774259D"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8.</w:t>
      </w:r>
      <w:r w:rsidRPr="00EF34C7">
        <w:rPr>
          <w:rFonts w:ascii="Times New Roman" w:eastAsia="Arial Unicode MS" w:hAnsi="Times New Roman" w:cs="Times New Roman"/>
          <w:kern w:val="0"/>
          <w:u w:color="004C7F"/>
          <w:bdr w:val="nil"/>
          <w:lang w:val="en-GB" w:eastAsia="en-GB"/>
          <w14:ligatures w14:val="none"/>
        </w:rPr>
        <w:tab/>
        <w:t xml:space="preserve">Mohammad A, </w:t>
      </w:r>
      <w:proofErr w:type="spellStart"/>
      <w:r w:rsidRPr="00EF34C7">
        <w:rPr>
          <w:rFonts w:ascii="Times New Roman" w:eastAsia="Arial Unicode MS" w:hAnsi="Times New Roman" w:cs="Times New Roman"/>
          <w:kern w:val="0"/>
          <w:u w:color="004C7F"/>
          <w:bdr w:val="nil"/>
          <w:lang w:val="en-GB" w:eastAsia="en-GB"/>
          <w14:ligatures w14:val="none"/>
        </w:rPr>
        <w:t>Branicki</w:t>
      </w:r>
      <w:proofErr w:type="spellEnd"/>
      <w:r w:rsidRPr="00EF34C7">
        <w:rPr>
          <w:rFonts w:ascii="Times New Roman" w:eastAsia="Arial Unicode MS" w:hAnsi="Times New Roman" w:cs="Times New Roman"/>
          <w:kern w:val="0"/>
          <w:u w:color="004C7F"/>
          <w:bdr w:val="nil"/>
          <w:lang w:val="en-GB" w:eastAsia="en-GB"/>
          <w14:ligatures w14:val="none"/>
        </w:rPr>
        <w:t xml:space="preserve"> F, Abu-Zidan FM. Educational and Clinical Impact of Advanced Trauma Life Support (ATLS) Courses: A Systematic Review. World Journal of Surgery. 2013 Oct;38(2):322–9. </w:t>
      </w:r>
    </w:p>
    <w:p w14:paraId="5DD3B374"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9.</w:t>
      </w:r>
      <w:r w:rsidRPr="00EF34C7">
        <w:rPr>
          <w:rFonts w:ascii="Times New Roman" w:eastAsia="Arial Unicode MS" w:hAnsi="Times New Roman" w:cs="Times New Roman"/>
          <w:kern w:val="0"/>
          <w:u w:color="004C7F"/>
          <w:bdr w:val="nil"/>
          <w:lang w:val="en-GB" w:eastAsia="en-GB"/>
          <w14:ligatures w14:val="none"/>
        </w:rPr>
        <w:tab/>
        <w:t>Jayaraman S, Sethi D, Chinnock P, Wong R. Advanced trauma life support training for hospital staff. Cochrane Database of Systematic Reviews [Internet]. 2014 Aug; Available from: http://dx.doi.org/10.1002/14651858.CD004173.pub4</w:t>
      </w:r>
    </w:p>
    <w:p w14:paraId="1D98448E"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10.</w:t>
      </w:r>
      <w:r w:rsidRPr="00EF34C7">
        <w:rPr>
          <w:rFonts w:ascii="Times New Roman" w:eastAsia="Arial Unicode MS" w:hAnsi="Times New Roman" w:cs="Times New Roman"/>
          <w:kern w:val="0"/>
          <w:u w:color="004C7F"/>
          <w:bdr w:val="nil"/>
          <w:lang w:val="en-GB" w:eastAsia="en-GB"/>
          <w14:ligatures w14:val="none"/>
        </w:rPr>
        <w:tab/>
        <w:t xml:space="preserve">Kadhum M, Sinclair P, Lavy C. Are Primary Trauma Care (PTC) courses beneficial in low- and middle-income countries - A systematic review. Injury. 2020 Feb;51(2):136–41. </w:t>
      </w:r>
    </w:p>
    <w:p w14:paraId="758AC623"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11.</w:t>
      </w:r>
      <w:r w:rsidRPr="00EF34C7">
        <w:rPr>
          <w:rFonts w:ascii="Times New Roman" w:eastAsia="Arial Unicode MS" w:hAnsi="Times New Roman" w:cs="Times New Roman"/>
          <w:kern w:val="0"/>
          <w:u w:color="004C7F"/>
          <w:bdr w:val="nil"/>
          <w:lang w:val="en-GB" w:eastAsia="en-GB"/>
          <w14:ligatures w14:val="none"/>
        </w:rPr>
        <w:tab/>
        <w:t xml:space="preserve">Jin J, </w:t>
      </w:r>
      <w:proofErr w:type="spellStart"/>
      <w:r w:rsidRPr="00EF34C7">
        <w:rPr>
          <w:rFonts w:ascii="Times New Roman" w:eastAsia="Arial Unicode MS" w:hAnsi="Times New Roman" w:cs="Times New Roman"/>
          <w:kern w:val="0"/>
          <w:u w:color="004C7F"/>
          <w:bdr w:val="nil"/>
          <w:lang w:val="en-GB" w:eastAsia="en-GB"/>
          <w14:ligatures w14:val="none"/>
        </w:rPr>
        <w:t>Akau’ola</w:t>
      </w:r>
      <w:proofErr w:type="spellEnd"/>
      <w:r w:rsidRPr="00EF34C7">
        <w:rPr>
          <w:rFonts w:ascii="Times New Roman" w:eastAsia="Arial Unicode MS" w:hAnsi="Times New Roman" w:cs="Times New Roman"/>
          <w:kern w:val="0"/>
          <w:u w:color="004C7F"/>
          <w:bdr w:val="nil"/>
          <w:lang w:val="en-GB" w:eastAsia="en-GB"/>
          <w14:ligatures w14:val="none"/>
        </w:rPr>
        <w:t xml:space="preserve"> S, Yip CH, </w:t>
      </w:r>
      <w:proofErr w:type="spellStart"/>
      <w:r w:rsidRPr="00EF34C7">
        <w:rPr>
          <w:rFonts w:ascii="Times New Roman" w:eastAsia="Arial Unicode MS" w:hAnsi="Times New Roman" w:cs="Times New Roman"/>
          <w:kern w:val="0"/>
          <w:u w:color="004C7F"/>
          <w:bdr w:val="nil"/>
          <w:lang w:val="en-GB" w:eastAsia="en-GB"/>
          <w14:ligatures w14:val="none"/>
        </w:rPr>
        <w:t>Nthumba</w:t>
      </w:r>
      <w:proofErr w:type="spellEnd"/>
      <w:r w:rsidRPr="00EF34C7">
        <w:rPr>
          <w:rFonts w:ascii="Times New Roman" w:eastAsia="Arial Unicode MS" w:hAnsi="Times New Roman" w:cs="Times New Roman"/>
          <w:kern w:val="0"/>
          <w:u w:color="004C7F"/>
          <w:bdr w:val="nil"/>
          <w:lang w:val="en-GB" w:eastAsia="en-GB"/>
          <w14:ligatures w14:val="none"/>
        </w:rPr>
        <w:t xml:space="preserve"> P, Ameh EA, de Jonge S, et al. Effectiveness of Quality Improvement Processes, Interventions, and Structure in Trauma Systems in Low- and Middle-Income Countries: A Systematic Review and Meta-analysis. World Journal of Surgery. 2021 Apr;45(7):1982–98. </w:t>
      </w:r>
    </w:p>
    <w:p w14:paraId="67E022A6"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12.</w:t>
      </w:r>
      <w:r w:rsidRPr="00EF34C7">
        <w:rPr>
          <w:rFonts w:ascii="Times New Roman" w:eastAsia="Arial Unicode MS" w:hAnsi="Times New Roman" w:cs="Times New Roman"/>
          <w:kern w:val="0"/>
          <w:u w:color="004C7F"/>
          <w:bdr w:val="nil"/>
          <w:lang w:val="en-GB" w:eastAsia="en-GB"/>
          <w14:ligatures w14:val="none"/>
        </w:rPr>
        <w:tab/>
        <w:t xml:space="preserve">McIver R, Erdogan M, Parker R, Evans A, Green R, Gomez D, et al. Effect of trauma quality improvement initiatives on outcomes and costs at community hospitals: A scoping review. Injury. 2024 June;55(6):111492. </w:t>
      </w:r>
    </w:p>
    <w:p w14:paraId="1C9E36C3"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13.</w:t>
      </w:r>
      <w:r w:rsidRPr="00EF34C7">
        <w:rPr>
          <w:rFonts w:ascii="Times New Roman" w:eastAsia="Arial Unicode MS" w:hAnsi="Times New Roman" w:cs="Times New Roman"/>
          <w:kern w:val="0"/>
          <w:u w:color="004C7F"/>
          <w:bdr w:val="nil"/>
          <w:lang w:val="en-GB" w:eastAsia="en-GB"/>
          <w14:ligatures w14:val="none"/>
        </w:rPr>
        <w:tab/>
        <w:t xml:space="preserve">American College of Surgeons C on T. Advanced Trauma Life Support® Student Course Manual. 10th </w:t>
      </w:r>
      <w:proofErr w:type="spellStart"/>
      <w:r w:rsidRPr="00EF34C7">
        <w:rPr>
          <w:rFonts w:ascii="Times New Roman" w:eastAsia="Arial Unicode MS" w:hAnsi="Times New Roman" w:cs="Times New Roman"/>
          <w:kern w:val="0"/>
          <w:u w:color="004C7F"/>
          <w:bdr w:val="nil"/>
          <w:lang w:val="en-GB" w:eastAsia="en-GB"/>
          <w14:ligatures w14:val="none"/>
        </w:rPr>
        <w:t>edn</w:t>
      </w:r>
      <w:proofErr w:type="spellEnd"/>
      <w:r w:rsidRPr="00EF34C7">
        <w:rPr>
          <w:rFonts w:ascii="Times New Roman" w:eastAsia="Arial Unicode MS" w:hAnsi="Times New Roman" w:cs="Times New Roman"/>
          <w:kern w:val="0"/>
          <w:u w:color="004C7F"/>
          <w:bdr w:val="nil"/>
          <w:lang w:val="en-GB" w:eastAsia="en-GB"/>
          <w14:ligatures w14:val="none"/>
        </w:rPr>
        <w:t xml:space="preserve">. 633 N. Saint Clair Street, Chicago, IL 60611-3211: American College of Surgeons; 2018. </w:t>
      </w:r>
    </w:p>
    <w:p w14:paraId="7CA7A55C"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14.</w:t>
      </w:r>
      <w:r w:rsidRPr="00EF34C7">
        <w:rPr>
          <w:rFonts w:ascii="Times New Roman" w:eastAsia="Arial Unicode MS" w:hAnsi="Times New Roman" w:cs="Times New Roman"/>
          <w:kern w:val="0"/>
          <w:u w:color="004C7F"/>
          <w:bdr w:val="nil"/>
          <w:lang w:val="en-GB" w:eastAsia="en-GB"/>
          <w14:ligatures w14:val="none"/>
        </w:rPr>
        <w:tab/>
        <w:t xml:space="preserve">American College of Surgeons. Resources for Optimal Care of the Injured Patient. Chicago, IL 60611-3295: American College of Surgeons; 2022. </w:t>
      </w:r>
    </w:p>
    <w:p w14:paraId="467FC869"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15.</w:t>
      </w:r>
      <w:r w:rsidRPr="00EF34C7">
        <w:rPr>
          <w:rFonts w:ascii="Times New Roman" w:eastAsia="Arial Unicode MS" w:hAnsi="Times New Roman" w:cs="Times New Roman"/>
          <w:kern w:val="0"/>
          <w:u w:color="004C7F"/>
          <w:bdr w:val="nil"/>
          <w:lang w:val="en-GB" w:eastAsia="en-GB"/>
          <w14:ligatures w14:val="none"/>
        </w:rPr>
        <w:tab/>
        <w:t xml:space="preserve">Ali J, Cohen R, Reznick R. Demonstration of Acquisition of Trauma Management Skills by Senior Medical Students Completing the ATLS Program. The Journal of Trauma: Injury, Infection, and Critical Care. 1995 May;38(5):687–91. </w:t>
      </w:r>
    </w:p>
    <w:p w14:paraId="2F384614"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16.</w:t>
      </w:r>
      <w:r w:rsidRPr="00EF34C7">
        <w:rPr>
          <w:rFonts w:ascii="Times New Roman" w:eastAsia="Arial Unicode MS" w:hAnsi="Times New Roman" w:cs="Times New Roman"/>
          <w:kern w:val="0"/>
          <w:u w:color="004C7F"/>
          <w:bdr w:val="nil"/>
          <w:lang w:val="en-GB" w:eastAsia="en-GB"/>
          <w14:ligatures w14:val="none"/>
        </w:rPr>
        <w:tab/>
        <w:t xml:space="preserve">Ali J, Cohen R, Adam R, Theophilus J. G, Pierre I, </w:t>
      </w:r>
      <w:proofErr w:type="spellStart"/>
      <w:r w:rsidRPr="00EF34C7">
        <w:rPr>
          <w:rFonts w:ascii="Times New Roman" w:eastAsia="Arial Unicode MS" w:hAnsi="Times New Roman" w:cs="Times New Roman"/>
          <w:kern w:val="0"/>
          <w:u w:color="004C7F"/>
          <w:bdr w:val="nil"/>
          <w:lang w:val="en-GB" w:eastAsia="en-GB"/>
          <w14:ligatures w14:val="none"/>
        </w:rPr>
        <w:t>Bedaysie</w:t>
      </w:r>
      <w:proofErr w:type="spellEnd"/>
      <w:r w:rsidRPr="00EF34C7">
        <w:rPr>
          <w:rFonts w:ascii="Times New Roman" w:eastAsia="Arial Unicode MS" w:hAnsi="Times New Roman" w:cs="Times New Roman"/>
          <w:kern w:val="0"/>
          <w:u w:color="004C7F"/>
          <w:bdr w:val="nil"/>
          <w:lang w:val="en-GB" w:eastAsia="en-GB"/>
          <w14:ligatures w14:val="none"/>
        </w:rPr>
        <w:t xml:space="preserve"> H, et al. Teaching Effectiveness of the Advanced Trauma Life Support Program as Demonstrated by an Objective Structured Clinical Examination for Practicing Physicians. World Journal of Surgery. 1996 Oct;20(8):1121–6. </w:t>
      </w:r>
    </w:p>
    <w:p w14:paraId="1CE53041"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17.</w:t>
      </w:r>
      <w:r w:rsidRPr="00EF34C7">
        <w:rPr>
          <w:rFonts w:ascii="Times New Roman" w:eastAsia="Arial Unicode MS" w:hAnsi="Times New Roman" w:cs="Times New Roman"/>
          <w:kern w:val="0"/>
          <w:u w:color="004C7F"/>
          <w:bdr w:val="nil"/>
          <w:lang w:val="en-GB" w:eastAsia="en-GB"/>
          <w14:ligatures w14:val="none"/>
        </w:rPr>
        <w:tab/>
        <w:t xml:space="preserve">Ali J, Adam RU, Josa D, Pierre I, </w:t>
      </w:r>
      <w:proofErr w:type="spellStart"/>
      <w:r w:rsidRPr="00EF34C7">
        <w:rPr>
          <w:rFonts w:ascii="Times New Roman" w:eastAsia="Arial Unicode MS" w:hAnsi="Times New Roman" w:cs="Times New Roman"/>
          <w:kern w:val="0"/>
          <w:u w:color="004C7F"/>
          <w:bdr w:val="nil"/>
          <w:lang w:val="en-GB" w:eastAsia="en-GB"/>
          <w14:ligatures w14:val="none"/>
        </w:rPr>
        <w:t>Bedaysie</w:t>
      </w:r>
      <w:proofErr w:type="spellEnd"/>
      <w:r w:rsidRPr="00EF34C7">
        <w:rPr>
          <w:rFonts w:ascii="Times New Roman" w:eastAsia="Arial Unicode MS" w:hAnsi="Times New Roman" w:cs="Times New Roman"/>
          <w:kern w:val="0"/>
          <w:u w:color="004C7F"/>
          <w:bdr w:val="nil"/>
          <w:lang w:val="en-GB" w:eastAsia="en-GB"/>
          <w14:ligatures w14:val="none"/>
        </w:rPr>
        <w:t xml:space="preserve"> H, West U, et al. Comparison of Performance of Interns Completing the Old (1993) and New Interactive (1997) Advanced Trauma Life Support Courses. The Journal of Trauma: Injury, Infection, and Critical Care. 1999 Jan;46(1):80–6. </w:t>
      </w:r>
    </w:p>
    <w:p w14:paraId="1F78EFED"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18.</w:t>
      </w:r>
      <w:r w:rsidRPr="00EF34C7">
        <w:rPr>
          <w:rFonts w:ascii="Times New Roman" w:eastAsia="Arial Unicode MS" w:hAnsi="Times New Roman" w:cs="Times New Roman"/>
          <w:kern w:val="0"/>
          <w:u w:color="004C7F"/>
          <w:bdr w:val="nil"/>
          <w:lang w:val="en-GB" w:eastAsia="en-GB"/>
          <w14:ligatures w14:val="none"/>
        </w:rPr>
        <w:tab/>
        <w:t xml:space="preserve">Putra AB, </w:t>
      </w:r>
      <w:proofErr w:type="spellStart"/>
      <w:r w:rsidRPr="00EF34C7">
        <w:rPr>
          <w:rFonts w:ascii="Times New Roman" w:eastAsia="Arial Unicode MS" w:hAnsi="Times New Roman" w:cs="Times New Roman"/>
          <w:kern w:val="0"/>
          <w:u w:color="004C7F"/>
          <w:bdr w:val="nil"/>
          <w:lang w:val="en-GB" w:eastAsia="en-GB"/>
          <w14:ligatures w14:val="none"/>
        </w:rPr>
        <w:t>Nurachman</w:t>
      </w:r>
      <w:proofErr w:type="spellEnd"/>
      <w:r w:rsidRPr="00EF34C7">
        <w:rPr>
          <w:rFonts w:ascii="Times New Roman" w:eastAsia="Arial Unicode MS" w:hAnsi="Times New Roman" w:cs="Times New Roman"/>
          <w:kern w:val="0"/>
          <w:u w:color="004C7F"/>
          <w:bdr w:val="nil"/>
          <w:lang w:val="en-GB" w:eastAsia="en-GB"/>
          <w14:ligatures w14:val="none"/>
        </w:rPr>
        <w:t xml:space="preserve"> LA, </w:t>
      </w:r>
      <w:proofErr w:type="spellStart"/>
      <w:r w:rsidRPr="00EF34C7">
        <w:rPr>
          <w:rFonts w:ascii="Times New Roman" w:eastAsia="Arial Unicode MS" w:hAnsi="Times New Roman" w:cs="Times New Roman"/>
          <w:kern w:val="0"/>
          <w:u w:color="004C7F"/>
          <w:bdr w:val="nil"/>
          <w:lang w:val="en-GB" w:eastAsia="en-GB"/>
          <w14:ligatures w14:val="none"/>
        </w:rPr>
        <w:t>Suryawiditya</w:t>
      </w:r>
      <w:proofErr w:type="spellEnd"/>
      <w:r w:rsidRPr="00EF34C7">
        <w:rPr>
          <w:rFonts w:ascii="Times New Roman" w:eastAsia="Arial Unicode MS" w:hAnsi="Times New Roman" w:cs="Times New Roman"/>
          <w:kern w:val="0"/>
          <w:u w:color="004C7F"/>
          <w:bdr w:val="nil"/>
          <w:lang w:val="en-GB" w:eastAsia="en-GB"/>
          <w14:ligatures w14:val="none"/>
        </w:rPr>
        <w:t xml:space="preserve"> BA, </w:t>
      </w:r>
      <w:proofErr w:type="spellStart"/>
      <w:r w:rsidRPr="00EF34C7">
        <w:rPr>
          <w:rFonts w:ascii="Times New Roman" w:eastAsia="Arial Unicode MS" w:hAnsi="Times New Roman" w:cs="Times New Roman"/>
          <w:kern w:val="0"/>
          <w:u w:color="004C7F"/>
          <w:bdr w:val="nil"/>
          <w:lang w:val="en-GB" w:eastAsia="en-GB"/>
          <w14:ligatures w14:val="none"/>
        </w:rPr>
        <w:t>Risyaldi</w:t>
      </w:r>
      <w:proofErr w:type="spellEnd"/>
      <w:r w:rsidRPr="00EF34C7">
        <w:rPr>
          <w:rFonts w:ascii="Times New Roman" w:eastAsia="Arial Unicode MS" w:hAnsi="Times New Roman" w:cs="Times New Roman"/>
          <w:kern w:val="0"/>
          <w:u w:color="004C7F"/>
          <w:bdr w:val="nil"/>
          <w:lang w:val="en-GB" w:eastAsia="en-GB"/>
          <w14:ligatures w14:val="none"/>
        </w:rPr>
        <w:t xml:space="preserve"> M, </w:t>
      </w:r>
      <w:proofErr w:type="spellStart"/>
      <w:r w:rsidRPr="00EF34C7">
        <w:rPr>
          <w:rFonts w:ascii="Times New Roman" w:eastAsia="Arial Unicode MS" w:hAnsi="Times New Roman" w:cs="Times New Roman"/>
          <w:kern w:val="0"/>
          <w:u w:color="004C7F"/>
          <w:bdr w:val="nil"/>
          <w:lang w:val="en-GB" w:eastAsia="en-GB"/>
          <w14:ligatures w14:val="none"/>
        </w:rPr>
        <w:t>Sihardo</w:t>
      </w:r>
      <w:proofErr w:type="spellEnd"/>
      <w:r w:rsidRPr="00EF34C7">
        <w:rPr>
          <w:rFonts w:ascii="Times New Roman" w:eastAsia="Arial Unicode MS" w:hAnsi="Times New Roman" w:cs="Times New Roman"/>
          <w:kern w:val="0"/>
          <w:u w:color="004C7F"/>
          <w:bdr w:val="nil"/>
          <w:lang w:val="en-GB" w:eastAsia="en-GB"/>
          <w14:ligatures w14:val="none"/>
        </w:rPr>
        <w:t xml:space="preserve"> L. Impact of Advanced Trauma Life Support Training for Improving Mortality Outcome: A Systematic Review and Meta-analysis. The New </w:t>
      </w:r>
      <w:proofErr w:type="spellStart"/>
      <w:r w:rsidRPr="00EF34C7">
        <w:rPr>
          <w:rFonts w:ascii="Times New Roman" w:eastAsia="Arial Unicode MS" w:hAnsi="Times New Roman" w:cs="Times New Roman"/>
          <w:kern w:val="0"/>
          <w:u w:color="004C7F"/>
          <w:bdr w:val="nil"/>
          <w:lang w:val="en-GB" w:eastAsia="en-GB"/>
          <w14:ligatures w14:val="none"/>
        </w:rPr>
        <w:t>Ropanasury</w:t>
      </w:r>
      <w:proofErr w:type="spellEnd"/>
      <w:r w:rsidRPr="00EF34C7">
        <w:rPr>
          <w:rFonts w:ascii="Times New Roman" w:eastAsia="Arial Unicode MS" w:hAnsi="Times New Roman" w:cs="Times New Roman"/>
          <w:kern w:val="0"/>
          <w:u w:color="004C7F"/>
          <w:bdr w:val="nil"/>
          <w:lang w:val="en-GB" w:eastAsia="en-GB"/>
          <w14:ligatures w14:val="none"/>
        </w:rPr>
        <w:t xml:space="preserve"> Journal of Surgery [Internet]. 2023 June;8(2). Available from: http://dx.doi.org/10.7454/nrjs.v8i2.1152</w:t>
      </w:r>
    </w:p>
    <w:p w14:paraId="7D99276B"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lastRenderedPageBreak/>
        <w:t>19.</w:t>
      </w:r>
      <w:r w:rsidRPr="00EF34C7">
        <w:rPr>
          <w:rFonts w:ascii="Times New Roman" w:eastAsia="Arial Unicode MS" w:hAnsi="Times New Roman" w:cs="Times New Roman"/>
          <w:kern w:val="0"/>
          <w:u w:color="004C7F"/>
          <w:bdr w:val="nil"/>
          <w:lang w:val="en-GB" w:eastAsia="en-GB"/>
          <w14:ligatures w14:val="none"/>
        </w:rPr>
        <w:tab/>
        <w:t xml:space="preserve">Vestrup JA, </w:t>
      </w:r>
      <w:proofErr w:type="spellStart"/>
      <w:r w:rsidRPr="00EF34C7">
        <w:rPr>
          <w:rFonts w:ascii="Times New Roman" w:eastAsia="Arial Unicode MS" w:hAnsi="Times New Roman" w:cs="Times New Roman"/>
          <w:kern w:val="0"/>
          <w:u w:color="004C7F"/>
          <w:bdr w:val="nil"/>
          <w:lang w:val="en-GB" w:eastAsia="en-GB"/>
          <w14:ligatures w14:val="none"/>
        </w:rPr>
        <w:t>Stormorken</w:t>
      </w:r>
      <w:proofErr w:type="spellEnd"/>
      <w:r w:rsidRPr="00EF34C7">
        <w:rPr>
          <w:rFonts w:ascii="Times New Roman" w:eastAsia="Arial Unicode MS" w:hAnsi="Times New Roman" w:cs="Times New Roman"/>
          <w:kern w:val="0"/>
          <w:u w:color="004C7F"/>
          <w:bdr w:val="nil"/>
          <w:lang w:val="en-GB" w:eastAsia="en-GB"/>
          <w14:ligatures w14:val="none"/>
        </w:rPr>
        <w:t xml:space="preserve"> A, Wood V. Impact of advanced trauma life support training on early trauma management. The American Journal of Surgery. 1988 May;155(5):704–7. </w:t>
      </w:r>
    </w:p>
    <w:p w14:paraId="778A2948"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20.</w:t>
      </w:r>
      <w:r w:rsidRPr="00EF34C7">
        <w:rPr>
          <w:rFonts w:ascii="Times New Roman" w:eastAsia="Arial Unicode MS" w:hAnsi="Times New Roman" w:cs="Times New Roman"/>
          <w:kern w:val="0"/>
          <w:u w:color="004C7F"/>
          <w:bdr w:val="nil"/>
          <w:lang w:val="en-GB" w:eastAsia="en-GB"/>
          <w14:ligatures w14:val="none"/>
        </w:rPr>
        <w:tab/>
        <w:t xml:space="preserve">Ali J, Adam R, Butler AK, Chang H, Howard M, Gonsalves D, et al. Trauma outcome improves following the advanced trauma life support program in a developing country. The Journal of Trauma: Injury, Infection, and Critical Care. 1993 June;34(6):890–9. </w:t>
      </w:r>
    </w:p>
    <w:p w14:paraId="0A5EA147"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21.</w:t>
      </w:r>
      <w:r w:rsidRPr="00EF34C7">
        <w:rPr>
          <w:rFonts w:ascii="Times New Roman" w:eastAsia="Arial Unicode MS" w:hAnsi="Times New Roman" w:cs="Times New Roman"/>
          <w:kern w:val="0"/>
          <w:u w:color="004C7F"/>
          <w:bdr w:val="nil"/>
          <w:lang w:val="en-GB" w:eastAsia="en-GB"/>
          <w14:ligatures w14:val="none"/>
        </w:rPr>
        <w:tab/>
        <w:t xml:space="preserve">van Olden GDJ, Dik Meeuwis J, Bolhuis HW, </w:t>
      </w:r>
      <w:proofErr w:type="spellStart"/>
      <w:r w:rsidRPr="00EF34C7">
        <w:rPr>
          <w:rFonts w:ascii="Times New Roman" w:eastAsia="Arial Unicode MS" w:hAnsi="Times New Roman" w:cs="Times New Roman"/>
          <w:kern w:val="0"/>
          <w:u w:color="004C7F"/>
          <w:bdr w:val="nil"/>
          <w:lang w:val="en-GB" w:eastAsia="en-GB"/>
          <w14:ligatures w14:val="none"/>
        </w:rPr>
        <w:t>Boxma</w:t>
      </w:r>
      <w:proofErr w:type="spellEnd"/>
      <w:r w:rsidRPr="00EF34C7">
        <w:rPr>
          <w:rFonts w:ascii="Times New Roman" w:eastAsia="Arial Unicode MS" w:hAnsi="Times New Roman" w:cs="Times New Roman"/>
          <w:kern w:val="0"/>
          <w:u w:color="004C7F"/>
          <w:bdr w:val="nil"/>
          <w:lang w:val="en-GB" w:eastAsia="en-GB"/>
          <w14:ligatures w14:val="none"/>
        </w:rPr>
        <w:t xml:space="preserve"> H, Goris RJA. Clinical impact of advanced trauma life support. The American Journal of Emergency Medicine. 2004 Nov;22(7):522–5. </w:t>
      </w:r>
    </w:p>
    <w:p w14:paraId="6B5DC67B"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22.</w:t>
      </w:r>
      <w:r w:rsidRPr="00EF34C7">
        <w:rPr>
          <w:rFonts w:ascii="Times New Roman" w:eastAsia="Arial Unicode MS" w:hAnsi="Times New Roman" w:cs="Times New Roman"/>
          <w:kern w:val="0"/>
          <w:u w:color="004C7F"/>
          <w:bdr w:val="nil"/>
          <w:lang w:val="en-GB" w:eastAsia="en-GB"/>
          <w14:ligatures w14:val="none"/>
        </w:rPr>
        <w:tab/>
        <w:t xml:space="preserve">Wang P, Li NP, Gu YF, Lu XB, Cong JN, Yang X, et al. Comparison of severe trauma care effect before and after advanced trauma life support training. Chinese Journal of Traumatology. 2010 Dec;13(6):341–4. </w:t>
      </w:r>
    </w:p>
    <w:p w14:paraId="0794448A"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23.</w:t>
      </w:r>
      <w:r w:rsidRPr="00EF34C7">
        <w:rPr>
          <w:rFonts w:ascii="Times New Roman" w:eastAsia="Arial Unicode MS" w:hAnsi="Times New Roman" w:cs="Times New Roman"/>
          <w:kern w:val="0"/>
          <w:u w:color="004C7F"/>
          <w:bdr w:val="nil"/>
          <w:lang w:val="en-GB" w:eastAsia="en-GB"/>
          <w14:ligatures w14:val="none"/>
        </w:rPr>
        <w:tab/>
        <w:t xml:space="preserve">Noordin S, Allana S, Ahmad T, Bhatti A ul A, Zafar H, Wajid MA. Evolution of trauma management at a tertiary care hospital: A cohort study. International Journal of Surgery. 2011;9(1):75–8. </w:t>
      </w:r>
    </w:p>
    <w:p w14:paraId="5E160C2B"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24.</w:t>
      </w:r>
      <w:r w:rsidRPr="00EF34C7">
        <w:rPr>
          <w:rFonts w:ascii="Times New Roman" w:eastAsia="Arial Unicode MS" w:hAnsi="Times New Roman" w:cs="Times New Roman"/>
          <w:kern w:val="0"/>
          <w:u w:color="004C7F"/>
          <w:bdr w:val="nil"/>
          <w:lang w:val="en-GB" w:eastAsia="en-GB"/>
          <w14:ligatures w14:val="none"/>
        </w:rPr>
        <w:tab/>
        <w:t xml:space="preserve">Hashmi ZG, Haider AH, Zafar SN, </w:t>
      </w:r>
      <w:proofErr w:type="spellStart"/>
      <w:r w:rsidRPr="00EF34C7">
        <w:rPr>
          <w:rFonts w:ascii="Times New Roman" w:eastAsia="Arial Unicode MS" w:hAnsi="Times New Roman" w:cs="Times New Roman"/>
          <w:kern w:val="0"/>
          <w:u w:color="004C7F"/>
          <w:bdr w:val="nil"/>
          <w:lang w:val="en-GB" w:eastAsia="en-GB"/>
          <w14:ligatures w14:val="none"/>
        </w:rPr>
        <w:t>Kisat</w:t>
      </w:r>
      <w:proofErr w:type="spellEnd"/>
      <w:r w:rsidRPr="00EF34C7">
        <w:rPr>
          <w:rFonts w:ascii="Times New Roman" w:eastAsia="Arial Unicode MS" w:hAnsi="Times New Roman" w:cs="Times New Roman"/>
          <w:kern w:val="0"/>
          <w:u w:color="004C7F"/>
          <w:bdr w:val="nil"/>
          <w:lang w:val="en-GB" w:eastAsia="en-GB"/>
          <w14:ligatures w14:val="none"/>
        </w:rPr>
        <w:t xml:space="preserve"> M, Moosa A, Siddiqui F, et al. Hospital-based trauma quality improvement initiatives: First step toward improving trauma outcomes in the developing world. Journal of Trauma and Acute Care Surgery. 2013 July;75(1):60–8. </w:t>
      </w:r>
    </w:p>
    <w:p w14:paraId="0EDDA3A4"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25.</w:t>
      </w:r>
      <w:r w:rsidRPr="00EF34C7">
        <w:rPr>
          <w:rFonts w:ascii="Times New Roman" w:eastAsia="Arial Unicode MS" w:hAnsi="Times New Roman" w:cs="Times New Roman"/>
          <w:kern w:val="0"/>
          <w:u w:color="004C7F"/>
          <w:bdr w:val="nil"/>
          <w:lang w:val="en-GB" w:eastAsia="en-GB"/>
          <w14:ligatures w14:val="none"/>
        </w:rPr>
        <w:tab/>
      </w:r>
      <w:proofErr w:type="spellStart"/>
      <w:r w:rsidRPr="00EF34C7">
        <w:rPr>
          <w:rFonts w:ascii="Times New Roman" w:eastAsia="Arial Unicode MS" w:hAnsi="Times New Roman" w:cs="Times New Roman"/>
          <w:kern w:val="0"/>
          <w:u w:color="004C7F"/>
          <w:bdr w:val="nil"/>
          <w:lang w:val="en-GB" w:eastAsia="en-GB"/>
          <w14:ligatures w14:val="none"/>
        </w:rPr>
        <w:t>Petroze</w:t>
      </w:r>
      <w:proofErr w:type="spellEnd"/>
      <w:r w:rsidRPr="00EF34C7">
        <w:rPr>
          <w:rFonts w:ascii="Times New Roman" w:eastAsia="Arial Unicode MS" w:hAnsi="Times New Roman" w:cs="Times New Roman"/>
          <w:kern w:val="0"/>
          <w:u w:color="004C7F"/>
          <w:bdr w:val="nil"/>
          <w:lang w:val="en-GB" w:eastAsia="en-GB"/>
          <w14:ligatures w14:val="none"/>
        </w:rPr>
        <w:t xml:space="preserve"> RT, </w:t>
      </w:r>
      <w:proofErr w:type="spellStart"/>
      <w:r w:rsidRPr="00EF34C7">
        <w:rPr>
          <w:rFonts w:ascii="Times New Roman" w:eastAsia="Arial Unicode MS" w:hAnsi="Times New Roman" w:cs="Times New Roman"/>
          <w:kern w:val="0"/>
          <w:u w:color="004C7F"/>
          <w:bdr w:val="nil"/>
          <w:lang w:val="en-GB" w:eastAsia="en-GB"/>
          <w14:ligatures w14:val="none"/>
        </w:rPr>
        <w:t>Byiringiro</w:t>
      </w:r>
      <w:proofErr w:type="spellEnd"/>
      <w:r w:rsidRPr="00EF34C7">
        <w:rPr>
          <w:rFonts w:ascii="Times New Roman" w:eastAsia="Arial Unicode MS" w:hAnsi="Times New Roman" w:cs="Times New Roman"/>
          <w:kern w:val="0"/>
          <w:u w:color="004C7F"/>
          <w:bdr w:val="nil"/>
          <w:lang w:val="en-GB" w:eastAsia="en-GB"/>
          <w14:ligatures w14:val="none"/>
        </w:rPr>
        <w:t xml:space="preserve"> JC, </w:t>
      </w:r>
      <w:proofErr w:type="spellStart"/>
      <w:r w:rsidRPr="00EF34C7">
        <w:rPr>
          <w:rFonts w:ascii="Times New Roman" w:eastAsia="Arial Unicode MS" w:hAnsi="Times New Roman" w:cs="Times New Roman"/>
          <w:kern w:val="0"/>
          <w:u w:color="004C7F"/>
          <w:bdr w:val="nil"/>
          <w:lang w:val="en-GB" w:eastAsia="en-GB"/>
          <w14:ligatures w14:val="none"/>
        </w:rPr>
        <w:t>Ntakiyiruta</w:t>
      </w:r>
      <w:proofErr w:type="spellEnd"/>
      <w:r w:rsidRPr="00EF34C7">
        <w:rPr>
          <w:rFonts w:ascii="Times New Roman" w:eastAsia="Arial Unicode MS" w:hAnsi="Times New Roman" w:cs="Times New Roman"/>
          <w:kern w:val="0"/>
          <w:u w:color="004C7F"/>
          <w:bdr w:val="nil"/>
          <w:lang w:val="en-GB" w:eastAsia="en-GB"/>
          <w14:ligatures w14:val="none"/>
        </w:rPr>
        <w:t xml:space="preserve"> G, Briggs SM, Deckelbaum DL, Razek T, et al. Can Focused Trauma Education Initiatives Reduce Mortality or Improve Resource Utilization in a Low-Resource Setting? World Journal of Surgery. 2014 Dec;39(4):926–33. </w:t>
      </w:r>
    </w:p>
    <w:p w14:paraId="67DB9222"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26.</w:t>
      </w:r>
      <w:r w:rsidRPr="00EF34C7">
        <w:rPr>
          <w:rFonts w:ascii="Times New Roman" w:eastAsia="Arial Unicode MS" w:hAnsi="Times New Roman" w:cs="Times New Roman"/>
          <w:kern w:val="0"/>
          <w:u w:color="004C7F"/>
          <w:bdr w:val="nil"/>
          <w:lang w:val="en-GB" w:eastAsia="en-GB"/>
          <w14:ligatures w14:val="none"/>
        </w:rPr>
        <w:tab/>
        <w:t xml:space="preserve">Bellanova G, </w:t>
      </w:r>
      <w:proofErr w:type="spellStart"/>
      <w:r w:rsidRPr="00EF34C7">
        <w:rPr>
          <w:rFonts w:ascii="Times New Roman" w:eastAsia="Arial Unicode MS" w:hAnsi="Times New Roman" w:cs="Times New Roman"/>
          <w:kern w:val="0"/>
          <w:u w:color="004C7F"/>
          <w:bdr w:val="nil"/>
          <w:lang w:val="en-GB" w:eastAsia="en-GB"/>
          <w14:ligatures w14:val="none"/>
        </w:rPr>
        <w:t>Buccelletti</w:t>
      </w:r>
      <w:proofErr w:type="spellEnd"/>
      <w:r w:rsidRPr="00EF34C7">
        <w:rPr>
          <w:rFonts w:ascii="Times New Roman" w:eastAsia="Arial Unicode MS" w:hAnsi="Times New Roman" w:cs="Times New Roman"/>
          <w:kern w:val="0"/>
          <w:u w:color="004C7F"/>
          <w:bdr w:val="nil"/>
          <w:lang w:val="en-GB" w:eastAsia="en-GB"/>
          <w14:ligatures w14:val="none"/>
        </w:rPr>
        <w:t xml:space="preserve"> F, </w:t>
      </w:r>
      <w:proofErr w:type="spellStart"/>
      <w:r w:rsidRPr="00EF34C7">
        <w:rPr>
          <w:rFonts w:ascii="Times New Roman" w:eastAsia="Arial Unicode MS" w:hAnsi="Times New Roman" w:cs="Times New Roman"/>
          <w:kern w:val="0"/>
          <w:u w:color="004C7F"/>
          <w:bdr w:val="nil"/>
          <w:lang w:val="en-GB" w:eastAsia="en-GB"/>
          <w14:ligatures w14:val="none"/>
        </w:rPr>
        <w:t>Berletti</w:t>
      </w:r>
      <w:proofErr w:type="spellEnd"/>
      <w:r w:rsidRPr="00EF34C7">
        <w:rPr>
          <w:rFonts w:ascii="Times New Roman" w:eastAsia="Arial Unicode MS" w:hAnsi="Times New Roman" w:cs="Times New Roman"/>
          <w:kern w:val="0"/>
          <w:u w:color="004C7F"/>
          <w:bdr w:val="nil"/>
          <w:lang w:val="en-GB" w:eastAsia="en-GB"/>
          <w14:ligatures w14:val="none"/>
        </w:rPr>
        <w:t xml:space="preserve"> R, </w:t>
      </w:r>
      <w:proofErr w:type="spellStart"/>
      <w:r w:rsidRPr="00EF34C7">
        <w:rPr>
          <w:rFonts w:ascii="Times New Roman" w:eastAsia="Arial Unicode MS" w:hAnsi="Times New Roman" w:cs="Times New Roman"/>
          <w:kern w:val="0"/>
          <w:u w:color="004C7F"/>
          <w:bdr w:val="nil"/>
          <w:lang w:val="en-GB" w:eastAsia="en-GB"/>
          <w14:ligatures w14:val="none"/>
        </w:rPr>
        <w:t>Cavana</w:t>
      </w:r>
      <w:proofErr w:type="spellEnd"/>
      <w:r w:rsidRPr="00EF34C7">
        <w:rPr>
          <w:rFonts w:ascii="Times New Roman" w:eastAsia="Arial Unicode MS" w:hAnsi="Times New Roman" w:cs="Times New Roman"/>
          <w:kern w:val="0"/>
          <w:u w:color="004C7F"/>
          <w:bdr w:val="nil"/>
          <w:lang w:val="en-GB" w:eastAsia="en-GB"/>
          <w14:ligatures w14:val="none"/>
        </w:rPr>
        <w:t xml:space="preserve"> M, </w:t>
      </w:r>
      <w:proofErr w:type="spellStart"/>
      <w:r w:rsidRPr="00EF34C7">
        <w:rPr>
          <w:rFonts w:ascii="Times New Roman" w:eastAsia="Arial Unicode MS" w:hAnsi="Times New Roman" w:cs="Times New Roman"/>
          <w:kern w:val="0"/>
          <w:u w:color="004C7F"/>
          <w:bdr w:val="nil"/>
          <w:lang w:val="en-GB" w:eastAsia="en-GB"/>
          <w14:ligatures w14:val="none"/>
        </w:rPr>
        <w:t>Folgheraiter</w:t>
      </w:r>
      <w:proofErr w:type="spellEnd"/>
      <w:r w:rsidRPr="00EF34C7">
        <w:rPr>
          <w:rFonts w:ascii="Times New Roman" w:eastAsia="Arial Unicode MS" w:hAnsi="Times New Roman" w:cs="Times New Roman"/>
          <w:kern w:val="0"/>
          <w:u w:color="004C7F"/>
          <w:bdr w:val="nil"/>
          <w:lang w:val="en-GB" w:eastAsia="en-GB"/>
          <w14:ligatures w14:val="none"/>
        </w:rPr>
        <w:t xml:space="preserve"> G, </w:t>
      </w:r>
      <w:proofErr w:type="spellStart"/>
      <w:r w:rsidRPr="00EF34C7">
        <w:rPr>
          <w:rFonts w:ascii="Times New Roman" w:eastAsia="Arial Unicode MS" w:hAnsi="Times New Roman" w:cs="Times New Roman"/>
          <w:kern w:val="0"/>
          <w:u w:color="004C7F"/>
          <w:bdr w:val="nil"/>
          <w:lang w:val="en-GB" w:eastAsia="en-GB"/>
          <w14:ligatures w14:val="none"/>
        </w:rPr>
        <w:t>Groppo</w:t>
      </w:r>
      <w:proofErr w:type="spellEnd"/>
      <w:r w:rsidRPr="00EF34C7">
        <w:rPr>
          <w:rFonts w:ascii="Times New Roman" w:eastAsia="Arial Unicode MS" w:hAnsi="Times New Roman" w:cs="Times New Roman"/>
          <w:kern w:val="0"/>
          <w:u w:color="004C7F"/>
          <w:bdr w:val="nil"/>
          <w:lang w:val="en-GB" w:eastAsia="en-GB"/>
          <w14:ligatures w14:val="none"/>
        </w:rPr>
        <w:t xml:space="preserve"> F, et al. </w:t>
      </w:r>
      <w:proofErr w:type="gramStart"/>
      <w:r w:rsidRPr="00EF34C7">
        <w:rPr>
          <w:rFonts w:ascii="Times New Roman" w:eastAsia="Arial Unicode MS" w:hAnsi="Times New Roman" w:cs="Times New Roman"/>
          <w:kern w:val="0"/>
          <w:u w:color="004C7F"/>
          <w:bdr w:val="nil"/>
          <w:lang w:val="en-GB" w:eastAsia="en-GB"/>
          <w14:ligatures w14:val="none"/>
        </w:rPr>
        <w:t>How</w:t>
      </w:r>
      <w:proofErr w:type="gramEnd"/>
      <w:r w:rsidRPr="00EF34C7">
        <w:rPr>
          <w:rFonts w:ascii="Times New Roman" w:eastAsia="Arial Unicode MS" w:hAnsi="Times New Roman" w:cs="Times New Roman"/>
          <w:kern w:val="0"/>
          <w:u w:color="004C7F"/>
          <w:bdr w:val="nil"/>
          <w:lang w:val="en-GB" w:eastAsia="en-GB"/>
          <w14:ligatures w14:val="none"/>
        </w:rPr>
        <w:t xml:space="preserve"> formative courses about damage control surgery and non-operative management improved outcome and survival in unstable </w:t>
      </w:r>
      <w:proofErr w:type="spellStart"/>
      <w:r w:rsidRPr="00EF34C7">
        <w:rPr>
          <w:rFonts w:ascii="Times New Roman" w:eastAsia="Arial Unicode MS" w:hAnsi="Times New Roman" w:cs="Times New Roman"/>
          <w:kern w:val="0"/>
          <w:u w:color="004C7F"/>
          <w:bdr w:val="nil"/>
          <w:lang w:val="en-GB" w:eastAsia="en-GB"/>
          <w14:ligatures w14:val="none"/>
        </w:rPr>
        <w:t>politrauma</w:t>
      </w:r>
      <w:proofErr w:type="spellEnd"/>
      <w:r w:rsidRPr="00EF34C7">
        <w:rPr>
          <w:rFonts w:ascii="Times New Roman" w:eastAsia="Arial Unicode MS" w:hAnsi="Times New Roman" w:cs="Times New Roman"/>
          <w:kern w:val="0"/>
          <w:u w:color="004C7F"/>
          <w:bdr w:val="nil"/>
          <w:lang w:val="en-GB" w:eastAsia="en-GB"/>
          <w14:ligatures w14:val="none"/>
        </w:rPr>
        <w:t xml:space="preserve"> patients in a Mountain Trauma </w:t>
      </w:r>
      <w:proofErr w:type="spellStart"/>
      <w:r w:rsidRPr="00EF34C7">
        <w:rPr>
          <w:rFonts w:ascii="Times New Roman" w:eastAsia="Arial Unicode MS" w:hAnsi="Times New Roman" w:cs="Times New Roman"/>
          <w:kern w:val="0"/>
          <w:u w:color="004C7F"/>
          <w:bdr w:val="nil"/>
          <w:lang w:val="en-GB" w:eastAsia="en-GB"/>
          <w14:ligatures w14:val="none"/>
        </w:rPr>
        <w:t>Center</w:t>
      </w:r>
      <w:proofErr w:type="spellEnd"/>
      <w:r w:rsidRPr="00EF34C7">
        <w:rPr>
          <w:rFonts w:ascii="Times New Roman" w:eastAsia="Arial Unicode MS" w:hAnsi="Times New Roman" w:cs="Times New Roman"/>
          <w:kern w:val="0"/>
          <w:u w:color="004C7F"/>
          <w:bdr w:val="nil"/>
          <w:lang w:val="en-GB" w:eastAsia="en-GB"/>
          <w14:ligatures w14:val="none"/>
        </w:rPr>
        <w:t xml:space="preserve">. Ann Ital Chir. 2016;87(1):68–74. </w:t>
      </w:r>
    </w:p>
    <w:p w14:paraId="6D820E19"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27.</w:t>
      </w:r>
      <w:r w:rsidRPr="00EF34C7">
        <w:rPr>
          <w:rFonts w:ascii="Times New Roman" w:eastAsia="Arial Unicode MS" w:hAnsi="Times New Roman" w:cs="Times New Roman"/>
          <w:kern w:val="0"/>
          <w:u w:color="004C7F"/>
          <w:bdr w:val="nil"/>
          <w:lang w:val="en-GB" w:eastAsia="en-GB"/>
          <w14:ligatures w14:val="none"/>
        </w:rPr>
        <w:tab/>
        <w:t xml:space="preserve">Magnone S, Allegri A, Belotti E, Castelli CC, </w:t>
      </w:r>
      <w:proofErr w:type="spellStart"/>
      <w:r w:rsidRPr="00EF34C7">
        <w:rPr>
          <w:rFonts w:ascii="Times New Roman" w:eastAsia="Arial Unicode MS" w:hAnsi="Times New Roman" w:cs="Times New Roman"/>
          <w:kern w:val="0"/>
          <w:u w:color="004C7F"/>
          <w:bdr w:val="nil"/>
          <w:lang w:val="en-GB" w:eastAsia="en-GB"/>
          <w14:ligatures w14:val="none"/>
        </w:rPr>
        <w:t>Ceresoli</w:t>
      </w:r>
      <w:proofErr w:type="spellEnd"/>
      <w:r w:rsidRPr="00EF34C7">
        <w:rPr>
          <w:rFonts w:ascii="Times New Roman" w:eastAsia="Arial Unicode MS" w:hAnsi="Times New Roman" w:cs="Times New Roman"/>
          <w:kern w:val="0"/>
          <w:u w:color="004C7F"/>
          <w:bdr w:val="nil"/>
          <w:lang w:val="en-GB" w:eastAsia="en-GB"/>
          <w14:ligatures w14:val="none"/>
        </w:rPr>
        <w:t xml:space="preserve"> M, </w:t>
      </w:r>
      <w:proofErr w:type="spellStart"/>
      <w:r w:rsidRPr="00EF34C7">
        <w:rPr>
          <w:rFonts w:ascii="Times New Roman" w:eastAsia="Arial Unicode MS" w:hAnsi="Times New Roman" w:cs="Times New Roman"/>
          <w:kern w:val="0"/>
          <w:u w:color="004C7F"/>
          <w:bdr w:val="nil"/>
          <w:lang w:val="en-GB" w:eastAsia="en-GB"/>
          <w14:ligatures w14:val="none"/>
        </w:rPr>
        <w:t>Coccolini</w:t>
      </w:r>
      <w:proofErr w:type="spellEnd"/>
      <w:r w:rsidRPr="00EF34C7">
        <w:rPr>
          <w:rFonts w:ascii="Times New Roman" w:eastAsia="Arial Unicode MS" w:hAnsi="Times New Roman" w:cs="Times New Roman"/>
          <w:kern w:val="0"/>
          <w:u w:color="004C7F"/>
          <w:bdr w:val="nil"/>
          <w:lang w:val="en-GB" w:eastAsia="en-GB"/>
          <w14:ligatures w14:val="none"/>
        </w:rPr>
        <w:t xml:space="preserve"> F, et al. Impact of ATLS Guidelines and Trauma Team Introduction </w:t>
      </w:r>
      <w:proofErr w:type="gramStart"/>
      <w:r w:rsidRPr="00EF34C7">
        <w:rPr>
          <w:rFonts w:ascii="Times New Roman" w:eastAsia="Arial Unicode MS" w:hAnsi="Times New Roman" w:cs="Times New Roman"/>
          <w:kern w:val="0"/>
          <w:u w:color="004C7F"/>
          <w:bdr w:val="nil"/>
          <w:lang w:val="en-GB" w:eastAsia="en-GB"/>
          <w14:ligatures w14:val="none"/>
        </w:rPr>
        <w:t>an</w:t>
      </w:r>
      <w:proofErr w:type="gramEnd"/>
      <w:r w:rsidRPr="00EF34C7">
        <w:rPr>
          <w:rFonts w:ascii="Times New Roman" w:eastAsia="Arial Unicode MS" w:hAnsi="Times New Roman" w:cs="Times New Roman"/>
          <w:kern w:val="0"/>
          <w:u w:color="004C7F"/>
          <w:bdr w:val="nil"/>
          <w:lang w:val="en-GB" w:eastAsia="en-GB"/>
          <w14:ligatures w14:val="none"/>
        </w:rPr>
        <w:t xml:space="preserve"> 24 </w:t>
      </w:r>
      <w:proofErr w:type="gramStart"/>
      <w:r w:rsidRPr="00EF34C7">
        <w:rPr>
          <w:rFonts w:ascii="Times New Roman" w:eastAsia="Arial Unicode MS" w:hAnsi="Times New Roman" w:cs="Times New Roman"/>
          <w:kern w:val="0"/>
          <w:u w:color="004C7F"/>
          <w:bdr w:val="nil"/>
          <w:lang w:val="en-GB" w:eastAsia="en-GB"/>
          <w14:ligatures w14:val="none"/>
        </w:rPr>
        <w:t>Hours</w:t>
      </w:r>
      <w:proofErr w:type="gramEnd"/>
      <w:r w:rsidRPr="00EF34C7">
        <w:rPr>
          <w:rFonts w:ascii="Times New Roman" w:eastAsia="Arial Unicode MS" w:hAnsi="Times New Roman" w:cs="Times New Roman"/>
          <w:kern w:val="0"/>
          <w:u w:color="004C7F"/>
          <w:bdr w:val="nil"/>
          <w:lang w:val="en-GB" w:eastAsia="en-GB"/>
          <w14:ligatures w14:val="none"/>
        </w:rPr>
        <w:t xml:space="preserve"> Mortality in Severe Trauma in a Busy Italian Metropolitan Hospital: a Case Control Study. Turkish Journal of Trauma and Emergency Surgery [Internet]. 2015; Available from: http://dx.doi.org/10.5505/tjtes.2015.19540</w:t>
      </w:r>
    </w:p>
    <w:p w14:paraId="3163B691"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28.</w:t>
      </w:r>
      <w:r w:rsidRPr="00EF34C7">
        <w:rPr>
          <w:rFonts w:ascii="Times New Roman" w:eastAsia="Arial Unicode MS" w:hAnsi="Times New Roman" w:cs="Times New Roman"/>
          <w:kern w:val="0"/>
          <w:u w:color="004C7F"/>
          <w:bdr w:val="nil"/>
          <w:lang w:val="en-GB" w:eastAsia="en-GB"/>
          <w14:ligatures w14:val="none"/>
        </w:rPr>
        <w:tab/>
        <w:t xml:space="preserve">Kamau C, </w:t>
      </w:r>
      <w:proofErr w:type="spellStart"/>
      <w:r w:rsidRPr="00EF34C7">
        <w:rPr>
          <w:rFonts w:ascii="Times New Roman" w:eastAsia="Arial Unicode MS" w:hAnsi="Times New Roman" w:cs="Times New Roman"/>
          <w:kern w:val="0"/>
          <w:u w:color="004C7F"/>
          <w:bdr w:val="nil"/>
          <w:lang w:val="en-GB" w:eastAsia="en-GB"/>
          <w14:ligatures w14:val="none"/>
        </w:rPr>
        <w:t>Chikophe</w:t>
      </w:r>
      <w:proofErr w:type="spellEnd"/>
      <w:r w:rsidRPr="00EF34C7">
        <w:rPr>
          <w:rFonts w:ascii="Times New Roman" w:eastAsia="Arial Unicode MS" w:hAnsi="Times New Roman" w:cs="Times New Roman"/>
          <w:kern w:val="0"/>
          <w:u w:color="004C7F"/>
          <w:bdr w:val="nil"/>
          <w:lang w:val="en-GB" w:eastAsia="en-GB"/>
          <w14:ligatures w14:val="none"/>
        </w:rPr>
        <w:t xml:space="preserve"> I, Abdallah A, Mogere E. Impact of advanced trauma life support training on 30-day mortality in severely injured patients at a Kenyan tertiary </w:t>
      </w:r>
      <w:proofErr w:type="spellStart"/>
      <w:r w:rsidRPr="00EF34C7">
        <w:rPr>
          <w:rFonts w:ascii="Times New Roman" w:eastAsia="Arial Unicode MS" w:hAnsi="Times New Roman" w:cs="Times New Roman"/>
          <w:kern w:val="0"/>
          <w:u w:color="004C7F"/>
          <w:bdr w:val="nil"/>
          <w:lang w:val="en-GB" w:eastAsia="en-GB"/>
          <w14:ligatures w14:val="none"/>
        </w:rPr>
        <w:t>center</w:t>
      </w:r>
      <w:proofErr w:type="spellEnd"/>
      <w:r w:rsidRPr="00EF34C7">
        <w:rPr>
          <w:rFonts w:ascii="Times New Roman" w:eastAsia="Arial Unicode MS" w:hAnsi="Times New Roman" w:cs="Times New Roman"/>
          <w:kern w:val="0"/>
          <w:u w:color="004C7F"/>
          <w:bdr w:val="nil"/>
          <w:lang w:val="en-GB" w:eastAsia="en-GB"/>
          <w14:ligatures w14:val="none"/>
        </w:rPr>
        <w:t xml:space="preserve">: a retrospective matched case-control study. International Journal of Emergency Medicine. 2024 Oct 10;17(1):153. </w:t>
      </w:r>
    </w:p>
    <w:p w14:paraId="595F984A"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29.</w:t>
      </w:r>
      <w:r w:rsidRPr="00EF34C7">
        <w:rPr>
          <w:rFonts w:ascii="Times New Roman" w:eastAsia="Arial Unicode MS" w:hAnsi="Times New Roman" w:cs="Times New Roman"/>
          <w:kern w:val="0"/>
          <w:u w:color="004C7F"/>
          <w:bdr w:val="nil"/>
          <w:lang w:val="en-GB" w:eastAsia="en-GB"/>
          <w14:ligatures w14:val="none"/>
        </w:rPr>
        <w:tab/>
        <w:t>Gerdin Wärnberg M, Berg J, Bhandarkar P, Chatterjee A, Chatterjee S, Chintamani C, et al. A pilot multicentre cluster randomised trial to compare the effect of trauma life support training programmes on patient and provider outcomes. BMJ Open. 2022 Apr;12(4</w:t>
      </w:r>
      <w:proofErr w:type="gramStart"/>
      <w:r w:rsidRPr="00EF34C7">
        <w:rPr>
          <w:rFonts w:ascii="Times New Roman" w:eastAsia="Arial Unicode MS" w:hAnsi="Times New Roman" w:cs="Times New Roman"/>
          <w:kern w:val="0"/>
          <w:u w:color="004C7F"/>
          <w:bdr w:val="nil"/>
          <w:lang w:val="en-GB" w:eastAsia="en-GB"/>
          <w14:ligatures w14:val="none"/>
        </w:rPr>
        <w:t>):e</w:t>
      </w:r>
      <w:proofErr w:type="gramEnd"/>
      <w:r w:rsidRPr="00EF34C7">
        <w:rPr>
          <w:rFonts w:ascii="Times New Roman" w:eastAsia="Arial Unicode MS" w:hAnsi="Times New Roman" w:cs="Times New Roman"/>
          <w:kern w:val="0"/>
          <w:u w:color="004C7F"/>
          <w:bdr w:val="nil"/>
          <w:lang w:val="en-GB" w:eastAsia="en-GB"/>
          <w14:ligatures w14:val="none"/>
        </w:rPr>
        <w:t xml:space="preserve">057504. </w:t>
      </w:r>
    </w:p>
    <w:p w14:paraId="436230E4"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30.</w:t>
      </w:r>
      <w:r w:rsidRPr="00EF34C7">
        <w:rPr>
          <w:rFonts w:ascii="Times New Roman" w:eastAsia="Arial Unicode MS" w:hAnsi="Times New Roman" w:cs="Times New Roman"/>
          <w:kern w:val="0"/>
          <w:u w:color="004C7F"/>
          <w:bdr w:val="nil"/>
          <w:lang w:val="en-GB" w:eastAsia="en-GB"/>
          <w14:ligatures w14:val="none"/>
        </w:rPr>
        <w:tab/>
        <w:t xml:space="preserve">Gerdin Wärnberg M, Basak D, Berg J, Chatterjee S, </w:t>
      </w:r>
      <w:proofErr w:type="spellStart"/>
      <w:r w:rsidRPr="00EF34C7">
        <w:rPr>
          <w:rFonts w:ascii="Times New Roman" w:eastAsia="Arial Unicode MS" w:hAnsi="Times New Roman" w:cs="Times New Roman"/>
          <w:kern w:val="0"/>
          <w:u w:color="004C7F"/>
          <w:bdr w:val="nil"/>
          <w:lang w:val="en-GB" w:eastAsia="en-GB"/>
          <w14:ligatures w14:val="none"/>
        </w:rPr>
        <w:t>Felländer</w:t>
      </w:r>
      <w:proofErr w:type="spellEnd"/>
      <w:r w:rsidRPr="00EF34C7">
        <w:rPr>
          <w:rFonts w:ascii="Times New Roman" w:eastAsia="Arial Unicode MS" w:hAnsi="Times New Roman" w:cs="Times New Roman"/>
          <w:kern w:val="0"/>
          <w:u w:color="004C7F"/>
          <w:bdr w:val="nil"/>
          <w:lang w:val="en-GB" w:eastAsia="en-GB"/>
          <w14:ligatures w14:val="none"/>
        </w:rPr>
        <w:t xml:space="preserve">-Tsai L, Ghag G, et al. Feasibility of a Cluster Randomised Trial on the Effect of Trauma Life Support Training: A Pilot Study. </w:t>
      </w:r>
      <w:proofErr w:type="spellStart"/>
      <w:r w:rsidRPr="00EF34C7">
        <w:rPr>
          <w:rFonts w:ascii="Times New Roman" w:eastAsia="Arial Unicode MS" w:hAnsi="Times New Roman" w:cs="Times New Roman"/>
          <w:kern w:val="0"/>
          <w:u w:color="004C7F"/>
          <w:bdr w:val="nil"/>
          <w:lang w:val="en-GB" w:eastAsia="en-GB"/>
          <w14:ligatures w14:val="none"/>
        </w:rPr>
        <w:t>medRxiv</w:t>
      </w:r>
      <w:proofErr w:type="spellEnd"/>
      <w:r w:rsidRPr="00EF34C7">
        <w:rPr>
          <w:rFonts w:ascii="Times New Roman" w:eastAsia="Arial Unicode MS" w:hAnsi="Times New Roman" w:cs="Times New Roman"/>
          <w:kern w:val="0"/>
          <w:u w:color="004C7F"/>
          <w:bdr w:val="nil"/>
          <w:lang w:val="en-GB" w:eastAsia="en-GB"/>
          <w14:ligatures w14:val="none"/>
        </w:rPr>
        <w:t xml:space="preserve">. 2024 Nov 26;2024.03.13.24304236. </w:t>
      </w:r>
    </w:p>
    <w:p w14:paraId="28FA64C9"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31.</w:t>
      </w:r>
      <w:r w:rsidRPr="00EF34C7">
        <w:rPr>
          <w:rFonts w:ascii="Times New Roman" w:eastAsia="Arial Unicode MS" w:hAnsi="Times New Roman" w:cs="Times New Roman"/>
          <w:kern w:val="0"/>
          <w:u w:color="004C7F"/>
          <w:bdr w:val="nil"/>
          <w:lang w:val="en-GB" w:eastAsia="en-GB"/>
          <w14:ligatures w14:val="none"/>
        </w:rPr>
        <w:tab/>
        <w:t xml:space="preserve">David S, Gerdin Wärnberg M, Trauma life support training Effectiveness Research Network (TERN) Collaborators. Patient-reported outcomes relevant to post-discharge trauma patients in </w:t>
      </w:r>
      <w:r w:rsidRPr="00EF34C7">
        <w:rPr>
          <w:rFonts w:ascii="Times New Roman" w:eastAsia="Arial Unicode MS" w:hAnsi="Times New Roman" w:cs="Times New Roman"/>
          <w:kern w:val="0"/>
          <w:u w:color="004C7F"/>
          <w:bdr w:val="nil"/>
          <w:lang w:val="en-GB" w:eastAsia="en-GB"/>
          <w14:ligatures w14:val="none"/>
        </w:rPr>
        <w:lastRenderedPageBreak/>
        <w:t xml:space="preserve">urban India [Internet]. </w:t>
      </w:r>
      <w:proofErr w:type="spellStart"/>
      <w:r w:rsidRPr="00EF34C7">
        <w:rPr>
          <w:rFonts w:ascii="Times New Roman" w:eastAsia="Arial Unicode MS" w:hAnsi="Times New Roman" w:cs="Times New Roman"/>
          <w:kern w:val="0"/>
          <w:u w:color="004C7F"/>
          <w:bdr w:val="nil"/>
          <w:lang w:val="en-GB" w:eastAsia="en-GB"/>
          <w14:ligatures w14:val="none"/>
        </w:rPr>
        <w:t>medRxiv</w:t>
      </w:r>
      <w:proofErr w:type="spellEnd"/>
      <w:r w:rsidRPr="00EF34C7">
        <w:rPr>
          <w:rFonts w:ascii="Times New Roman" w:eastAsia="Arial Unicode MS" w:hAnsi="Times New Roman" w:cs="Times New Roman"/>
          <w:kern w:val="0"/>
          <w:u w:color="004C7F"/>
          <w:bdr w:val="nil"/>
          <w:lang w:val="en-GB" w:eastAsia="en-GB"/>
          <w14:ligatures w14:val="none"/>
        </w:rPr>
        <w:t>; 2024 [cited 2024 Nov 11]. p. 2024.02.20.24302971. Available from: https://www.medrxiv.org/content/10.1101/2024.02.20.24302971v2</w:t>
      </w:r>
    </w:p>
    <w:p w14:paraId="28F93136"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32.</w:t>
      </w:r>
      <w:r w:rsidRPr="00EF34C7">
        <w:rPr>
          <w:rFonts w:ascii="Times New Roman" w:eastAsia="Arial Unicode MS" w:hAnsi="Times New Roman" w:cs="Times New Roman"/>
          <w:kern w:val="0"/>
          <w:u w:color="004C7F"/>
          <w:bdr w:val="nil"/>
          <w:lang w:val="en-GB" w:eastAsia="en-GB"/>
          <w14:ligatures w14:val="none"/>
        </w:rPr>
        <w:tab/>
        <w:t xml:space="preserve">Hemming K, Haines TP, Chilton PJ, Girling AJ, </w:t>
      </w:r>
      <w:proofErr w:type="spellStart"/>
      <w:r w:rsidRPr="00EF34C7">
        <w:rPr>
          <w:rFonts w:ascii="Times New Roman" w:eastAsia="Arial Unicode MS" w:hAnsi="Times New Roman" w:cs="Times New Roman"/>
          <w:kern w:val="0"/>
          <w:u w:color="004C7F"/>
          <w:bdr w:val="nil"/>
          <w:lang w:val="en-GB" w:eastAsia="en-GB"/>
          <w14:ligatures w14:val="none"/>
        </w:rPr>
        <w:t>Lilford</w:t>
      </w:r>
      <w:proofErr w:type="spellEnd"/>
      <w:r w:rsidRPr="00EF34C7">
        <w:rPr>
          <w:rFonts w:ascii="Times New Roman" w:eastAsia="Arial Unicode MS" w:hAnsi="Times New Roman" w:cs="Times New Roman"/>
          <w:kern w:val="0"/>
          <w:u w:color="004C7F"/>
          <w:bdr w:val="nil"/>
          <w:lang w:val="en-GB" w:eastAsia="en-GB"/>
          <w14:ligatures w14:val="none"/>
        </w:rPr>
        <w:t xml:space="preserve"> RJ. The stepped wedge cluster randomised trial: rationale, design, analysis, and reporting. BMJ. 2015 Feb 6;350(feb06 1):h391–h391. </w:t>
      </w:r>
    </w:p>
    <w:p w14:paraId="7AE1B550"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33.</w:t>
      </w:r>
      <w:r w:rsidRPr="00EF34C7">
        <w:rPr>
          <w:rFonts w:ascii="Times New Roman" w:eastAsia="Arial Unicode MS" w:hAnsi="Times New Roman" w:cs="Times New Roman"/>
          <w:kern w:val="0"/>
          <w:u w:color="004C7F"/>
          <w:bdr w:val="nil"/>
          <w:lang w:val="en-GB" w:eastAsia="en-GB"/>
          <w14:ligatures w14:val="none"/>
        </w:rPr>
        <w:tab/>
        <w:t xml:space="preserve">Grantham KL, Forbes AB, Hooper R, Kasza J. The staircase cluster randomised trial design: A pragmatic alternative to the stepped wedge. Stat Methods Med Res. 2024 Jan 1;33(1):24–41. </w:t>
      </w:r>
    </w:p>
    <w:p w14:paraId="3FF5AFF4"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34.</w:t>
      </w:r>
      <w:r w:rsidRPr="00EF34C7">
        <w:rPr>
          <w:rFonts w:ascii="Times New Roman" w:eastAsia="Arial Unicode MS" w:hAnsi="Times New Roman" w:cs="Times New Roman"/>
          <w:kern w:val="0"/>
          <w:u w:color="004C7F"/>
          <w:bdr w:val="nil"/>
          <w:lang w:val="en-GB" w:eastAsia="en-GB"/>
          <w14:ligatures w14:val="none"/>
        </w:rPr>
        <w:tab/>
        <w:t xml:space="preserve">Hemming K, Taljaard M. Reflection on modern methods: when is a stepped-wedge cluster randomized trial a good study design choice? International Journal of Epidemiology. 2020 May;49(3):1043–52. </w:t>
      </w:r>
    </w:p>
    <w:p w14:paraId="4F6C0113"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35.</w:t>
      </w:r>
      <w:r w:rsidRPr="00EF34C7">
        <w:rPr>
          <w:rFonts w:ascii="Times New Roman" w:eastAsia="Arial Unicode MS" w:hAnsi="Times New Roman" w:cs="Times New Roman"/>
          <w:kern w:val="0"/>
          <w:u w:color="004C7F"/>
          <w:bdr w:val="nil"/>
          <w:lang w:val="en-GB" w:eastAsia="en-GB"/>
          <w14:ligatures w14:val="none"/>
        </w:rPr>
        <w:tab/>
        <w:t xml:space="preserve">Kasza J, Bowden R, Hooper R, Forbes AB. The batched stepped wedge design: A design robust to delays in cluster recruitment. Statistics in Medicine. 2022 May;41(18):3627–41. </w:t>
      </w:r>
    </w:p>
    <w:p w14:paraId="7D722325"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36.</w:t>
      </w:r>
      <w:r w:rsidRPr="00EF34C7">
        <w:rPr>
          <w:rFonts w:ascii="Times New Roman" w:eastAsia="Arial Unicode MS" w:hAnsi="Times New Roman" w:cs="Times New Roman"/>
          <w:kern w:val="0"/>
          <w:u w:color="004C7F"/>
          <w:bdr w:val="nil"/>
          <w:lang w:val="en-GB" w:eastAsia="en-GB"/>
          <w14:ligatures w14:val="none"/>
        </w:rPr>
        <w:tab/>
        <w:t xml:space="preserve">Hemming K, Kasza J, Hooper R, Forbes A, Taljaard M. A tutorial on sample size calculation for multiple-period cluster randomized parallel, cross-over and stepped-wedge trials using the Shiny CRT Calculator. International Journal of Epidemiology. 2020 Feb;49(3):979–95. </w:t>
      </w:r>
    </w:p>
    <w:p w14:paraId="1EBB3C34"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37.</w:t>
      </w:r>
      <w:r w:rsidRPr="00EF34C7">
        <w:rPr>
          <w:rFonts w:ascii="Times New Roman" w:eastAsia="Arial Unicode MS" w:hAnsi="Times New Roman" w:cs="Times New Roman"/>
          <w:kern w:val="0"/>
          <w:u w:color="004C7F"/>
          <w:bdr w:val="nil"/>
          <w:lang w:val="en-GB" w:eastAsia="en-GB"/>
          <w14:ligatures w14:val="none"/>
        </w:rPr>
        <w:tab/>
        <w:t xml:space="preserve">Campbell MK, </w:t>
      </w:r>
      <w:proofErr w:type="spellStart"/>
      <w:r w:rsidRPr="00EF34C7">
        <w:rPr>
          <w:rFonts w:ascii="Times New Roman" w:eastAsia="Arial Unicode MS" w:hAnsi="Times New Roman" w:cs="Times New Roman"/>
          <w:kern w:val="0"/>
          <w:u w:color="004C7F"/>
          <w:bdr w:val="nil"/>
          <w:lang w:val="en-GB" w:eastAsia="en-GB"/>
          <w14:ligatures w14:val="none"/>
        </w:rPr>
        <w:t>Fayers</w:t>
      </w:r>
      <w:proofErr w:type="spellEnd"/>
      <w:r w:rsidRPr="00EF34C7">
        <w:rPr>
          <w:rFonts w:ascii="Times New Roman" w:eastAsia="Arial Unicode MS" w:hAnsi="Times New Roman" w:cs="Times New Roman"/>
          <w:kern w:val="0"/>
          <w:u w:color="004C7F"/>
          <w:bdr w:val="nil"/>
          <w:lang w:val="en-GB" w:eastAsia="en-GB"/>
          <w14:ligatures w14:val="none"/>
        </w:rPr>
        <w:t xml:space="preserve"> PM, Grimshaw JM. Determinants of the </w:t>
      </w:r>
      <w:proofErr w:type="spellStart"/>
      <w:r w:rsidRPr="00EF34C7">
        <w:rPr>
          <w:rFonts w:ascii="Times New Roman" w:eastAsia="Arial Unicode MS" w:hAnsi="Times New Roman" w:cs="Times New Roman"/>
          <w:kern w:val="0"/>
          <w:u w:color="004C7F"/>
          <w:bdr w:val="nil"/>
          <w:lang w:val="en-GB" w:eastAsia="en-GB"/>
          <w14:ligatures w14:val="none"/>
        </w:rPr>
        <w:t>intracluster</w:t>
      </w:r>
      <w:proofErr w:type="spellEnd"/>
      <w:r w:rsidRPr="00EF34C7">
        <w:rPr>
          <w:rFonts w:ascii="Times New Roman" w:eastAsia="Arial Unicode MS" w:hAnsi="Times New Roman" w:cs="Times New Roman"/>
          <w:kern w:val="0"/>
          <w:u w:color="004C7F"/>
          <w:bdr w:val="nil"/>
          <w:lang w:val="en-GB" w:eastAsia="en-GB"/>
          <w14:ligatures w14:val="none"/>
        </w:rPr>
        <w:t xml:space="preserve"> correlation coefficient in cluster randomized trials: the case of implementation research. Clinical Trials. 2005 Apr;2(2):99–107. </w:t>
      </w:r>
    </w:p>
    <w:p w14:paraId="100150D0"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38.</w:t>
      </w:r>
      <w:r w:rsidRPr="00EF34C7">
        <w:rPr>
          <w:rFonts w:ascii="Times New Roman" w:eastAsia="Arial Unicode MS" w:hAnsi="Times New Roman" w:cs="Times New Roman"/>
          <w:kern w:val="0"/>
          <w:u w:color="004C7F"/>
          <w:bdr w:val="nil"/>
          <w:lang w:val="en-GB" w:eastAsia="en-GB"/>
          <w14:ligatures w14:val="none"/>
        </w:rPr>
        <w:tab/>
        <w:t xml:space="preserve">Eldridge SM, Costelloe CE, Kahan BC, Lancaster GA, Kerry SM. How big should the pilot study for my cluster randomised trial be? Statistical Methods in Medical Research. 2015 June;25(3):1039–56. </w:t>
      </w:r>
    </w:p>
    <w:p w14:paraId="1D85FEB3"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39.</w:t>
      </w:r>
      <w:r w:rsidRPr="00EF34C7">
        <w:rPr>
          <w:rFonts w:ascii="Times New Roman" w:eastAsia="Arial Unicode MS" w:hAnsi="Times New Roman" w:cs="Times New Roman"/>
          <w:kern w:val="0"/>
          <w:u w:color="004C7F"/>
          <w:bdr w:val="nil"/>
          <w:lang w:val="en-GB" w:eastAsia="en-GB"/>
          <w14:ligatures w14:val="none"/>
        </w:rPr>
        <w:tab/>
        <w:t xml:space="preserve">Martin J, Girling A, </w:t>
      </w:r>
      <w:proofErr w:type="spellStart"/>
      <w:r w:rsidRPr="00EF34C7">
        <w:rPr>
          <w:rFonts w:ascii="Times New Roman" w:eastAsia="Arial Unicode MS" w:hAnsi="Times New Roman" w:cs="Times New Roman"/>
          <w:kern w:val="0"/>
          <w:u w:color="004C7F"/>
          <w:bdr w:val="nil"/>
          <w:lang w:val="en-GB" w:eastAsia="en-GB"/>
          <w14:ligatures w14:val="none"/>
        </w:rPr>
        <w:t>Nirantharakumar</w:t>
      </w:r>
      <w:proofErr w:type="spellEnd"/>
      <w:r w:rsidRPr="00EF34C7">
        <w:rPr>
          <w:rFonts w:ascii="Times New Roman" w:eastAsia="Arial Unicode MS" w:hAnsi="Times New Roman" w:cs="Times New Roman"/>
          <w:kern w:val="0"/>
          <w:u w:color="004C7F"/>
          <w:bdr w:val="nil"/>
          <w:lang w:val="en-GB" w:eastAsia="en-GB"/>
          <w14:ligatures w14:val="none"/>
        </w:rPr>
        <w:t xml:space="preserve"> K, Ryan R, Marshall T, Hemming K. Intra-cluster and inter-period correlation coefficients for cross-sectional cluster randomised controlled trials for type-2 diabetes in UK primary care. Trials [Internet]. 2016 Aug;17(1). Available from: http://dx.doi.org/10.1186/s13063-016-1532-9</w:t>
      </w:r>
    </w:p>
    <w:p w14:paraId="3888E947"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sv-SE" w:eastAsia="en-GB"/>
          <w14:ligatures w14:val="none"/>
        </w:rPr>
        <w:t>40.</w:t>
      </w:r>
      <w:r w:rsidRPr="00EF34C7">
        <w:rPr>
          <w:rFonts w:ascii="Times New Roman" w:eastAsia="Arial Unicode MS" w:hAnsi="Times New Roman" w:cs="Times New Roman"/>
          <w:kern w:val="0"/>
          <w:u w:color="004C7F"/>
          <w:bdr w:val="nil"/>
          <w:lang w:val="sv-SE" w:eastAsia="en-GB"/>
          <w14:ligatures w14:val="none"/>
        </w:rPr>
        <w:tab/>
      </w:r>
      <w:proofErr w:type="spellStart"/>
      <w:r w:rsidRPr="00EF34C7">
        <w:rPr>
          <w:rFonts w:ascii="Times New Roman" w:eastAsia="Arial Unicode MS" w:hAnsi="Times New Roman" w:cs="Times New Roman"/>
          <w:kern w:val="0"/>
          <w:u w:color="004C7F"/>
          <w:bdr w:val="nil"/>
          <w:lang w:val="sv-SE" w:eastAsia="en-GB"/>
          <w14:ligatures w14:val="none"/>
        </w:rPr>
        <w:t>Korevaar</w:t>
      </w:r>
      <w:proofErr w:type="spellEnd"/>
      <w:r w:rsidRPr="00EF34C7">
        <w:rPr>
          <w:rFonts w:ascii="Times New Roman" w:eastAsia="Arial Unicode MS" w:hAnsi="Times New Roman" w:cs="Times New Roman"/>
          <w:kern w:val="0"/>
          <w:u w:color="004C7F"/>
          <w:bdr w:val="nil"/>
          <w:lang w:val="sv-SE" w:eastAsia="en-GB"/>
          <w14:ligatures w14:val="none"/>
        </w:rPr>
        <w:t xml:space="preserve"> E, </w:t>
      </w:r>
      <w:proofErr w:type="spellStart"/>
      <w:r w:rsidRPr="00EF34C7">
        <w:rPr>
          <w:rFonts w:ascii="Times New Roman" w:eastAsia="Arial Unicode MS" w:hAnsi="Times New Roman" w:cs="Times New Roman"/>
          <w:kern w:val="0"/>
          <w:u w:color="004C7F"/>
          <w:bdr w:val="nil"/>
          <w:lang w:val="sv-SE" w:eastAsia="en-GB"/>
          <w14:ligatures w14:val="none"/>
        </w:rPr>
        <w:t>Kasza</w:t>
      </w:r>
      <w:proofErr w:type="spellEnd"/>
      <w:r w:rsidRPr="00EF34C7">
        <w:rPr>
          <w:rFonts w:ascii="Times New Roman" w:eastAsia="Arial Unicode MS" w:hAnsi="Times New Roman" w:cs="Times New Roman"/>
          <w:kern w:val="0"/>
          <w:u w:color="004C7F"/>
          <w:bdr w:val="nil"/>
          <w:lang w:val="sv-SE" w:eastAsia="en-GB"/>
          <w14:ligatures w14:val="none"/>
        </w:rPr>
        <w:t xml:space="preserve"> J, </w:t>
      </w:r>
      <w:proofErr w:type="spellStart"/>
      <w:r w:rsidRPr="00EF34C7">
        <w:rPr>
          <w:rFonts w:ascii="Times New Roman" w:eastAsia="Arial Unicode MS" w:hAnsi="Times New Roman" w:cs="Times New Roman"/>
          <w:kern w:val="0"/>
          <w:u w:color="004C7F"/>
          <w:bdr w:val="nil"/>
          <w:lang w:val="sv-SE" w:eastAsia="en-GB"/>
          <w14:ligatures w14:val="none"/>
        </w:rPr>
        <w:t>Taljaard</w:t>
      </w:r>
      <w:proofErr w:type="spellEnd"/>
      <w:r w:rsidRPr="00EF34C7">
        <w:rPr>
          <w:rFonts w:ascii="Times New Roman" w:eastAsia="Arial Unicode MS" w:hAnsi="Times New Roman" w:cs="Times New Roman"/>
          <w:kern w:val="0"/>
          <w:u w:color="004C7F"/>
          <w:bdr w:val="nil"/>
          <w:lang w:val="sv-SE" w:eastAsia="en-GB"/>
          <w14:ligatures w14:val="none"/>
        </w:rPr>
        <w:t xml:space="preserve"> M, Hemming K, Haines T, Turner EL, et al. </w:t>
      </w:r>
      <w:r w:rsidRPr="00EF34C7">
        <w:rPr>
          <w:rFonts w:ascii="Times New Roman" w:eastAsia="Arial Unicode MS" w:hAnsi="Times New Roman" w:cs="Times New Roman"/>
          <w:kern w:val="0"/>
          <w:u w:color="004C7F"/>
          <w:bdr w:val="nil"/>
          <w:lang w:val="en-GB" w:eastAsia="en-GB"/>
          <w14:ligatures w14:val="none"/>
        </w:rPr>
        <w:t xml:space="preserve">Intra-cluster correlations from the </w:t>
      </w:r>
      <w:proofErr w:type="spellStart"/>
      <w:r w:rsidRPr="00EF34C7">
        <w:rPr>
          <w:rFonts w:ascii="Times New Roman" w:eastAsia="Arial Unicode MS" w:hAnsi="Times New Roman" w:cs="Times New Roman"/>
          <w:kern w:val="0"/>
          <w:u w:color="004C7F"/>
          <w:bdr w:val="nil"/>
          <w:lang w:val="en-GB" w:eastAsia="en-GB"/>
          <w14:ligatures w14:val="none"/>
        </w:rPr>
        <w:t>CLustered</w:t>
      </w:r>
      <w:proofErr w:type="spellEnd"/>
      <w:r w:rsidRPr="00EF34C7">
        <w:rPr>
          <w:rFonts w:ascii="Times New Roman" w:eastAsia="Arial Unicode MS" w:hAnsi="Times New Roman" w:cs="Times New Roman"/>
          <w:kern w:val="0"/>
          <w:u w:color="004C7F"/>
          <w:bdr w:val="nil"/>
          <w:lang w:val="en-GB" w:eastAsia="en-GB"/>
          <w14:ligatures w14:val="none"/>
        </w:rPr>
        <w:t xml:space="preserve"> </w:t>
      </w:r>
      <w:proofErr w:type="spellStart"/>
      <w:r w:rsidRPr="00EF34C7">
        <w:rPr>
          <w:rFonts w:ascii="Times New Roman" w:eastAsia="Arial Unicode MS" w:hAnsi="Times New Roman" w:cs="Times New Roman"/>
          <w:kern w:val="0"/>
          <w:u w:color="004C7F"/>
          <w:bdr w:val="nil"/>
          <w:lang w:val="en-GB" w:eastAsia="en-GB"/>
          <w14:ligatures w14:val="none"/>
        </w:rPr>
        <w:t>OUtcome</w:t>
      </w:r>
      <w:proofErr w:type="spellEnd"/>
      <w:r w:rsidRPr="00EF34C7">
        <w:rPr>
          <w:rFonts w:ascii="Times New Roman" w:eastAsia="Arial Unicode MS" w:hAnsi="Times New Roman" w:cs="Times New Roman"/>
          <w:kern w:val="0"/>
          <w:u w:color="004C7F"/>
          <w:bdr w:val="nil"/>
          <w:lang w:val="en-GB" w:eastAsia="en-GB"/>
          <w14:ligatures w14:val="none"/>
        </w:rPr>
        <w:t xml:space="preserve"> Dataset bank to inform the design of longitudinal cluster trials. Clinical Trials. 2021 June;18(5):529–40. </w:t>
      </w:r>
    </w:p>
    <w:p w14:paraId="776A10DF"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sv-SE" w:eastAsia="en-GB"/>
          <w14:ligatures w14:val="none"/>
        </w:rPr>
      </w:pPr>
      <w:r w:rsidRPr="00EF34C7">
        <w:rPr>
          <w:rFonts w:ascii="Times New Roman" w:eastAsia="Arial Unicode MS" w:hAnsi="Times New Roman" w:cs="Times New Roman"/>
          <w:kern w:val="0"/>
          <w:u w:color="004C7F"/>
          <w:bdr w:val="nil"/>
          <w:lang w:val="en-GB" w:eastAsia="en-GB"/>
          <w14:ligatures w14:val="none"/>
        </w:rPr>
        <w:t>41.</w:t>
      </w:r>
      <w:r w:rsidRPr="00EF34C7">
        <w:rPr>
          <w:rFonts w:ascii="Times New Roman" w:eastAsia="Arial Unicode MS" w:hAnsi="Times New Roman" w:cs="Times New Roman"/>
          <w:kern w:val="0"/>
          <w:u w:color="004C7F"/>
          <w:bdr w:val="nil"/>
          <w:lang w:val="en-GB" w:eastAsia="en-GB"/>
          <w14:ligatures w14:val="none"/>
        </w:rPr>
        <w:tab/>
      </w:r>
      <w:proofErr w:type="spellStart"/>
      <w:r w:rsidRPr="00EF34C7">
        <w:rPr>
          <w:rFonts w:ascii="Times New Roman" w:eastAsia="Arial Unicode MS" w:hAnsi="Times New Roman" w:cs="Times New Roman"/>
          <w:kern w:val="0"/>
          <w:u w:color="004C7F"/>
          <w:bdr w:val="nil"/>
          <w:lang w:val="en-GB" w:eastAsia="en-GB"/>
          <w14:ligatures w14:val="none"/>
        </w:rPr>
        <w:t>Lashoher</w:t>
      </w:r>
      <w:proofErr w:type="spellEnd"/>
      <w:r w:rsidRPr="00EF34C7">
        <w:rPr>
          <w:rFonts w:ascii="Times New Roman" w:eastAsia="Arial Unicode MS" w:hAnsi="Times New Roman" w:cs="Times New Roman"/>
          <w:kern w:val="0"/>
          <w:u w:color="004C7F"/>
          <w:bdr w:val="nil"/>
          <w:lang w:val="en-GB" w:eastAsia="en-GB"/>
          <w14:ligatures w14:val="none"/>
        </w:rPr>
        <w:t xml:space="preserve"> A, Schneider EB, </w:t>
      </w:r>
      <w:proofErr w:type="spellStart"/>
      <w:r w:rsidRPr="00EF34C7">
        <w:rPr>
          <w:rFonts w:ascii="Times New Roman" w:eastAsia="Arial Unicode MS" w:hAnsi="Times New Roman" w:cs="Times New Roman"/>
          <w:kern w:val="0"/>
          <w:u w:color="004C7F"/>
          <w:bdr w:val="nil"/>
          <w:lang w:val="en-GB" w:eastAsia="en-GB"/>
          <w14:ligatures w14:val="none"/>
        </w:rPr>
        <w:t>Juillard</w:t>
      </w:r>
      <w:proofErr w:type="spellEnd"/>
      <w:r w:rsidRPr="00EF34C7">
        <w:rPr>
          <w:rFonts w:ascii="Times New Roman" w:eastAsia="Arial Unicode MS" w:hAnsi="Times New Roman" w:cs="Times New Roman"/>
          <w:kern w:val="0"/>
          <w:u w:color="004C7F"/>
          <w:bdr w:val="nil"/>
          <w:lang w:val="en-GB" w:eastAsia="en-GB"/>
          <w14:ligatures w14:val="none"/>
        </w:rPr>
        <w:t xml:space="preserve"> C, Stevens K, Colantuoni E, Berry WR, et al. Implementation of the World Health Organization Trauma Care Checklist Program in 11 </w:t>
      </w:r>
      <w:proofErr w:type="spellStart"/>
      <w:r w:rsidRPr="00EF34C7">
        <w:rPr>
          <w:rFonts w:ascii="Times New Roman" w:eastAsia="Arial Unicode MS" w:hAnsi="Times New Roman" w:cs="Times New Roman"/>
          <w:kern w:val="0"/>
          <w:u w:color="004C7F"/>
          <w:bdr w:val="nil"/>
          <w:lang w:val="en-GB" w:eastAsia="en-GB"/>
          <w14:ligatures w14:val="none"/>
        </w:rPr>
        <w:t>Centers</w:t>
      </w:r>
      <w:proofErr w:type="spellEnd"/>
      <w:r w:rsidRPr="00EF34C7">
        <w:rPr>
          <w:rFonts w:ascii="Times New Roman" w:eastAsia="Arial Unicode MS" w:hAnsi="Times New Roman" w:cs="Times New Roman"/>
          <w:kern w:val="0"/>
          <w:u w:color="004C7F"/>
          <w:bdr w:val="nil"/>
          <w:lang w:val="en-GB" w:eastAsia="en-GB"/>
          <w14:ligatures w14:val="none"/>
        </w:rPr>
        <w:t xml:space="preserve"> Across Multiple Economic Strata: Effect on Care Process Measures. </w:t>
      </w:r>
      <w:r w:rsidRPr="00EF34C7">
        <w:rPr>
          <w:rFonts w:ascii="Times New Roman" w:eastAsia="Arial Unicode MS" w:hAnsi="Times New Roman" w:cs="Times New Roman"/>
          <w:kern w:val="0"/>
          <w:u w:color="004C7F"/>
          <w:bdr w:val="nil"/>
          <w:lang w:val="sv-SE" w:eastAsia="en-GB"/>
          <w14:ligatures w14:val="none"/>
        </w:rPr>
        <w:t xml:space="preserve">World J </w:t>
      </w:r>
      <w:proofErr w:type="spellStart"/>
      <w:r w:rsidRPr="00EF34C7">
        <w:rPr>
          <w:rFonts w:ascii="Times New Roman" w:eastAsia="Arial Unicode MS" w:hAnsi="Times New Roman" w:cs="Times New Roman"/>
          <w:kern w:val="0"/>
          <w:u w:color="004C7F"/>
          <w:bdr w:val="nil"/>
          <w:lang w:val="sv-SE" w:eastAsia="en-GB"/>
          <w14:ligatures w14:val="none"/>
        </w:rPr>
        <w:t>Surg</w:t>
      </w:r>
      <w:proofErr w:type="spellEnd"/>
      <w:r w:rsidRPr="00EF34C7">
        <w:rPr>
          <w:rFonts w:ascii="Times New Roman" w:eastAsia="Arial Unicode MS" w:hAnsi="Times New Roman" w:cs="Times New Roman"/>
          <w:kern w:val="0"/>
          <w:u w:color="004C7F"/>
          <w:bdr w:val="nil"/>
          <w:lang w:val="sv-SE" w:eastAsia="en-GB"/>
          <w14:ligatures w14:val="none"/>
        </w:rPr>
        <w:t xml:space="preserve">. 2017 </w:t>
      </w:r>
      <w:proofErr w:type="gramStart"/>
      <w:r w:rsidRPr="00EF34C7">
        <w:rPr>
          <w:rFonts w:ascii="Times New Roman" w:eastAsia="Arial Unicode MS" w:hAnsi="Times New Roman" w:cs="Times New Roman"/>
          <w:kern w:val="0"/>
          <w:u w:color="004C7F"/>
          <w:bdr w:val="nil"/>
          <w:lang w:val="sv-SE" w:eastAsia="en-GB"/>
          <w14:ligatures w14:val="none"/>
        </w:rPr>
        <w:t>Apr</w:t>
      </w:r>
      <w:proofErr w:type="gramEnd"/>
      <w:r w:rsidRPr="00EF34C7">
        <w:rPr>
          <w:rFonts w:ascii="Times New Roman" w:eastAsia="Arial Unicode MS" w:hAnsi="Times New Roman" w:cs="Times New Roman"/>
          <w:kern w:val="0"/>
          <w:u w:color="004C7F"/>
          <w:bdr w:val="nil"/>
          <w:lang w:val="sv-SE" w:eastAsia="en-GB"/>
          <w14:ligatures w14:val="none"/>
        </w:rPr>
        <w:t xml:space="preserve">;41(4):954–62. </w:t>
      </w:r>
    </w:p>
    <w:p w14:paraId="3B16312D"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sv-SE" w:eastAsia="en-GB"/>
          <w14:ligatures w14:val="none"/>
        </w:rPr>
        <w:t>42.</w:t>
      </w:r>
      <w:r w:rsidRPr="00EF34C7">
        <w:rPr>
          <w:rFonts w:ascii="Times New Roman" w:eastAsia="Arial Unicode MS" w:hAnsi="Times New Roman" w:cs="Times New Roman"/>
          <w:kern w:val="0"/>
          <w:u w:color="004C7F"/>
          <w:bdr w:val="nil"/>
          <w:lang w:val="sv-SE" w:eastAsia="en-GB"/>
          <w14:ligatures w14:val="none"/>
        </w:rPr>
        <w:tab/>
      </w:r>
      <w:proofErr w:type="spellStart"/>
      <w:r w:rsidRPr="00EF34C7">
        <w:rPr>
          <w:rFonts w:ascii="Times New Roman" w:eastAsia="Arial Unicode MS" w:hAnsi="Times New Roman" w:cs="Times New Roman"/>
          <w:kern w:val="0"/>
          <w:u w:color="004C7F"/>
          <w:bdr w:val="nil"/>
          <w:lang w:val="sv-SE" w:eastAsia="en-GB"/>
          <w14:ligatures w14:val="none"/>
        </w:rPr>
        <w:t>Kapitan</w:t>
      </w:r>
      <w:proofErr w:type="spellEnd"/>
      <w:r w:rsidRPr="00EF34C7">
        <w:rPr>
          <w:rFonts w:ascii="Times New Roman" w:eastAsia="Arial Unicode MS" w:hAnsi="Times New Roman" w:cs="Times New Roman"/>
          <w:kern w:val="0"/>
          <w:u w:color="004C7F"/>
          <w:bdr w:val="nil"/>
          <w:lang w:val="sv-SE" w:eastAsia="en-GB"/>
          <w14:ligatures w14:val="none"/>
        </w:rPr>
        <w:t xml:space="preserve"> E, Berg J, David S, N ML, </w:t>
      </w:r>
      <w:proofErr w:type="spellStart"/>
      <w:r w:rsidRPr="00EF34C7">
        <w:rPr>
          <w:rFonts w:ascii="Times New Roman" w:eastAsia="Arial Unicode MS" w:hAnsi="Times New Roman" w:cs="Times New Roman"/>
          <w:kern w:val="0"/>
          <w:u w:color="004C7F"/>
          <w:bdr w:val="nil"/>
          <w:lang w:val="sv-SE" w:eastAsia="en-GB"/>
          <w14:ligatures w14:val="none"/>
        </w:rPr>
        <w:t>Felländer-Tsai</w:t>
      </w:r>
      <w:proofErr w:type="spellEnd"/>
      <w:r w:rsidRPr="00EF34C7">
        <w:rPr>
          <w:rFonts w:ascii="Times New Roman" w:eastAsia="Arial Unicode MS" w:hAnsi="Times New Roman" w:cs="Times New Roman"/>
          <w:kern w:val="0"/>
          <w:u w:color="004C7F"/>
          <w:bdr w:val="nil"/>
          <w:lang w:val="sv-SE" w:eastAsia="en-GB"/>
          <w14:ligatures w14:val="none"/>
        </w:rPr>
        <w:t xml:space="preserve"> L, </w:t>
      </w:r>
      <w:proofErr w:type="spellStart"/>
      <w:r w:rsidRPr="00EF34C7">
        <w:rPr>
          <w:rFonts w:ascii="Times New Roman" w:eastAsia="Arial Unicode MS" w:hAnsi="Times New Roman" w:cs="Times New Roman"/>
          <w:kern w:val="0"/>
          <w:u w:color="004C7F"/>
          <w:bdr w:val="nil"/>
          <w:lang w:val="sv-SE" w:eastAsia="en-GB"/>
          <w14:ligatures w14:val="none"/>
        </w:rPr>
        <w:t>Chatterjee</w:t>
      </w:r>
      <w:proofErr w:type="spellEnd"/>
      <w:r w:rsidRPr="00EF34C7">
        <w:rPr>
          <w:rFonts w:ascii="Times New Roman" w:eastAsia="Arial Unicode MS" w:hAnsi="Times New Roman" w:cs="Times New Roman"/>
          <w:kern w:val="0"/>
          <w:u w:color="004C7F"/>
          <w:bdr w:val="nil"/>
          <w:lang w:val="sv-SE" w:eastAsia="en-GB"/>
          <w14:ligatures w14:val="none"/>
        </w:rPr>
        <w:t xml:space="preserve"> S, et al. </w:t>
      </w:r>
      <w:r w:rsidRPr="00EF34C7">
        <w:rPr>
          <w:rFonts w:ascii="Times New Roman" w:eastAsia="Arial Unicode MS" w:hAnsi="Times New Roman" w:cs="Times New Roman"/>
          <w:kern w:val="0"/>
          <w:u w:color="004C7F"/>
          <w:bdr w:val="nil"/>
          <w:lang w:val="en-GB" w:eastAsia="en-GB"/>
          <w14:ligatures w14:val="none"/>
        </w:rPr>
        <w:t xml:space="preserve">The effect of trauma quality improvement programme implementation on quality of life among trauma patients in urban India. Injury. 2025 Apr 15;112333. </w:t>
      </w:r>
    </w:p>
    <w:p w14:paraId="5D69500E"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43.</w:t>
      </w:r>
      <w:r w:rsidRPr="00EF34C7">
        <w:rPr>
          <w:rFonts w:ascii="Times New Roman" w:eastAsia="Arial Unicode MS" w:hAnsi="Times New Roman" w:cs="Times New Roman"/>
          <w:kern w:val="0"/>
          <w:u w:color="004C7F"/>
          <w:bdr w:val="nil"/>
          <w:lang w:val="en-GB" w:eastAsia="en-GB"/>
          <w14:ligatures w14:val="none"/>
        </w:rPr>
        <w:tab/>
        <w:t xml:space="preserve">Higgins AM, Neto AS, Bailey M, Barrett J, Bellomo R, Cooper DJ, et al. The psychometric properties and minimal clinically important difference for disability assessment using WHODAS 2.0 in critically ill patients. Critical Care and Resuscitation. 2021 Mar 1;23(1):103–12. </w:t>
      </w:r>
    </w:p>
    <w:p w14:paraId="2C311895"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sv-SE" w:eastAsia="en-GB"/>
          <w14:ligatures w14:val="none"/>
        </w:rPr>
      </w:pPr>
      <w:r w:rsidRPr="00EF34C7">
        <w:rPr>
          <w:rFonts w:ascii="Times New Roman" w:eastAsia="Arial Unicode MS" w:hAnsi="Times New Roman" w:cs="Times New Roman"/>
          <w:kern w:val="0"/>
          <w:u w:color="004C7F"/>
          <w:bdr w:val="nil"/>
          <w:lang w:val="en-GB" w:eastAsia="en-GB"/>
          <w14:ligatures w14:val="none"/>
        </w:rPr>
        <w:lastRenderedPageBreak/>
        <w:t>44.</w:t>
      </w:r>
      <w:r w:rsidRPr="00EF34C7">
        <w:rPr>
          <w:rFonts w:ascii="Times New Roman" w:eastAsia="Arial Unicode MS" w:hAnsi="Times New Roman" w:cs="Times New Roman"/>
          <w:kern w:val="0"/>
          <w:u w:color="004C7F"/>
          <w:bdr w:val="nil"/>
          <w:lang w:val="en-GB" w:eastAsia="en-GB"/>
          <w14:ligatures w14:val="none"/>
        </w:rPr>
        <w:tab/>
        <w:t>Harris PA, Taylor R, Thielke R, Payne J, Gonzalez N, Conde JG. Research electronic data capture (</w:t>
      </w:r>
      <w:proofErr w:type="spellStart"/>
      <w:r w:rsidRPr="00EF34C7">
        <w:rPr>
          <w:rFonts w:ascii="Times New Roman" w:eastAsia="Arial Unicode MS" w:hAnsi="Times New Roman" w:cs="Times New Roman"/>
          <w:kern w:val="0"/>
          <w:u w:color="004C7F"/>
          <w:bdr w:val="nil"/>
          <w:lang w:val="en-GB" w:eastAsia="en-GB"/>
          <w14:ligatures w14:val="none"/>
        </w:rPr>
        <w:t>REDCap</w:t>
      </w:r>
      <w:proofErr w:type="spellEnd"/>
      <w:r w:rsidRPr="00EF34C7">
        <w:rPr>
          <w:rFonts w:ascii="Times New Roman" w:eastAsia="Arial Unicode MS" w:hAnsi="Times New Roman" w:cs="Times New Roman"/>
          <w:kern w:val="0"/>
          <w:u w:color="004C7F"/>
          <w:bdr w:val="nil"/>
          <w:lang w:val="en-GB" w:eastAsia="en-GB"/>
          <w14:ligatures w14:val="none"/>
        </w:rPr>
        <w:t xml:space="preserve">)--a metadata-driven methodology and workflow process for providing translational research informatics support. </w:t>
      </w:r>
      <w:r w:rsidRPr="00EF34C7">
        <w:rPr>
          <w:rFonts w:ascii="Times New Roman" w:eastAsia="Arial Unicode MS" w:hAnsi="Times New Roman" w:cs="Times New Roman"/>
          <w:kern w:val="0"/>
          <w:u w:color="004C7F"/>
          <w:bdr w:val="nil"/>
          <w:lang w:val="sv-SE" w:eastAsia="en-GB"/>
          <w14:ligatures w14:val="none"/>
        </w:rPr>
        <w:t xml:space="preserve">J </w:t>
      </w:r>
      <w:proofErr w:type="spellStart"/>
      <w:r w:rsidRPr="00EF34C7">
        <w:rPr>
          <w:rFonts w:ascii="Times New Roman" w:eastAsia="Arial Unicode MS" w:hAnsi="Times New Roman" w:cs="Times New Roman"/>
          <w:kern w:val="0"/>
          <w:u w:color="004C7F"/>
          <w:bdr w:val="nil"/>
          <w:lang w:val="sv-SE" w:eastAsia="en-GB"/>
          <w14:ligatures w14:val="none"/>
        </w:rPr>
        <w:t>Biomed</w:t>
      </w:r>
      <w:proofErr w:type="spellEnd"/>
      <w:r w:rsidRPr="00EF34C7">
        <w:rPr>
          <w:rFonts w:ascii="Times New Roman" w:eastAsia="Arial Unicode MS" w:hAnsi="Times New Roman" w:cs="Times New Roman"/>
          <w:kern w:val="0"/>
          <w:u w:color="004C7F"/>
          <w:bdr w:val="nil"/>
          <w:lang w:val="sv-SE" w:eastAsia="en-GB"/>
          <w14:ligatures w14:val="none"/>
        </w:rPr>
        <w:t xml:space="preserve"> </w:t>
      </w:r>
      <w:proofErr w:type="spellStart"/>
      <w:r w:rsidRPr="00EF34C7">
        <w:rPr>
          <w:rFonts w:ascii="Times New Roman" w:eastAsia="Arial Unicode MS" w:hAnsi="Times New Roman" w:cs="Times New Roman"/>
          <w:kern w:val="0"/>
          <w:u w:color="004C7F"/>
          <w:bdr w:val="nil"/>
          <w:lang w:val="sv-SE" w:eastAsia="en-GB"/>
          <w14:ligatures w14:val="none"/>
        </w:rPr>
        <w:t>Inform</w:t>
      </w:r>
      <w:proofErr w:type="spellEnd"/>
      <w:r w:rsidRPr="00EF34C7">
        <w:rPr>
          <w:rFonts w:ascii="Times New Roman" w:eastAsia="Arial Unicode MS" w:hAnsi="Times New Roman" w:cs="Times New Roman"/>
          <w:kern w:val="0"/>
          <w:u w:color="004C7F"/>
          <w:bdr w:val="nil"/>
          <w:lang w:val="sv-SE" w:eastAsia="en-GB"/>
          <w14:ligatures w14:val="none"/>
        </w:rPr>
        <w:t xml:space="preserve">. 2009 </w:t>
      </w:r>
      <w:proofErr w:type="gramStart"/>
      <w:r w:rsidRPr="00EF34C7">
        <w:rPr>
          <w:rFonts w:ascii="Times New Roman" w:eastAsia="Arial Unicode MS" w:hAnsi="Times New Roman" w:cs="Times New Roman"/>
          <w:kern w:val="0"/>
          <w:u w:color="004C7F"/>
          <w:bdr w:val="nil"/>
          <w:lang w:val="sv-SE" w:eastAsia="en-GB"/>
          <w14:ligatures w14:val="none"/>
        </w:rPr>
        <w:t>Apr</w:t>
      </w:r>
      <w:proofErr w:type="gramEnd"/>
      <w:r w:rsidRPr="00EF34C7">
        <w:rPr>
          <w:rFonts w:ascii="Times New Roman" w:eastAsia="Arial Unicode MS" w:hAnsi="Times New Roman" w:cs="Times New Roman"/>
          <w:kern w:val="0"/>
          <w:u w:color="004C7F"/>
          <w:bdr w:val="nil"/>
          <w:lang w:val="sv-SE" w:eastAsia="en-GB"/>
          <w14:ligatures w14:val="none"/>
        </w:rPr>
        <w:t xml:space="preserve">;42(2):377–81. </w:t>
      </w:r>
    </w:p>
    <w:p w14:paraId="7288CA64"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sv-SE" w:eastAsia="en-GB"/>
          <w14:ligatures w14:val="none"/>
        </w:rPr>
        <w:t>45.</w:t>
      </w:r>
      <w:r w:rsidRPr="00EF34C7">
        <w:rPr>
          <w:rFonts w:ascii="Times New Roman" w:eastAsia="Arial Unicode MS" w:hAnsi="Times New Roman" w:cs="Times New Roman"/>
          <w:kern w:val="0"/>
          <w:u w:color="004C7F"/>
          <w:bdr w:val="nil"/>
          <w:lang w:val="sv-SE" w:eastAsia="en-GB"/>
          <w14:ligatures w14:val="none"/>
        </w:rPr>
        <w:tab/>
        <w:t xml:space="preserve">Harris PA, Taylor R, Minor BL, Elliott V, Fernandez M, O’Neal L, et al. </w:t>
      </w:r>
      <w:r w:rsidRPr="00EF34C7">
        <w:rPr>
          <w:rFonts w:ascii="Times New Roman" w:eastAsia="Arial Unicode MS" w:hAnsi="Times New Roman" w:cs="Times New Roman"/>
          <w:kern w:val="0"/>
          <w:u w:color="004C7F"/>
          <w:bdr w:val="nil"/>
          <w:lang w:val="en-GB" w:eastAsia="en-GB"/>
          <w14:ligatures w14:val="none"/>
        </w:rPr>
        <w:t xml:space="preserve">The </w:t>
      </w:r>
      <w:proofErr w:type="spellStart"/>
      <w:r w:rsidRPr="00EF34C7">
        <w:rPr>
          <w:rFonts w:ascii="Times New Roman" w:eastAsia="Arial Unicode MS" w:hAnsi="Times New Roman" w:cs="Times New Roman"/>
          <w:kern w:val="0"/>
          <w:u w:color="004C7F"/>
          <w:bdr w:val="nil"/>
          <w:lang w:val="en-GB" w:eastAsia="en-GB"/>
          <w14:ligatures w14:val="none"/>
        </w:rPr>
        <w:t>REDCap</w:t>
      </w:r>
      <w:proofErr w:type="spellEnd"/>
      <w:r w:rsidRPr="00EF34C7">
        <w:rPr>
          <w:rFonts w:ascii="Times New Roman" w:eastAsia="Arial Unicode MS" w:hAnsi="Times New Roman" w:cs="Times New Roman"/>
          <w:kern w:val="0"/>
          <w:u w:color="004C7F"/>
          <w:bdr w:val="nil"/>
          <w:lang w:val="en-GB" w:eastAsia="en-GB"/>
          <w14:ligatures w14:val="none"/>
        </w:rPr>
        <w:t xml:space="preserve"> consortium: Building an international community of software platform partners. J Biomed Inform. 2019 </w:t>
      </w:r>
      <w:proofErr w:type="gramStart"/>
      <w:r w:rsidRPr="00EF34C7">
        <w:rPr>
          <w:rFonts w:ascii="Times New Roman" w:eastAsia="Arial Unicode MS" w:hAnsi="Times New Roman" w:cs="Times New Roman"/>
          <w:kern w:val="0"/>
          <w:u w:color="004C7F"/>
          <w:bdr w:val="nil"/>
          <w:lang w:val="en-GB" w:eastAsia="en-GB"/>
          <w14:ligatures w14:val="none"/>
        </w:rPr>
        <w:t>July;95:103208</w:t>
      </w:r>
      <w:proofErr w:type="gramEnd"/>
      <w:r w:rsidRPr="00EF34C7">
        <w:rPr>
          <w:rFonts w:ascii="Times New Roman" w:eastAsia="Arial Unicode MS" w:hAnsi="Times New Roman" w:cs="Times New Roman"/>
          <w:kern w:val="0"/>
          <w:u w:color="004C7F"/>
          <w:bdr w:val="nil"/>
          <w:lang w:val="en-GB" w:eastAsia="en-GB"/>
          <w14:ligatures w14:val="none"/>
        </w:rPr>
        <w:t xml:space="preserve">. </w:t>
      </w:r>
    </w:p>
    <w:p w14:paraId="04C95C5D"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46.</w:t>
      </w:r>
      <w:r w:rsidRPr="00EF34C7">
        <w:rPr>
          <w:rFonts w:ascii="Times New Roman" w:eastAsia="Arial Unicode MS" w:hAnsi="Times New Roman" w:cs="Times New Roman"/>
          <w:kern w:val="0"/>
          <w:u w:color="004C7F"/>
          <w:bdr w:val="nil"/>
          <w:lang w:val="en-GB" w:eastAsia="en-GB"/>
          <w14:ligatures w14:val="none"/>
        </w:rPr>
        <w:tab/>
        <w:t xml:space="preserve">Li F, Hughes JP, Hemming K, Taljaard M, Melnick ER, Heagerty PJ. Mixed-effects models for the design and analysis of stepped wedge cluster randomized trials: An overview. Statistical Methods in Medical Research. 2020 July;30(2):612–39. </w:t>
      </w:r>
    </w:p>
    <w:p w14:paraId="3BE8FCD4"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47.</w:t>
      </w:r>
      <w:r w:rsidRPr="00EF34C7">
        <w:rPr>
          <w:rFonts w:ascii="Times New Roman" w:eastAsia="Arial Unicode MS" w:hAnsi="Times New Roman" w:cs="Times New Roman"/>
          <w:kern w:val="0"/>
          <w:u w:color="004C7F"/>
          <w:bdr w:val="nil"/>
          <w:lang w:val="en-GB" w:eastAsia="en-GB"/>
          <w14:ligatures w14:val="none"/>
        </w:rPr>
        <w:tab/>
      </w:r>
      <w:proofErr w:type="spellStart"/>
      <w:r w:rsidRPr="00EF34C7">
        <w:rPr>
          <w:rFonts w:ascii="Times New Roman" w:eastAsia="Arial Unicode MS" w:hAnsi="Times New Roman" w:cs="Times New Roman"/>
          <w:kern w:val="0"/>
          <w:u w:color="004C7F"/>
          <w:bdr w:val="nil"/>
          <w:lang w:val="en-GB" w:eastAsia="en-GB"/>
          <w14:ligatures w14:val="none"/>
        </w:rPr>
        <w:t>Voldal</w:t>
      </w:r>
      <w:proofErr w:type="spellEnd"/>
      <w:r w:rsidRPr="00EF34C7">
        <w:rPr>
          <w:rFonts w:ascii="Times New Roman" w:eastAsia="Arial Unicode MS" w:hAnsi="Times New Roman" w:cs="Times New Roman"/>
          <w:kern w:val="0"/>
          <w:u w:color="004C7F"/>
          <w:bdr w:val="nil"/>
          <w:lang w:val="en-GB" w:eastAsia="en-GB"/>
          <w14:ligatures w14:val="none"/>
        </w:rPr>
        <w:t xml:space="preserve"> EC, Xia F, Kenny A, Heagerty PJ, Hughes JP. Model misspecification in stepped wedge trials: Random effects for time or treatment. Stat Med. 2022 May 10;41(10):1751–66. </w:t>
      </w:r>
    </w:p>
    <w:p w14:paraId="74382ED3"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48.</w:t>
      </w:r>
      <w:r w:rsidRPr="00EF34C7">
        <w:rPr>
          <w:rFonts w:ascii="Times New Roman" w:eastAsia="Arial Unicode MS" w:hAnsi="Times New Roman" w:cs="Times New Roman"/>
          <w:kern w:val="0"/>
          <w:u w:color="004C7F"/>
          <w:bdr w:val="nil"/>
          <w:lang w:val="en-GB" w:eastAsia="en-GB"/>
          <w14:ligatures w14:val="none"/>
        </w:rPr>
        <w:tab/>
        <w:t xml:space="preserve">Grantham KL, Kasza J, Heritier S, Carlin JB, Forbes AB. Evaluating the performance of Bayesian and restricted maximum likelihood estimation for stepped wedge cluster randomized trials with a small number of clusters. BMC Med Res </w:t>
      </w:r>
      <w:proofErr w:type="spellStart"/>
      <w:r w:rsidRPr="00EF34C7">
        <w:rPr>
          <w:rFonts w:ascii="Times New Roman" w:eastAsia="Arial Unicode MS" w:hAnsi="Times New Roman" w:cs="Times New Roman"/>
          <w:kern w:val="0"/>
          <w:u w:color="004C7F"/>
          <w:bdr w:val="nil"/>
          <w:lang w:val="en-GB" w:eastAsia="en-GB"/>
          <w14:ligatures w14:val="none"/>
        </w:rPr>
        <w:t>Methodol</w:t>
      </w:r>
      <w:proofErr w:type="spellEnd"/>
      <w:r w:rsidRPr="00EF34C7">
        <w:rPr>
          <w:rFonts w:ascii="Times New Roman" w:eastAsia="Arial Unicode MS" w:hAnsi="Times New Roman" w:cs="Times New Roman"/>
          <w:kern w:val="0"/>
          <w:u w:color="004C7F"/>
          <w:bdr w:val="nil"/>
          <w:lang w:val="en-GB" w:eastAsia="en-GB"/>
          <w14:ligatures w14:val="none"/>
        </w:rPr>
        <w:t xml:space="preserve">. 2022 Apr 13;22(1):112. </w:t>
      </w:r>
    </w:p>
    <w:p w14:paraId="2A693E61"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49.</w:t>
      </w:r>
      <w:r w:rsidRPr="00EF34C7">
        <w:rPr>
          <w:rFonts w:ascii="Times New Roman" w:eastAsia="Arial Unicode MS" w:hAnsi="Times New Roman" w:cs="Times New Roman"/>
          <w:kern w:val="0"/>
          <w:u w:color="004C7F"/>
          <w:bdr w:val="nil"/>
          <w:lang w:val="en-GB" w:eastAsia="en-GB"/>
          <w14:ligatures w14:val="none"/>
        </w:rPr>
        <w:tab/>
        <w:t xml:space="preserve">Diaz T, Strong KL, Cao B, </w:t>
      </w:r>
      <w:proofErr w:type="spellStart"/>
      <w:r w:rsidRPr="00EF34C7">
        <w:rPr>
          <w:rFonts w:ascii="Times New Roman" w:eastAsia="Arial Unicode MS" w:hAnsi="Times New Roman" w:cs="Times New Roman"/>
          <w:kern w:val="0"/>
          <w:u w:color="004C7F"/>
          <w:bdr w:val="nil"/>
          <w:lang w:val="en-GB" w:eastAsia="en-GB"/>
          <w14:ligatures w14:val="none"/>
        </w:rPr>
        <w:t>Guthold</w:t>
      </w:r>
      <w:proofErr w:type="spellEnd"/>
      <w:r w:rsidRPr="00EF34C7">
        <w:rPr>
          <w:rFonts w:ascii="Times New Roman" w:eastAsia="Arial Unicode MS" w:hAnsi="Times New Roman" w:cs="Times New Roman"/>
          <w:kern w:val="0"/>
          <w:u w:color="004C7F"/>
          <w:bdr w:val="nil"/>
          <w:lang w:val="en-GB" w:eastAsia="en-GB"/>
          <w14:ligatures w14:val="none"/>
        </w:rPr>
        <w:t xml:space="preserve"> R, Moran AC, Moller AB, et al. A call for standardised age-disaggregated health data. The Lancet Healthy Longevity. 2021 July 1;2(7</w:t>
      </w:r>
      <w:proofErr w:type="gramStart"/>
      <w:r w:rsidRPr="00EF34C7">
        <w:rPr>
          <w:rFonts w:ascii="Times New Roman" w:eastAsia="Arial Unicode MS" w:hAnsi="Times New Roman" w:cs="Times New Roman"/>
          <w:kern w:val="0"/>
          <w:u w:color="004C7F"/>
          <w:bdr w:val="nil"/>
          <w:lang w:val="en-GB" w:eastAsia="en-GB"/>
          <w14:ligatures w14:val="none"/>
        </w:rPr>
        <w:t>):e</w:t>
      </w:r>
      <w:proofErr w:type="gramEnd"/>
      <w:r w:rsidRPr="00EF34C7">
        <w:rPr>
          <w:rFonts w:ascii="Times New Roman" w:eastAsia="Arial Unicode MS" w:hAnsi="Times New Roman" w:cs="Times New Roman"/>
          <w:kern w:val="0"/>
          <w:u w:color="004C7F"/>
          <w:bdr w:val="nil"/>
          <w:lang w:val="en-GB" w:eastAsia="en-GB"/>
          <w14:ligatures w14:val="none"/>
        </w:rPr>
        <w:t xml:space="preserve">436–43. </w:t>
      </w:r>
    </w:p>
    <w:p w14:paraId="228ACE1B"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50.</w:t>
      </w:r>
      <w:r w:rsidRPr="00EF34C7">
        <w:rPr>
          <w:rFonts w:ascii="Times New Roman" w:eastAsia="Arial Unicode MS" w:hAnsi="Times New Roman" w:cs="Times New Roman"/>
          <w:kern w:val="0"/>
          <w:u w:color="004C7F"/>
          <w:bdr w:val="nil"/>
          <w:lang w:val="en-GB" w:eastAsia="en-GB"/>
          <w14:ligatures w14:val="none"/>
        </w:rPr>
        <w:tab/>
        <w:t xml:space="preserve">Hornor MA, Hoeft C, </w:t>
      </w:r>
      <w:proofErr w:type="spellStart"/>
      <w:r w:rsidRPr="00EF34C7">
        <w:rPr>
          <w:rFonts w:ascii="Times New Roman" w:eastAsia="Arial Unicode MS" w:hAnsi="Times New Roman" w:cs="Times New Roman"/>
          <w:kern w:val="0"/>
          <w:u w:color="004C7F"/>
          <w:bdr w:val="nil"/>
          <w:lang w:val="en-GB" w:eastAsia="en-GB"/>
          <w14:ligatures w14:val="none"/>
        </w:rPr>
        <w:t>Nathens</w:t>
      </w:r>
      <w:proofErr w:type="spellEnd"/>
      <w:r w:rsidRPr="00EF34C7">
        <w:rPr>
          <w:rFonts w:ascii="Times New Roman" w:eastAsia="Arial Unicode MS" w:hAnsi="Times New Roman" w:cs="Times New Roman"/>
          <w:kern w:val="0"/>
          <w:u w:color="004C7F"/>
          <w:bdr w:val="nil"/>
          <w:lang w:val="en-GB" w:eastAsia="en-GB"/>
          <w14:ligatures w14:val="none"/>
        </w:rPr>
        <w:t xml:space="preserve"> AB. Quality Benchmarking in Trauma: from the NTDB to TQIP. Current Trauma Reports. 2018 Apr;4(2):160–9. </w:t>
      </w:r>
    </w:p>
    <w:p w14:paraId="4211A47F"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51.</w:t>
      </w:r>
      <w:r w:rsidRPr="00EF34C7">
        <w:rPr>
          <w:rFonts w:ascii="Times New Roman" w:eastAsia="Arial Unicode MS" w:hAnsi="Times New Roman" w:cs="Times New Roman"/>
          <w:kern w:val="0"/>
          <w:u w:color="004C7F"/>
          <w:bdr w:val="nil"/>
          <w:lang w:val="en-GB" w:eastAsia="en-GB"/>
          <w14:ligatures w14:val="none"/>
        </w:rPr>
        <w:tab/>
        <w:t xml:space="preserve">Kamp CB, Dankiewicz J, Harboe Olsen M, Holgersson J, Saxena M, Young P, et al. Sedation, temperature and pressure after cardiac arrest and resuscitation—The STEPCARE trial: A statistical analysis plan. Acta </w:t>
      </w:r>
      <w:proofErr w:type="spellStart"/>
      <w:r w:rsidRPr="00EF34C7">
        <w:rPr>
          <w:rFonts w:ascii="Times New Roman" w:eastAsia="Arial Unicode MS" w:hAnsi="Times New Roman" w:cs="Times New Roman"/>
          <w:kern w:val="0"/>
          <w:u w:color="004C7F"/>
          <w:bdr w:val="nil"/>
          <w:lang w:val="en-GB" w:eastAsia="en-GB"/>
          <w14:ligatures w14:val="none"/>
        </w:rPr>
        <w:t>Anaesthesiologica</w:t>
      </w:r>
      <w:proofErr w:type="spellEnd"/>
      <w:r w:rsidRPr="00EF34C7">
        <w:rPr>
          <w:rFonts w:ascii="Times New Roman" w:eastAsia="Arial Unicode MS" w:hAnsi="Times New Roman" w:cs="Times New Roman"/>
          <w:kern w:val="0"/>
          <w:u w:color="004C7F"/>
          <w:bdr w:val="nil"/>
          <w:lang w:val="en-GB" w:eastAsia="en-GB"/>
          <w14:ligatures w14:val="none"/>
        </w:rPr>
        <w:t xml:space="preserve"> Scandinavica. 2025;69(5</w:t>
      </w:r>
      <w:proofErr w:type="gramStart"/>
      <w:r w:rsidRPr="00EF34C7">
        <w:rPr>
          <w:rFonts w:ascii="Times New Roman" w:eastAsia="Arial Unicode MS" w:hAnsi="Times New Roman" w:cs="Times New Roman"/>
          <w:kern w:val="0"/>
          <w:u w:color="004C7F"/>
          <w:bdr w:val="nil"/>
          <w:lang w:val="en-GB" w:eastAsia="en-GB"/>
          <w14:ligatures w14:val="none"/>
        </w:rPr>
        <w:t>):e</w:t>
      </w:r>
      <w:proofErr w:type="gramEnd"/>
      <w:r w:rsidRPr="00EF34C7">
        <w:rPr>
          <w:rFonts w:ascii="Times New Roman" w:eastAsia="Arial Unicode MS" w:hAnsi="Times New Roman" w:cs="Times New Roman"/>
          <w:kern w:val="0"/>
          <w:u w:color="004C7F"/>
          <w:bdr w:val="nil"/>
          <w:lang w:val="en-GB" w:eastAsia="en-GB"/>
          <w14:ligatures w14:val="none"/>
        </w:rPr>
        <w:t xml:space="preserve">70033. </w:t>
      </w:r>
    </w:p>
    <w:p w14:paraId="39E068F0" w14:textId="77777777" w:rsidR="00EF34C7" w:rsidRPr="00EF34C7" w:rsidRDefault="00EF34C7" w:rsidP="00EF34C7">
      <w:pPr>
        <w:tabs>
          <w:tab w:val="left" w:pos="380"/>
        </w:tabs>
        <w:spacing w:after="240"/>
        <w:ind w:left="384" w:hanging="384"/>
        <w:rPr>
          <w:rFonts w:ascii="Times New Roman" w:eastAsia="Arial Unicode MS" w:hAnsi="Times New Roman" w:cs="Times New Roman"/>
          <w:kern w:val="0"/>
          <w:u w:color="004C7F"/>
          <w:bdr w:val="nil"/>
          <w:lang w:val="en-GB" w:eastAsia="en-GB"/>
          <w14:ligatures w14:val="none"/>
        </w:rPr>
      </w:pPr>
      <w:r w:rsidRPr="00EF34C7">
        <w:rPr>
          <w:rFonts w:ascii="Times New Roman" w:eastAsia="Arial Unicode MS" w:hAnsi="Times New Roman" w:cs="Times New Roman"/>
          <w:kern w:val="0"/>
          <w:u w:color="004C7F"/>
          <w:bdr w:val="nil"/>
          <w:lang w:val="en-GB" w:eastAsia="en-GB"/>
          <w14:ligatures w14:val="none"/>
        </w:rPr>
        <w:t>52.</w:t>
      </w:r>
      <w:r w:rsidRPr="00EF34C7">
        <w:rPr>
          <w:rFonts w:ascii="Times New Roman" w:eastAsia="Arial Unicode MS" w:hAnsi="Times New Roman" w:cs="Times New Roman"/>
          <w:kern w:val="0"/>
          <w:u w:color="004C7F"/>
          <w:bdr w:val="nil"/>
          <w:lang w:val="en-GB" w:eastAsia="en-GB"/>
          <w14:ligatures w14:val="none"/>
        </w:rPr>
        <w:tab/>
        <w:t>ICMJE | Recommendations | Defining the Role of Authors and Contributors [Internet]. [cited 2024 Feb 9]. Available from: https://www.icmje.org/recommendations/browse/roles-and-responsibilities/defining-the-role-of-authors-and-contributors.html</w:t>
      </w:r>
    </w:p>
    <w:p w14:paraId="71269FFE" w14:textId="77777777" w:rsidR="00EF34C7" w:rsidRPr="00EF34C7" w:rsidRDefault="00EF34C7" w:rsidP="00EF34C7">
      <w:pPr>
        <w:tabs>
          <w:tab w:val="left" w:pos="380"/>
        </w:tabs>
        <w:spacing w:after="240"/>
        <w:ind w:left="384" w:hanging="384"/>
        <w:rPr>
          <w:rFonts w:ascii="Times New Roman" w:eastAsia="Times New Roman" w:hAnsi="Times New Roman" w:cs="Times New Roman"/>
          <w:kern w:val="0"/>
          <w:u w:color="004C7F"/>
          <w:lang w:eastAsia="en-GB"/>
          <w14:ligatures w14:val="none"/>
        </w:rPr>
      </w:pPr>
      <w:r w:rsidRPr="00EF34C7">
        <w:rPr>
          <w:rFonts w:ascii="Times New Roman" w:eastAsia="Times New Roman" w:hAnsi="Times New Roman" w:cs="Times New Roman"/>
          <w:kern w:val="0"/>
          <w:u w:color="004C7F"/>
          <w:lang w:eastAsia="en-GB"/>
          <w14:ligatures w14:val="none"/>
        </w:rPr>
        <w:fldChar w:fldCharType="end"/>
      </w:r>
    </w:p>
    <w:p w14:paraId="54168A23" w14:textId="77777777" w:rsidR="00CF6D22" w:rsidRDefault="00CF6D22"/>
    <w:sectPr w:rsidR="00CF6D22" w:rsidSect="00EF34C7">
      <w:footerReference w:type="default" r:id="rId9"/>
      <w:pgSz w:w="11900" w:h="16840"/>
      <w:pgMar w:top="1440" w:right="1134" w:bottom="1440" w:left="1134" w:header="709" w:footer="709"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10006FF" w:usb1="4000205B" w:usb2="00000010" w:usb3="00000000" w:csb0="0000019F" w:csb1="00000000"/>
  </w:font>
  <w:font w:name="Cambria Math">
    <w:panose1 w:val="02040503050406030204"/>
    <w:charset w:val="00"/>
    <w:family w:val="roman"/>
    <w:pitch w:val="variable"/>
    <w:sig w:usb0="E00002FF" w:usb1="420024FF" w:usb2="00000000" w:usb3="00000000" w:csb0="0000019F" w:csb1="00000000"/>
  </w:font>
  <w:font w:name="Gungsuh">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DEA63" w14:textId="77777777" w:rsidR="00EF34C7" w:rsidRDefault="00EF34C7">
    <w:pPr>
      <w:pStyle w:val="HeaderFooterA"/>
      <w:jc w:val="center"/>
    </w:pPr>
    <w:r>
      <w:rPr>
        <w:rFonts w:ascii="Arial" w:hAnsi="Arial"/>
        <w:sz w:val="18"/>
        <w:szCs w:val="18"/>
      </w:rPr>
      <w:t xml:space="preserve">Page </w:t>
    </w:r>
    <w:r>
      <w:rPr>
        <w:rFonts w:ascii="Arial" w:eastAsia="Arial" w:hAnsi="Arial" w:cs="Arial"/>
        <w:sz w:val="18"/>
        <w:szCs w:val="18"/>
      </w:rPr>
      <w:fldChar w:fldCharType="begin"/>
    </w:r>
    <w:r>
      <w:rPr>
        <w:rFonts w:ascii="Arial" w:eastAsia="Arial" w:hAnsi="Arial" w:cs="Arial"/>
        <w:sz w:val="18"/>
        <w:szCs w:val="18"/>
      </w:rPr>
      <w:instrText xml:space="preserve"> PAGE </w:instrText>
    </w:r>
    <w:r>
      <w:rPr>
        <w:rFonts w:ascii="Arial" w:eastAsia="Arial" w:hAnsi="Arial" w:cs="Arial"/>
        <w:sz w:val="18"/>
        <w:szCs w:val="18"/>
      </w:rPr>
      <w:fldChar w:fldCharType="separate"/>
    </w:r>
    <w:r>
      <w:rPr>
        <w:rFonts w:ascii="Arial" w:eastAsia="Arial" w:hAnsi="Arial" w:cs="Arial"/>
        <w:noProof/>
        <w:sz w:val="18"/>
        <w:szCs w:val="18"/>
      </w:rPr>
      <w:t>1</w:t>
    </w:r>
    <w:r>
      <w:rPr>
        <w:rFonts w:ascii="Arial" w:eastAsia="Arial" w:hAnsi="Arial" w:cs="Arial"/>
        <w:sz w:val="18"/>
        <w:szCs w:val="18"/>
      </w:rPr>
      <w:fldChar w:fldCharType="end"/>
    </w:r>
    <w:r>
      <w:rPr>
        <w:rFonts w:ascii="Arial" w:hAnsi="Arial"/>
        <w:sz w:val="18"/>
        <w:szCs w:val="18"/>
      </w:rPr>
      <w:t xml:space="preserve"> of </w:t>
    </w:r>
    <w:r>
      <w:rPr>
        <w:rFonts w:ascii="Arial" w:eastAsia="Arial" w:hAnsi="Arial" w:cs="Arial"/>
        <w:sz w:val="18"/>
        <w:szCs w:val="18"/>
      </w:rPr>
      <w:fldChar w:fldCharType="begin"/>
    </w:r>
    <w:r>
      <w:rPr>
        <w:rFonts w:ascii="Arial" w:eastAsia="Arial" w:hAnsi="Arial" w:cs="Arial"/>
        <w:sz w:val="18"/>
        <w:szCs w:val="18"/>
      </w:rPr>
      <w:instrText xml:space="preserve"> NUMPAGES </w:instrText>
    </w:r>
    <w:r>
      <w:rPr>
        <w:rFonts w:ascii="Arial" w:eastAsia="Arial" w:hAnsi="Arial" w:cs="Arial"/>
        <w:sz w:val="18"/>
        <w:szCs w:val="18"/>
      </w:rPr>
      <w:fldChar w:fldCharType="separate"/>
    </w:r>
    <w:r>
      <w:rPr>
        <w:rFonts w:ascii="Arial" w:eastAsia="Arial" w:hAnsi="Arial" w:cs="Arial"/>
        <w:noProof/>
        <w:sz w:val="18"/>
        <w:szCs w:val="18"/>
      </w:rPr>
      <w:t>2</w:t>
    </w:r>
    <w:r>
      <w:rPr>
        <w:rFonts w:ascii="Arial" w:eastAsia="Arial" w:hAnsi="Arial" w:cs="Arial"/>
        <w:sz w:val="18"/>
        <w:szCs w:val="18"/>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6567E"/>
    <w:multiLevelType w:val="hybridMultilevel"/>
    <w:tmpl w:val="AFCEE2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5B45BC4"/>
    <w:multiLevelType w:val="multilevel"/>
    <w:tmpl w:val="56ECFE9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8F63A63"/>
    <w:multiLevelType w:val="hybridMultilevel"/>
    <w:tmpl w:val="2B84F5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0632C11"/>
    <w:multiLevelType w:val="hybridMultilevel"/>
    <w:tmpl w:val="93A24C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1222794"/>
    <w:multiLevelType w:val="multilevel"/>
    <w:tmpl w:val="27C896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38AD7BE9"/>
    <w:multiLevelType w:val="multilevel"/>
    <w:tmpl w:val="B990780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41F93F07"/>
    <w:multiLevelType w:val="multilevel"/>
    <w:tmpl w:val="77A09F86"/>
    <w:lvl w:ilvl="0">
      <w:start w:val="1"/>
      <w:numFmt w:val="decimal"/>
      <w:lvlText w:val="•"/>
      <w:lvlJc w:val="left"/>
      <w:pPr>
        <w:ind w:left="72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7343EFE"/>
    <w:multiLevelType w:val="hybridMultilevel"/>
    <w:tmpl w:val="7FE84E38"/>
    <w:numStyleLink w:val="ImportedStyle1"/>
  </w:abstractNum>
  <w:abstractNum w:abstractNumId="8" w15:restartNumberingAfterBreak="0">
    <w:nsid w:val="59722594"/>
    <w:multiLevelType w:val="multilevel"/>
    <w:tmpl w:val="94D8A2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AA36A03"/>
    <w:multiLevelType w:val="multilevel"/>
    <w:tmpl w:val="61A4310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EA77652"/>
    <w:multiLevelType w:val="hybridMultilevel"/>
    <w:tmpl w:val="F9945F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2C146CA"/>
    <w:multiLevelType w:val="multilevel"/>
    <w:tmpl w:val="CAE65F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707B752D"/>
    <w:multiLevelType w:val="multilevel"/>
    <w:tmpl w:val="045CB4E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722134A1"/>
    <w:multiLevelType w:val="hybridMultilevel"/>
    <w:tmpl w:val="7FE84E38"/>
    <w:styleLink w:val="ImportedStyle1"/>
    <w:lvl w:ilvl="0" w:tplc="39B688E6">
      <w:start w:val="1"/>
      <w:numFmt w:val="bullet"/>
      <w:lvlText w:val="•"/>
      <w:lvlJc w:val="left"/>
      <w:pPr>
        <w:ind w:left="36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1" w:tplc="4FAE295A">
      <w:start w:val="1"/>
      <w:numFmt w:val="bullet"/>
      <w:lvlText w:val="•"/>
      <w:lvlJc w:val="left"/>
      <w:pPr>
        <w:ind w:left="108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2" w:tplc="DB7CD50C">
      <w:start w:val="1"/>
      <w:numFmt w:val="bullet"/>
      <w:lvlText w:val="•"/>
      <w:lvlJc w:val="left"/>
      <w:pPr>
        <w:ind w:left="180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3" w:tplc="EF704188">
      <w:start w:val="1"/>
      <w:numFmt w:val="bullet"/>
      <w:lvlText w:val="•"/>
      <w:lvlJc w:val="left"/>
      <w:pPr>
        <w:ind w:left="252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4" w:tplc="8FE008D6">
      <w:start w:val="1"/>
      <w:numFmt w:val="bullet"/>
      <w:lvlText w:val="•"/>
      <w:lvlJc w:val="left"/>
      <w:pPr>
        <w:ind w:left="324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5" w:tplc="6FE4DF32">
      <w:start w:val="1"/>
      <w:numFmt w:val="bullet"/>
      <w:lvlText w:val="•"/>
      <w:lvlJc w:val="left"/>
      <w:pPr>
        <w:ind w:left="396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6" w:tplc="11C8A000">
      <w:start w:val="1"/>
      <w:numFmt w:val="bullet"/>
      <w:lvlText w:val="•"/>
      <w:lvlJc w:val="left"/>
      <w:pPr>
        <w:ind w:left="468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7" w:tplc="8B82974C">
      <w:start w:val="1"/>
      <w:numFmt w:val="bullet"/>
      <w:lvlText w:val="•"/>
      <w:lvlJc w:val="left"/>
      <w:pPr>
        <w:ind w:left="540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8" w:tplc="E91ED6BA">
      <w:start w:val="1"/>
      <w:numFmt w:val="bullet"/>
      <w:lvlText w:val="•"/>
      <w:lvlJc w:val="left"/>
      <w:pPr>
        <w:ind w:left="612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abstractNum>
  <w:abstractNum w:abstractNumId="14" w15:restartNumberingAfterBreak="0">
    <w:nsid w:val="76574326"/>
    <w:multiLevelType w:val="multilevel"/>
    <w:tmpl w:val="90EEA6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7A462486"/>
    <w:multiLevelType w:val="multilevel"/>
    <w:tmpl w:val="AC72FB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2024044957">
    <w:abstractNumId w:val="13"/>
  </w:num>
  <w:num w:numId="2" w16cid:durableId="1652369309">
    <w:abstractNumId w:val="7"/>
  </w:num>
  <w:num w:numId="3" w16cid:durableId="2057967947">
    <w:abstractNumId w:val="2"/>
  </w:num>
  <w:num w:numId="4" w16cid:durableId="1046872667">
    <w:abstractNumId w:val="0"/>
  </w:num>
  <w:num w:numId="5" w16cid:durableId="1459373889">
    <w:abstractNumId w:val="10"/>
  </w:num>
  <w:num w:numId="6" w16cid:durableId="398745416">
    <w:abstractNumId w:val="3"/>
  </w:num>
  <w:num w:numId="7" w16cid:durableId="597905245">
    <w:abstractNumId w:val="1"/>
  </w:num>
  <w:num w:numId="8" w16cid:durableId="1586572202">
    <w:abstractNumId w:val="9"/>
  </w:num>
  <w:num w:numId="9" w16cid:durableId="1542397788">
    <w:abstractNumId w:val="12"/>
  </w:num>
  <w:num w:numId="10" w16cid:durableId="1611279828">
    <w:abstractNumId w:val="4"/>
  </w:num>
  <w:num w:numId="11" w16cid:durableId="1322544313">
    <w:abstractNumId w:val="5"/>
  </w:num>
  <w:num w:numId="12" w16cid:durableId="1842892565">
    <w:abstractNumId w:val="6"/>
  </w:num>
  <w:num w:numId="13" w16cid:durableId="612395717">
    <w:abstractNumId w:val="11"/>
  </w:num>
  <w:num w:numId="14" w16cid:durableId="2101636987">
    <w:abstractNumId w:val="15"/>
  </w:num>
  <w:num w:numId="15" w16cid:durableId="413087099">
    <w:abstractNumId w:val="8"/>
  </w:num>
  <w:num w:numId="16" w16cid:durableId="176634158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4C7"/>
    <w:rsid w:val="002D549B"/>
    <w:rsid w:val="008C4F38"/>
    <w:rsid w:val="00C3753A"/>
    <w:rsid w:val="00CF6D22"/>
    <w:rsid w:val="00EA346B"/>
    <w:rsid w:val="00EF34C7"/>
    <w:rsid w:val="00FA4779"/>
  </w:rsids>
  <m:mathPr>
    <m:mathFont m:val="Cambria Math"/>
    <m:brkBin m:val="before"/>
    <m:brkBinSub m:val="--"/>
    <m:smallFrac m:val="0"/>
    <m:dispDef/>
    <m:lMargin m:val="0"/>
    <m:rMargin m:val="0"/>
    <m:defJc m:val="centerGroup"/>
    <m:wrapIndent m:val="1440"/>
    <m:intLim m:val="subSup"/>
    <m:naryLim m:val="undOvr"/>
  </m:mathPr>
  <w:themeFontLang w:val="en-SE"/>
  <w:clrSchemeMapping w:bg1="light1" w:t1="dark1" w:bg2="light2" w:t2="dark2" w:accent1="accent1" w:accent2="accent2" w:accent3="accent3" w:accent4="accent4" w:accent5="accent5" w:accent6="accent6" w:hyperlink="hyperlink" w:followedHyperlink="followedHyperlink"/>
  <w:decimalSymbol w:val=","/>
  <w:listSeparator w:val=","/>
  <w14:docId w14:val="263C34D6"/>
  <w15:chartTrackingRefBased/>
  <w15:docId w15:val="{474EBFB3-29ED-1341-BE7E-7E346A1A8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34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34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34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34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34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34C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EF34C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EF34C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EF34C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4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34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34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34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34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34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EF34C7"/>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EF34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EF34C7"/>
    <w:rPr>
      <w:rFonts w:eastAsiaTheme="majorEastAsia" w:cstheme="majorBidi"/>
      <w:color w:val="272727" w:themeColor="text1" w:themeTint="D8"/>
    </w:rPr>
  </w:style>
  <w:style w:type="paragraph" w:styleId="Title">
    <w:name w:val="Title"/>
    <w:basedOn w:val="Normal"/>
    <w:next w:val="Normal"/>
    <w:link w:val="TitleChar"/>
    <w:uiPriority w:val="10"/>
    <w:qFormat/>
    <w:rsid w:val="00EF34C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34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34C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34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34C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F34C7"/>
    <w:rPr>
      <w:i/>
      <w:iCs/>
      <w:color w:val="404040" w:themeColor="text1" w:themeTint="BF"/>
    </w:rPr>
  </w:style>
  <w:style w:type="paragraph" w:styleId="ListParagraph">
    <w:name w:val="List Paragraph"/>
    <w:basedOn w:val="Normal"/>
    <w:uiPriority w:val="34"/>
    <w:qFormat/>
    <w:rsid w:val="00EF34C7"/>
    <w:pPr>
      <w:ind w:left="720"/>
      <w:contextualSpacing/>
    </w:pPr>
  </w:style>
  <w:style w:type="character" w:styleId="IntenseEmphasis">
    <w:name w:val="Intense Emphasis"/>
    <w:basedOn w:val="DefaultParagraphFont"/>
    <w:uiPriority w:val="21"/>
    <w:qFormat/>
    <w:rsid w:val="00EF34C7"/>
    <w:rPr>
      <w:i/>
      <w:iCs/>
      <w:color w:val="0F4761" w:themeColor="accent1" w:themeShade="BF"/>
    </w:rPr>
  </w:style>
  <w:style w:type="paragraph" w:styleId="IntenseQuote">
    <w:name w:val="Intense Quote"/>
    <w:basedOn w:val="Normal"/>
    <w:next w:val="Normal"/>
    <w:link w:val="IntenseQuoteChar"/>
    <w:uiPriority w:val="30"/>
    <w:qFormat/>
    <w:rsid w:val="00EF34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34C7"/>
    <w:rPr>
      <w:i/>
      <w:iCs/>
      <w:color w:val="0F4761" w:themeColor="accent1" w:themeShade="BF"/>
    </w:rPr>
  </w:style>
  <w:style w:type="character" w:styleId="IntenseReference">
    <w:name w:val="Intense Reference"/>
    <w:basedOn w:val="DefaultParagraphFont"/>
    <w:uiPriority w:val="32"/>
    <w:qFormat/>
    <w:rsid w:val="00EF34C7"/>
    <w:rPr>
      <w:b/>
      <w:bCs/>
      <w:smallCaps/>
      <w:color w:val="0F4761" w:themeColor="accent1" w:themeShade="BF"/>
      <w:spacing w:val="5"/>
    </w:rPr>
  </w:style>
  <w:style w:type="numbering" w:customStyle="1" w:styleId="NoList1">
    <w:name w:val="No List1"/>
    <w:next w:val="NoList"/>
    <w:uiPriority w:val="99"/>
    <w:semiHidden/>
    <w:unhideWhenUsed/>
    <w:rsid w:val="00EF34C7"/>
  </w:style>
  <w:style w:type="character" w:styleId="Hyperlink">
    <w:name w:val="Hyperlink"/>
    <w:rsid w:val="00EF34C7"/>
    <w:rPr>
      <w:u w:val="single"/>
    </w:rPr>
  </w:style>
  <w:style w:type="paragraph" w:customStyle="1" w:styleId="HeaderFooter">
    <w:name w:val="Header &amp; Footer"/>
    <w:rsid w:val="00EF34C7"/>
    <w:pPr>
      <w:pBdr>
        <w:top w:val="nil"/>
        <w:left w:val="nil"/>
        <w:bottom w:val="nil"/>
        <w:right w:val="nil"/>
        <w:between w:val="nil"/>
        <w:bar w:val="nil"/>
      </w:pBdr>
      <w:tabs>
        <w:tab w:val="right" w:pos="9020"/>
      </w:tabs>
    </w:pPr>
    <w:rPr>
      <w:rFonts w:ascii="Helvetica Neue" w:eastAsia="Arial Unicode MS" w:hAnsi="Helvetica Neue" w:cs="Arial Unicode MS"/>
      <w:color w:val="000000"/>
      <w:kern w:val="0"/>
      <w:bdr w:val="nil"/>
      <w:lang w:eastAsia="en-GB"/>
      <w14:textOutline w14:w="0" w14:cap="flat" w14:cmpd="sng" w14:algn="ctr">
        <w14:noFill/>
        <w14:prstDash w14:val="solid"/>
        <w14:bevel/>
      </w14:textOutline>
      <w14:ligatures w14:val="none"/>
    </w:rPr>
  </w:style>
  <w:style w:type="paragraph" w:customStyle="1" w:styleId="HeaderFooterA">
    <w:name w:val="Header &amp; Footer A"/>
    <w:rsid w:val="00EF34C7"/>
    <w:pPr>
      <w:pBdr>
        <w:top w:val="nil"/>
        <w:left w:val="nil"/>
        <w:bottom w:val="nil"/>
        <w:right w:val="nil"/>
        <w:between w:val="nil"/>
        <w:bar w:val="nil"/>
      </w:pBdr>
      <w:tabs>
        <w:tab w:val="right" w:pos="9020"/>
      </w:tabs>
    </w:pPr>
    <w:rPr>
      <w:rFonts w:ascii="Helvetica Neue" w:eastAsia="Arial Unicode MS" w:hAnsi="Helvetica Neue" w:cs="Arial Unicode MS"/>
      <w:color w:val="000000"/>
      <w:kern w:val="0"/>
      <w:u w:color="000000"/>
      <w:bdr w:val="nil"/>
      <w:lang w:val="en-US" w:eastAsia="en-GB"/>
      <w14:ligatures w14:val="none"/>
    </w:rPr>
  </w:style>
  <w:style w:type="paragraph" w:customStyle="1" w:styleId="BodyA">
    <w:name w:val="Body A"/>
    <w:rsid w:val="00EF34C7"/>
    <w:pPr>
      <w:pBdr>
        <w:top w:val="nil"/>
        <w:left w:val="nil"/>
        <w:bottom w:val="nil"/>
        <w:right w:val="nil"/>
        <w:between w:val="nil"/>
        <w:bar w:val="nil"/>
      </w:pBdr>
    </w:pPr>
    <w:rPr>
      <w:rFonts w:ascii="Arial" w:eastAsia="Arial Unicode MS" w:hAnsi="Arial" w:cs="Arial Unicode MS"/>
      <w:color w:val="000000"/>
      <w:kern w:val="0"/>
      <w:sz w:val="20"/>
      <w:szCs w:val="20"/>
      <w:u w:color="000000"/>
      <w:bdr w:val="nil"/>
      <w:lang w:val="en-US" w:eastAsia="en-GB"/>
      <w14:ligatures w14:val="none"/>
    </w:rPr>
  </w:style>
  <w:style w:type="character" w:customStyle="1" w:styleId="Link">
    <w:name w:val="Link"/>
    <w:rsid w:val="00EF34C7"/>
    <w:rPr>
      <w:outline w:val="0"/>
      <w:color w:val="0000FF"/>
      <w:u w:val="single" w:color="0000FF"/>
    </w:rPr>
  </w:style>
  <w:style w:type="character" w:customStyle="1" w:styleId="Hyperlink0">
    <w:name w:val="Hyperlink.0"/>
    <w:basedOn w:val="Link"/>
    <w:rsid w:val="00EF34C7"/>
    <w:rPr>
      <w:outline w:val="0"/>
      <w:color w:val="006600"/>
      <w:u w:val="single" w:color="004C7F"/>
      <w:lang w:val="en-US"/>
    </w:rPr>
  </w:style>
  <w:style w:type="numbering" w:customStyle="1" w:styleId="ImportedStyle1">
    <w:name w:val="Imported Style 1"/>
    <w:rsid w:val="00EF34C7"/>
    <w:pPr>
      <w:numPr>
        <w:numId w:val="1"/>
      </w:numPr>
    </w:pPr>
  </w:style>
  <w:style w:type="character" w:customStyle="1" w:styleId="Hyperlink1">
    <w:name w:val="Hyperlink.1"/>
    <w:basedOn w:val="Link"/>
    <w:rsid w:val="00EF34C7"/>
    <w:rPr>
      <w:outline w:val="0"/>
      <w:color w:val="000000"/>
      <w:u w:val="single" w:color="000000"/>
    </w:rPr>
  </w:style>
  <w:style w:type="paragraph" w:customStyle="1" w:styleId="FreeForm">
    <w:name w:val="Free Form"/>
    <w:rsid w:val="00EF34C7"/>
    <w:pPr>
      <w:pBdr>
        <w:top w:val="nil"/>
        <w:left w:val="nil"/>
        <w:bottom w:val="nil"/>
        <w:right w:val="nil"/>
        <w:between w:val="nil"/>
        <w:bar w:val="nil"/>
      </w:pBdr>
    </w:pPr>
    <w:rPr>
      <w:rFonts w:ascii="Times New Roman" w:eastAsia="Arial Unicode MS" w:hAnsi="Times New Roman" w:cs="Arial Unicode MS"/>
      <w:color w:val="000000"/>
      <w:kern w:val="0"/>
      <w:sz w:val="22"/>
      <w:szCs w:val="22"/>
      <w:u w:color="000000"/>
      <w:bdr w:val="nil"/>
      <w:lang w:val="en-US" w:eastAsia="en-GB"/>
      <w14:ligatures w14:val="none"/>
    </w:rPr>
  </w:style>
  <w:style w:type="character" w:customStyle="1" w:styleId="NoneA">
    <w:name w:val="None A"/>
    <w:rsid w:val="00EF34C7"/>
  </w:style>
  <w:style w:type="character" w:customStyle="1" w:styleId="None">
    <w:name w:val="None"/>
    <w:rsid w:val="00EF34C7"/>
  </w:style>
  <w:style w:type="character" w:customStyle="1" w:styleId="Hyperlink2">
    <w:name w:val="Hyperlink.2"/>
    <w:basedOn w:val="None"/>
    <w:rsid w:val="00EF34C7"/>
    <w:rPr>
      <w:outline w:val="0"/>
      <w:color w:val="006600"/>
      <w:u w:val="single" w:color="006600"/>
      <w:lang w:val="en-US"/>
    </w:rPr>
  </w:style>
  <w:style w:type="character" w:customStyle="1" w:styleId="Hyperlink3">
    <w:name w:val="Hyperlink.3"/>
    <w:basedOn w:val="Link"/>
    <w:rsid w:val="00EF34C7"/>
    <w:rPr>
      <w:outline w:val="0"/>
      <w:color w:val="0000FF"/>
      <w:u w:val="single" w:color="004C7F"/>
      <w:lang w:val="en-US"/>
    </w:rPr>
  </w:style>
  <w:style w:type="character" w:customStyle="1" w:styleId="Hyperlink4">
    <w:name w:val="Hyperlink.4"/>
    <w:basedOn w:val="Link"/>
    <w:rsid w:val="00EF34C7"/>
    <w:rPr>
      <w:outline w:val="0"/>
      <w:color w:val="0000FF"/>
      <w:u w:val="single" w:color="004C7F"/>
      <w:lang w:val="en-US"/>
    </w:rPr>
  </w:style>
  <w:style w:type="character" w:customStyle="1" w:styleId="Hyperlink5">
    <w:name w:val="Hyperlink.5"/>
    <w:basedOn w:val="None"/>
    <w:rsid w:val="00EF34C7"/>
    <w:rPr>
      <w:rFonts w:ascii="Arial" w:eastAsia="Arial" w:hAnsi="Arial" w:cs="Arial"/>
      <w:outline w:val="0"/>
      <w:color w:val="006600"/>
      <w:sz w:val="20"/>
      <w:szCs w:val="20"/>
      <w:u w:val="single" w:color="006600"/>
    </w:rPr>
  </w:style>
  <w:style w:type="character" w:styleId="UnresolvedMention">
    <w:name w:val="Unresolved Mention"/>
    <w:basedOn w:val="DefaultParagraphFont"/>
    <w:uiPriority w:val="99"/>
    <w:semiHidden/>
    <w:unhideWhenUsed/>
    <w:rsid w:val="00EF34C7"/>
    <w:rPr>
      <w:color w:val="605E5C"/>
      <w:shd w:val="clear" w:color="auto" w:fill="E1DFDD"/>
    </w:rPr>
  </w:style>
  <w:style w:type="paragraph" w:styleId="Header">
    <w:name w:val="header"/>
    <w:basedOn w:val="Normal"/>
    <w:link w:val="HeaderChar"/>
    <w:uiPriority w:val="99"/>
    <w:unhideWhenUsed/>
    <w:rsid w:val="00EF34C7"/>
    <w:pPr>
      <w:tabs>
        <w:tab w:val="center" w:pos="4513"/>
        <w:tab w:val="right" w:pos="9026"/>
      </w:tabs>
      <w:spacing w:after="120"/>
    </w:pPr>
    <w:rPr>
      <w:rFonts w:ascii="Times New Roman" w:eastAsia="Times New Roman" w:hAnsi="Times New Roman" w:cs="Times New Roman"/>
      <w:kern w:val="0"/>
      <w:u w:color="004C7F"/>
      <w:lang w:eastAsia="en-GB"/>
      <w14:ligatures w14:val="none"/>
    </w:rPr>
  </w:style>
  <w:style w:type="character" w:customStyle="1" w:styleId="HeaderChar">
    <w:name w:val="Header Char"/>
    <w:basedOn w:val="DefaultParagraphFont"/>
    <w:link w:val="Header"/>
    <w:uiPriority w:val="99"/>
    <w:rsid w:val="00EF34C7"/>
    <w:rPr>
      <w:rFonts w:ascii="Times New Roman" w:eastAsia="Times New Roman" w:hAnsi="Times New Roman" w:cs="Times New Roman"/>
      <w:kern w:val="0"/>
      <w:u w:color="004C7F"/>
      <w:lang w:eastAsia="en-GB"/>
      <w14:ligatures w14:val="none"/>
    </w:rPr>
  </w:style>
  <w:style w:type="paragraph" w:styleId="Footer">
    <w:name w:val="footer"/>
    <w:basedOn w:val="Normal"/>
    <w:link w:val="FooterChar"/>
    <w:uiPriority w:val="99"/>
    <w:unhideWhenUsed/>
    <w:rsid w:val="00EF34C7"/>
    <w:pPr>
      <w:tabs>
        <w:tab w:val="center" w:pos="4513"/>
        <w:tab w:val="right" w:pos="9026"/>
      </w:tabs>
      <w:spacing w:after="120"/>
    </w:pPr>
    <w:rPr>
      <w:rFonts w:ascii="Times New Roman" w:eastAsia="Times New Roman" w:hAnsi="Times New Roman" w:cs="Times New Roman"/>
      <w:kern w:val="0"/>
      <w:u w:color="004C7F"/>
      <w:lang w:eastAsia="en-GB"/>
      <w14:ligatures w14:val="none"/>
    </w:rPr>
  </w:style>
  <w:style w:type="character" w:customStyle="1" w:styleId="FooterChar">
    <w:name w:val="Footer Char"/>
    <w:basedOn w:val="DefaultParagraphFont"/>
    <w:link w:val="Footer"/>
    <w:uiPriority w:val="99"/>
    <w:rsid w:val="00EF34C7"/>
    <w:rPr>
      <w:rFonts w:ascii="Times New Roman" w:eastAsia="Times New Roman" w:hAnsi="Times New Roman" w:cs="Times New Roman"/>
      <w:kern w:val="0"/>
      <w:u w:color="004C7F"/>
      <w:lang w:eastAsia="en-GB"/>
      <w14:ligatures w14:val="none"/>
    </w:rPr>
  </w:style>
  <w:style w:type="table" w:customStyle="1" w:styleId="PlainTable21">
    <w:name w:val="Plain Table 21"/>
    <w:basedOn w:val="TableNormal"/>
    <w:next w:val="PlainTable2"/>
    <w:uiPriority w:val="42"/>
    <w:rsid w:val="00EF34C7"/>
    <w:pPr>
      <w:widowControl w:val="0"/>
      <w:jc w:val="both"/>
    </w:pPr>
    <w:rPr>
      <w:rFonts w:ascii="Times New Roman" w:eastAsia="Times New Roman" w:hAnsi="Times New Roman" w:cs="Times New Roman"/>
      <w:kern w:val="0"/>
      <w:lang w:val="en-IN" w:eastAsia="zh-CN"/>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styleId="Bibliography">
    <w:name w:val="Bibliography"/>
    <w:basedOn w:val="Normal"/>
    <w:next w:val="Normal"/>
    <w:uiPriority w:val="37"/>
    <w:unhideWhenUsed/>
    <w:rsid w:val="00EF34C7"/>
    <w:pPr>
      <w:tabs>
        <w:tab w:val="left" w:pos="380"/>
      </w:tabs>
      <w:spacing w:after="240"/>
      <w:ind w:left="384" w:hanging="384"/>
    </w:pPr>
    <w:rPr>
      <w:rFonts w:ascii="Times New Roman" w:eastAsia="Times New Roman" w:hAnsi="Times New Roman" w:cs="Times New Roman"/>
      <w:kern w:val="0"/>
      <w:u w:color="004C7F"/>
      <w:lang w:eastAsia="en-GB"/>
      <w14:ligatures w14:val="none"/>
    </w:rPr>
  </w:style>
  <w:style w:type="paragraph" w:styleId="Revision">
    <w:name w:val="Revision"/>
    <w:hidden/>
    <w:uiPriority w:val="99"/>
    <w:semiHidden/>
    <w:rsid w:val="00EF34C7"/>
    <w:rPr>
      <w:rFonts w:ascii="Times New Roman" w:eastAsia="Times New Roman" w:hAnsi="Times New Roman" w:cs="Times New Roman"/>
      <w:kern w:val="0"/>
      <w:lang w:eastAsia="en-GB"/>
      <w14:ligatures w14:val="none"/>
    </w:rPr>
  </w:style>
  <w:style w:type="paragraph" w:customStyle="1" w:styleId="Author">
    <w:name w:val="Author"/>
    <w:basedOn w:val="Normal"/>
    <w:qFormat/>
    <w:rsid w:val="00EF34C7"/>
    <w:pPr>
      <w:spacing w:before="320" w:after="120"/>
    </w:pPr>
    <w:rPr>
      <w:rFonts w:ascii="Times New Roman" w:eastAsia="Times New Roman" w:hAnsi="Times New Roman" w:cs="Times New Roman"/>
      <w:kern w:val="0"/>
      <w:u w:color="004C7F"/>
      <w:lang w:eastAsia="en-GB"/>
      <w14:ligatures w14:val="none"/>
    </w:rPr>
  </w:style>
  <w:style w:type="character" w:styleId="CommentReference">
    <w:name w:val="annotation reference"/>
    <w:basedOn w:val="DefaultParagraphFont"/>
    <w:uiPriority w:val="99"/>
    <w:semiHidden/>
    <w:unhideWhenUsed/>
    <w:rsid w:val="00EF34C7"/>
    <w:rPr>
      <w:sz w:val="16"/>
      <w:szCs w:val="16"/>
    </w:rPr>
  </w:style>
  <w:style w:type="paragraph" w:styleId="CommentText">
    <w:name w:val="annotation text"/>
    <w:basedOn w:val="Normal"/>
    <w:link w:val="CommentTextChar"/>
    <w:uiPriority w:val="99"/>
    <w:semiHidden/>
    <w:unhideWhenUsed/>
    <w:rsid w:val="00EF34C7"/>
    <w:pPr>
      <w:spacing w:after="120"/>
    </w:pPr>
    <w:rPr>
      <w:rFonts w:ascii="Times New Roman" w:eastAsia="Times New Roman" w:hAnsi="Times New Roman" w:cs="Times New Roman"/>
      <w:kern w:val="0"/>
      <w:sz w:val="20"/>
      <w:szCs w:val="20"/>
      <w:u w:color="004C7F"/>
      <w:lang w:eastAsia="en-GB"/>
      <w14:ligatures w14:val="none"/>
    </w:rPr>
  </w:style>
  <w:style w:type="character" w:customStyle="1" w:styleId="CommentTextChar">
    <w:name w:val="Comment Text Char"/>
    <w:basedOn w:val="DefaultParagraphFont"/>
    <w:link w:val="CommentText"/>
    <w:uiPriority w:val="99"/>
    <w:semiHidden/>
    <w:rsid w:val="00EF34C7"/>
    <w:rPr>
      <w:rFonts w:ascii="Times New Roman" w:eastAsia="Times New Roman" w:hAnsi="Times New Roman" w:cs="Times New Roman"/>
      <w:kern w:val="0"/>
      <w:sz w:val="20"/>
      <w:szCs w:val="20"/>
      <w:u w:color="004C7F"/>
      <w:lang w:eastAsia="en-GB"/>
      <w14:ligatures w14:val="none"/>
    </w:rPr>
  </w:style>
  <w:style w:type="paragraph" w:styleId="CommentSubject">
    <w:name w:val="annotation subject"/>
    <w:basedOn w:val="CommentText"/>
    <w:next w:val="CommentText"/>
    <w:link w:val="CommentSubjectChar"/>
    <w:uiPriority w:val="99"/>
    <w:semiHidden/>
    <w:unhideWhenUsed/>
    <w:rsid w:val="00EF34C7"/>
    <w:rPr>
      <w:b/>
      <w:bCs/>
    </w:rPr>
  </w:style>
  <w:style w:type="character" w:customStyle="1" w:styleId="CommentSubjectChar">
    <w:name w:val="Comment Subject Char"/>
    <w:basedOn w:val="CommentTextChar"/>
    <w:link w:val="CommentSubject"/>
    <w:uiPriority w:val="99"/>
    <w:semiHidden/>
    <w:rsid w:val="00EF34C7"/>
    <w:rPr>
      <w:rFonts w:ascii="Times New Roman" w:eastAsia="Times New Roman" w:hAnsi="Times New Roman" w:cs="Times New Roman"/>
      <w:b/>
      <w:bCs/>
      <w:kern w:val="0"/>
      <w:sz w:val="20"/>
      <w:szCs w:val="20"/>
      <w:u w:color="004C7F"/>
      <w:lang w:eastAsia="en-GB"/>
      <w14:ligatures w14:val="none"/>
    </w:rPr>
  </w:style>
  <w:style w:type="table" w:styleId="PlainTable2">
    <w:name w:val="Plain Table 2"/>
    <w:basedOn w:val="TableNormal"/>
    <w:uiPriority w:val="42"/>
    <w:rsid w:val="00EF34C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27</Pages>
  <Words>10228</Words>
  <Characters>57847</Characters>
  <Application>Microsoft Office Word</Application>
  <DocSecurity>0</DocSecurity>
  <Lines>1137</Lines>
  <Paragraphs>431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Gerdin Wärnberg</dc:creator>
  <cp:keywords/>
  <dc:description/>
  <cp:lastModifiedBy>Martin Gerdin Wärnberg</cp:lastModifiedBy>
  <cp:revision>3</cp:revision>
  <dcterms:created xsi:type="dcterms:W3CDTF">2025-12-09T15:36:00Z</dcterms:created>
  <dcterms:modified xsi:type="dcterms:W3CDTF">2025-12-09T15:40:00Z</dcterms:modified>
</cp:coreProperties>
</file>