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23.png" ContentType="image/png"/>
  <Override PartName="/word/media/rId78.png" ContentType="image/png"/>
  <Override PartName="/word/media/rId127.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4"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Version</w:t>
            </w:r>
          </w:p>
        </w:tc>
        <w:tc>
          <w:tcPr/>
          <w:p>
            <w:pPr>
              <w:pStyle w:val="Compact"/>
            </w:pPr>
            <w:r>
              <w:t xml:space="preserve">Date</w:t>
            </w:r>
          </w:p>
        </w:tc>
        <w:tc>
          <w:tcPr/>
          <w:p>
            <w:pPr>
              <w:pStyle w:val="Compact"/>
            </w:pPr>
            <w:r>
              <w:t xml:space="preserve">Details</w:t>
            </w:r>
          </w:p>
        </w:tc>
      </w:tr>
      <w:tr>
        <w:tc>
          <w:tcPr/>
          <w:p>
            <w:pPr>
              <w:pStyle w:val="Compact"/>
            </w:pPr>
            <w:r>
              <w:t xml:space="preserve">0.6.0</w:t>
            </w:r>
          </w:p>
        </w:tc>
        <w:tc>
          <w:tcPr/>
          <w:p>
            <w:pPr>
              <w:pStyle w:val="Compact"/>
            </w:pPr>
            <w:r>
              <w:t xml:space="preserve">2026-03-04</w:t>
            </w:r>
          </w:p>
        </w:tc>
        <w:tc>
          <w:tcPr/>
          <w:p>
            <w:pPr>
              <w:pStyle w:val="Compact"/>
            </w:pPr>
            <w:r>
              <w:t xml:space="preserve">Circulated draft for statistical review (KH) and Round Two reporting checklist.</w:t>
            </w:r>
          </w:p>
        </w:tc>
      </w:tr>
      <w:tr>
        <w:tc>
          <w:tcPr/>
          <w:p>
            <w:pPr>
              <w:pStyle w:val="Compact"/>
            </w:pPr>
            <w:r>
              <w:t xml:space="preserve">0.7.0</w:t>
            </w:r>
          </w:p>
        </w:tc>
        <w:tc>
          <w:tcPr/>
          <w:p>
            <w:pPr>
              <w:pStyle w:val="Compact"/>
            </w:pPr>
            <w:r>
              <w:t xml:space="preserve">2026-08-04</w:t>
            </w:r>
          </w:p>
        </w:tc>
        <w:tc>
          <w:tcPr/>
          <w:p>
            <w:pPr>
              <w:pStyle w:val="Compact"/>
            </w:pPr>
            <w:r>
              <w:t xml:space="preserve">Revisions following KH/AO review and Round Two checklist: estimation framework (ML with Laplace approximation); length-of-stay as negative binomial counts; missing-data strategy; model clarifications; outcomes summary and shell tables/figures; generative AI statement; consistency review (GitHub #10), including OR and ARD for all binary secondary outcomes.</w:t>
            </w:r>
          </w:p>
        </w:tc>
      </w:tr>
    </w:tbl>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bookmarkEnd w:id="42"/>
    <w:bookmarkStart w:id="43" w:name="X662c2d66dd1eda3268d2087202c966cd73b2601"/>
    <w:p>
      <w:pPr>
        <w:pStyle w:val="Heading2"/>
      </w:pPr>
      <w:r>
        <w:t xml:space="preserve">1.4 Use of generative artificial intelligence</w:t>
      </w:r>
    </w:p>
    <w:p>
      <w:pPr>
        <w:pStyle w:val="FirstParagraph"/>
      </w:pPr>
      <w:r>
        <w:t xml:space="preserve">Generative artificial intelligence tools, including large language models accessed via Cursor, were used to assist with drafting, revising, and formatting this statistical analysis plan. All substantive statistical content was reviewed and approved by the authors, who take full responsibility for the final document.</w:t>
      </w:r>
    </w:p>
    <w:p>
      <w:r>
        <w:br w:type="page"/>
      </w:r>
    </w:p>
    <w:bookmarkEnd w:id="43"/>
    <w:bookmarkEnd w:id="44"/>
    <w:bookmarkStart w:id="45"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5"/>
    <w:bookmarkStart w:id="47" w:name="special-considerations"/>
    <w:p>
      <w:pPr>
        <w:pStyle w:val="Heading1"/>
      </w:pPr>
      <w:r>
        <w:t xml:space="preserve">3. Special considerations</w:t>
      </w:r>
    </w:p>
    <w:bookmarkStart w:id="46"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6"/>
    <w:bookmarkEnd w:id="47"/>
    <w:bookmarkStart w:id="50" w:name="aim-and-objectives"/>
    <w:p>
      <w:pPr>
        <w:pStyle w:val="Heading1"/>
      </w:pPr>
      <w:r>
        <w:t xml:space="preserve">4. Aim and objectives</w:t>
      </w:r>
    </w:p>
    <w:bookmarkStart w:id="48"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8"/>
    <w:bookmarkStart w:id="49"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9"/>
    <w:bookmarkEnd w:id="50"/>
    <w:bookmarkStart w:id="132" w:name="statistical-analysis"/>
    <w:p>
      <w:pPr>
        <w:pStyle w:val="Heading1"/>
      </w:pPr>
      <w:r>
        <w:t xml:space="preserve">5. Statistical analysis</w:t>
      </w:r>
    </w:p>
    <w:bookmarkStart w:id="59"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Clusters are repeatedly measured across periods. The intervention will be implemented during a one-month transition period, which will be excluded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4" w:name="fig-trial-design"/>
          <w:p>
            <w:pPr>
              <w:pStyle w:val="Compact"/>
              <w:jc w:val="center"/>
            </w:pPr>
            <w:r>
              <w:drawing>
                <wp:inline>
                  <wp:extent cx="5334000" cy="3198592"/>
                  <wp:effectExtent b="0" l="0" r="0" t="0"/>
                  <wp:docPr descr="" title="" id="52" name="Picture"/>
                  <a:graphic>
                    <a:graphicData uri="http://schemas.openxmlformats.org/drawingml/2006/picture">
                      <pic:pic>
                        <pic:nvPicPr>
                          <pic:cNvPr descr="trial-design-figure-30-clusters-5-sequences-6-batches-6-batches-overlap-4-min-standard-care-4-min-intervention-1-transition-months-0-transition-overlap.0-staircase-months.png" id="53" name="Picture"/>
                          <pic:cNvPicPr>
                            <a:picLocks noChangeArrowheads="1" noChangeAspect="1"/>
                          </pic:cNvPicPr>
                        </pic:nvPicPr>
                        <pic:blipFill>
                          <a:blip r:embed="rId51"/>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4"/>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8" w:name="fig-nested-staircase-design"/>
          <w:p>
            <w:pPr>
              <w:pStyle w:val="Compact"/>
              <w:jc w:val="center"/>
            </w:pPr>
            <w:r>
              <w:drawing>
                <wp:inline>
                  <wp:extent cx="5334000" cy="3198592"/>
                  <wp:effectExtent b="0" l="0" r="0" t="0"/>
                  <wp:docPr descr="" title="" id="56" name="Picture"/>
                  <a:graphic>
                    <a:graphicData uri="http://schemas.openxmlformats.org/drawingml/2006/picture">
                      <pic:pic>
                        <pic:nvPicPr>
                          <pic:cNvPr descr="trial-design-figure-30-clusters-5-sequences-6-batches-6-batches-overlap-4-min-standard-care-4-min-intervention-1-transition-months-0-transition-overlap.3-staircase-months.png" id="57" name="Picture"/>
                          <pic:cNvPicPr>
                            <a:picLocks noChangeArrowheads="1" noChangeAspect="1"/>
                          </pic:cNvPicPr>
                        </pic:nvPicPr>
                        <pic:blipFill>
                          <a:blip r:embed="rId55"/>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8"/>
        </w:tc>
      </w:tr>
    </w:tbl>
    <w:bookmarkEnd w:id="59"/>
    <w:bookmarkStart w:id="60"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p>
      <w:pPr>
        <w:pStyle w:val="BodyText"/>
      </w:pPr>
      <w:r>
        <w:t xml:space="preserve">Random selection of patients for nested staircase outcome collection is separate from cluster randomisation and is described under Nested staircase design and secondary outcomes (stratified random sampling by shift).</w:t>
      </w:r>
    </w:p>
    <w:bookmarkEnd w:id="60"/>
    <w:bookmarkStart w:id="66"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1"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1"/>
    <w:bookmarkStart w:id="65" w:name="secondary-outcomes"/>
    <w:p>
      <w:pPr>
        <w:pStyle w:val="Heading3"/>
      </w:pPr>
      <w:r>
        <w:t xml:space="preserve">5.3.2 Secondary outcomes</w:t>
      </w:r>
    </w:p>
    <w:bookmarkStart w:id="62"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2"/>
    <w:bookmarkStart w:id="64"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3" w:name="tbl-outcomes-summary"/>
          <w:p>
            <w:pPr>
              <w:jc w:val="center"/>
            </w:pPr>
            <w:pPr>
              <w:jc w:val="left"/>
              <w:spacing w:before="200"/>
              <w:pStyle w:val="ImageCaption"/>
            </w:pPr>
            <w:r>
              <w:t xml:space="preserve">Table 1: Summary of outcomes, analysis sets, effect measures, and handling of intercurrent events</w:t>
            </w:r>
          </w:p>
          <w:bookmarkEnd w:id="63"/>
        </w:tc>
      </w:tr>
    </w:tbl>
    <w:bookmarkEnd w:id="64"/>
    <w:bookmarkEnd w:id="65"/>
    <w:bookmarkEnd w:id="66"/>
    <w:bookmarkStart w:id="67"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7"/>
    <w:bookmarkStart w:id="74" w:name="sample-size-calculations"/>
    <w:p>
      <w:pPr>
        <w:pStyle w:val="Heading2"/>
      </w:pPr>
      <w:r>
        <w:t xml:space="preserve">5.5 Sample size calculations</w:t>
      </w:r>
    </w:p>
    <w:p>
      <w:pPr>
        <w:pStyle w:val="FirstParagraph"/>
      </w:pPr>
      <w:r>
        <w:t xml:space="preserve">Sample size calculations were performed during the trial design phase using the Shiny CRT Calculator</w:t>
      </w:r>
      <w:r>
        <w:rPr>
          <w:vertAlign w:val="superscript"/>
        </w:rPr>
        <w:t xml:space="preserve">4</w:t>
      </w:r>
      <w:r>
        <w:t xml:space="preserve">.</w:t>
      </w:r>
    </w:p>
    <w:bookmarkStart w:id="72"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1" w:name="fig-power-curves"/>
          <w:p>
            <w:pPr>
              <w:pStyle w:val="Compact"/>
              <w:jc w:val="center"/>
            </w:pPr>
            <w:r>
              <w:drawing>
                <wp:inline>
                  <wp:extent cx="5334000" cy="2369551"/>
                  <wp:effectExtent b="0" l="0" r="0" t="0"/>
                  <wp:docPr descr="" title="" id="69" name="Picture"/>
                  <a:graphic>
                    <a:graphicData uri="http://schemas.openxmlformats.org/drawingml/2006/picture">
                      <pic:pic>
                        <pic:nvPicPr>
                          <pic:cNvPr descr="./combined-power-curves.png" id="70" name="Picture"/>
                          <pic:cNvPicPr>
                            <a:picLocks noChangeArrowheads="1" noChangeAspect="1"/>
                          </pic:cNvPicPr>
                        </pic:nvPicPr>
                        <pic:blipFill>
                          <a:blip r:embed="rId68"/>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 under most combinations of CAC and ICC.</w:t>
            </w:r>
          </w:p>
          <w:bookmarkEnd w:id="71"/>
        </w:tc>
      </w:tr>
    </w:tbl>
    <w:bookmarkEnd w:id="72"/>
    <w:bookmarkStart w:id="73" w:name="X37fc7b5fe6b5980542d53d3e88dadde59566406"/>
    <w:p>
      <w:pPr>
        <w:pStyle w:val="Heading3"/>
      </w:pPr>
      <w:r>
        <w:t xml:space="preserve">5.5.2 Nested staircase design and secondary outcomes</w:t>
      </w:r>
    </w:p>
    <w:p>
      <w:pPr>
        <w:pStyle w:val="FirstParagraph"/>
      </w:pPr>
      <w:r>
        <w:t xml:space="preserve">Adherence, quality of life, and disability collected in the nested staircase are secondary outcomes; the nested power calculations below inform only the sample size required for their data collection.</w:t>
      </w:r>
    </w:p>
    <w:p>
      <w:pPr>
        <w:pStyle w:val="BodyText"/>
      </w:pPr>
      <w:r>
        <w:t xml:space="preserve">The secondary outcomes measured using the nested staircase design are adherence to ATLS</w:t>
      </w:r>
      <w:r>
        <w:rPr>
          <w:vertAlign w:val="superscript"/>
        </w:rPr>
        <w:t xml:space="preserve">®</w:t>
      </w:r>
      <w:r>
        <w:t xml:space="preserve"> </w:t>
      </w:r>
      <w:r>
        <w:t xml:space="preserve">principles during initial patient resuscitation, quality of life, and disability. The power calculations presented here are intended only to inform the sample size required for their data collection within the nested staircase design. The expected effects of the intervention on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3"/>
    <w:bookmarkEnd w:id="74"/>
    <w:bookmarkStart w:id="77" w:name="statistical-principles"/>
    <w:p>
      <w:pPr>
        <w:pStyle w:val="Heading2"/>
      </w:pPr>
      <w:r>
        <w:t xml:space="preserve">5.6 Statistical principles</w:t>
      </w:r>
    </w:p>
    <w:bookmarkStart w:id="75"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5"/>
    <w:bookmarkStart w:id="76"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p>
      <w:pPr>
        <w:pStyle w:val="BodyText"/>
      </w:pPr>
      <w:r>
        <w:t xml:space="preserve">Primary and secondary outcomes will be analysed collectively in a single final analysis once all trial data are available.</w:t>
      </w:r>
    </w:p>
    <w:bookmarkEnd w:id="76"/>
    <w:bookmarkEnd w:id="77"/>
    <w:bookmarkStart w:id="82" w:name="analysis-sets"/>
    <w:p>
      <w:pPr>
        <w:pStyle w:val="Heading2"/>
      </w:pPr>
      <w:r>
        <w:t xml:space="preserve">5.7 Analysis sets</w:t>
      </w:r>
    </w:p>
    <w:p>
      <w:pPr>
        <w:pStyle w:val="FirstParagraph"/>
      </w:pPr>
      <w:r>
        <w:t xml:space="preserve">The trial has a hierarchical structure in which hospitals represent the clusters, units within hospitals deliver care, and individual patients constitute the unit of observation and analysis. Randomisation is performed at the hospital level, with all trained units within the same hospital treated as part of the same cluster. Analysis models therefore account for clustering at the hospital level and do not include a separate random effect for unit within hospital.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mortality secondary outcomes, length-of-stay outcomes, and ICU admission, the analysis set is all eligible patient participants included in the main stepped-wedge trial (with length of ICU stay restricted to patients admitted to ICU). For quality-of-life and disability outcomes, the analysis set is patients alive at the relevant follow-up time point within the nested staircase sample. For return-to-work outcomes, the analysis set is patients alive at the relevant follow-up time point in the main stepped-wedge trial for whom return to work is relevant.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under the available-case approach, the analysis set will be restricted to participants with complete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1" w:name="fig-consort-diagram"/>
          <w:p>
            <w:pPr>
              <w:pStyle w:val="Compact"/>
              <w:jc w:val="center"/>
            </w:pPr>
            <w:r>
              <w:drawing>
                <wp:inline>
                  <wp:extent cx="5334000" cy="9066502"/>
                  <wp:effectExtent b="0" l="0" r="0" t="0"/>
                  <wp:docPr descr="" title="" id="79" name="Picture"/>
                  <a:graphic>
                    <a:graphicData uri="http://schemas.openxmlformats.org/drawingml/2006/picture">
                      <pic:pic>
                        <pic:nvPicPr>
                          <pic:cNvPr descr="consort-diagram-5-sequences.png" id="80" name="Picture"/>
                          <pic:cNvPicPr>
                            <a:picLocks noChangeArrowheads="1" noChangeAspect="1"/>
                          </pic:cNvPicPr>
                        </pic:nvPicPr>
                        <pic:blipFill>
                          <a:blip r:embed="rId78"/>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1"/>
        </w:tc>
      </w:tr>
    </w:tbl>
    <w:bookmarkEnd w:id="82"/>
    <w:bookmarkStart w:id="91" w:name="baseline-analyses"/>
    <w:p>
      <w:pPr>
        <w:pStyle w:val="Heading2"/>
      </w:pPr>
      <w:r>
        <w:t xml:space="preserve">5.8 Baseline analyses</w:t>
      </w:r>
    </w:p>
    <w:bookmarkStart w:id="84"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3"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3"/>
        </w:tc>
      </w:tr>
    </w:tbl>
    <w:bookmarkEnd w:id="84"/>
    <w:bookmarkStart w:id="86" w:name="patient-characteristics"/>
    <w:p>
      <w:pPr>
        <w:pStyle w:val="Heading3"/>
      </w:pPr>
      <w:r>
        <w:t xml:space="preserve">5.8.2 Patient characteristics</w:t>
      </w:r>
    </w:p>
    <w:p>
      <w:pPr>
        <w:pStyle w:val="FirstParagraph"/>
      </w:pPr>
      <w:r>
        <w:t xml:space="preserve">We will describe patient characteristics among all eligible patients over the entire trial period,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(i.e. non-outcome variables).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8</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5"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5"/>
        </w:tc>
      </w:tr>
    </w:tbl>
    <w:bookmarkEnd w:id="86"/>
    <w:bookmarkStart w:id="88"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We will present key outcome summaries in the results section, and present all outcome summaries as supplementary tables. See</w:t>
      </w:r>
      <w:r>
        <w:t xml:space="preserve"> </w:t>
      </w:r>
      <w:hyperlink w:anchor="tbl-outcomes-descriptive">
        <w:r>
          <w:rPr>
            <w:rStyle w:val="Hyperlink"/>
          </w:rPr>
          <w:t xml:space="preserve">Table 4</w:t>
        </w:r>
      </w:hyperlink>
      <w:r>
        <w:t xml:space="preserve"> </w:t>
      </w:r>
      <w:r>
        <w:t xml:space="preserve">for key outcomes and</w:t>
      </w:r>
      <w:r>
        <w:t xml:space="preserve"> </w:t>
      </w:r>
      <w:hyperlink w:anchor="tbl-outcomes-descriptive-all">
        <w:r>
          <w:rPr>
            <w:rStyle w:val="Hyperlink"/>
          </w:rPr>
          <w:t xml:space="preserve">Table 9</w:t>
        </w:r>
      </w:hyperlink>
      <w:r>
        <w:t xml:space="preserve"> </w:t>
      </w:r>
      <w:r>
        <w:t xml:space="preserve">for all outcomes.</w:t>
      </w:r>
    </w:p>
    <w:tbl>
      <w:tblPr>
        <w:tblStyle w:val="Table"/>
        <w:tblW w:type="pct" w:w="5000"/>
        <w:tblLayout w:type="fixed"/>
        <w:tblLook w:firstRow="0" w:lastRow="0" w:firstColumn="0" w:lastColumn="0" w:noHBand="0" w:noVBand="0" w:val="0000"/>
      </w:tblPr>
      <w:tblGrid>
        <w:gridCol w:w="7920"/>
      </w:tblGrid>
      <w:tr>
        <w:tc>
          <w:tcPr/>
          <w:bookmarkStart w:id="87" w:name="tbl-outcomes-descriptive"/>
          <w:p>
            <w:pPr>
              <w:jc w:val="center"/>
            </w:pPr>
            <w:pPr>
              <w:jc w:val="left"/>
              <w:spacing w:before="200"/>
              <w:pStyle w:val="ImageCaption"/>
            </w:pPr>
            <w:r>
              <w:t xml:space="preserve">Table 4: Descriptive summaries of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7"/>
        </w:tc>
      </w:tr>
    </w:tbl>
    <w:bookmarkEnd w:id="88"/>
    <w:bookmarkStart w:id="90" w:name="safety-events"/>
    <w:p>
      <w:pPr>
        <w:pStyle w:val="Heading3"/>
      </w:pPr>
      <w:r>
        <w:t xml:space="preserve">5.8.4 Safety events</w:t>
      </w:r>
    </w:p>
    <w:p>
      <w:pPr>
        <w:pStyle w:val="FirstParagraph"/>
      </w:pPr>
      <w:r>
        <w:t xml:space="preserve">Safety events, as defined in the trial protocol, will be summarised as counts and percentages of patients with at least one recorded event, stratified by before and after ATLS training and overall. We will not adjust for clustering in these summaries. See</w:t>
      </w:r>
      <w:r>
        <w:t xml:space="preserve"> </w:t>
      </w:r>
      <w:hyperlink w:anchor="tbl-safety-events">
        <w:r>
          <w:rPr>
            <w:rStyle w:val="Hyperlink"/>
          </w:rPr>
          <w:t xml:space="preserve">Table 5</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9" w:name="tbl-safety-events"/>
          <w:p>
            <w:pPr>
              <w:jc w:val="center"/>
            </w:pPr>
            <w:pPr>
              <w:jc w:val="left"/>
              <w:spacing w:before="200"/>
              <w:pStyle w:val="ImageCaption"/>
            </w:pPr>
            <w:r>
              <w:t xml:space="preserve">Table 5: Safety events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Safety event</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mechanical ventilation (&gt;7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Initiation of renal replacement therapy,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(&gt;2 days) or renewed use of vasopressors such as norepinephrine or vasopressin,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reported safety events,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Events assessed as probably related to the trial or intervention,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9"/>
        </w:tc>
      </w:tr>
    </w:tbl>
    <w:bookmarkEnd w:id="90"/>
    <w:bookmarkEnd w:id="91"/>
    <w:bookmarkStart w:id="92"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p>
      <w:pPr>
        <w:pStyle w:val="BodyText"/>
      </w:pPr>
      <w:r>
        <w:t xml:space="preserve">The Trial Team will prepare the interim analysis report for the joint Trial Steering and Data Monitoring Committee (SDMC), for approval by the Trial Management Group before circulation. The report will follow the standard SDMC report template in the SDMC charter and will include:</w:t>
      </w:r>
    </w:p>
    <w:p>
      <w:pPr>
        <w:pStyle w:val="Compact"/>
        <w:numPr>
          <w:ilvl w:val="0"/>
          <w:numId w:val="1005"/>
        </w:numPr>
      </w:pPr>
      <w:r>
        <w:t xml:space="preserve">trial progress: numbers of clusters included and dropping out; numbers of potentially eligible participants screened, participants included, participants who did not consent to out-of-hospital follow-up, and participants lost to follow-up, overall and by intervention condition;</w:t>
      </w:r>
    </w:p>
    <w:p>
      <w:pPr>
        <w:pStyle w:val="Compact"/>
        <w:numPr>
          <w:ilvl w:val="0"/>
          <w:numId w:val="1005"/>
        </w:numPr>
      </w:pPr>
      <w:r>
        <w:t xml:space="preserve">adherence to the randomisation schedule and reasons for non-adherence;</w:t>
      </w:r>
    </w:p>
    <w:p>
      <w:pPr>
        <w:pStyle w:val="Compact"/>
        <w:numPr>
          <w:ilvl w:val="0"/>
          <w:numId w:val="1005"/>
        </w:numPr>
      </w:pPr>
      <w:r>
        <w:t xml:space="preserve">summary statistics of included clusters and patient participants by intervention condition, to monitor for differential recruitment or ascertainment;</w:t>
      </w:r>
    </w:p>
    <w:p>
      <w:pPr>
        <w:pStyle w:val="Compact"/>
        <w:numPr>
          <w:ilvl w:val="0"/>
          <w:numId w:val="1005"/>
        </w:numPr>
      </w:pPr>
      <w:r>
        <w:t xml:space="preserve">completeness of primary and secondary outcome data, overall and by intervention condition, without presenting outcome values by intervention condition;</w:t>
      </w:r>
    </w:p>
    <w:p>
      <w:pPr>
        <w:pStyle w:val="Compact"/>
        <w:numPr>
          <w:ilvl w:val="0"/>
          <w:numId w:val="1005"/>
        </w:numPr>
      </w:pPr>
      <w:r>
        <w:t xml:space="preserve">ATLS® training delivery, including numbers of physicians trained in each hospital;</w:t>
      </w:r>
    </w:p>
    <w:p>
      <w:pPr>
        <w:pStyle w:val="Compact"/>
        <w:numPr>
          <w:ilvl w:val="0"/>
          <w:numId w:val="1005"/>
        </w:numPr>
      </w:pPr>
      <w:r>
        <w:t xml:space="preserve">protocol deviations and proposed protocol amendments;</w:t>
      </w:r>
    </w:p>
    <w:p>
      <w:pPr>
        <w:pStyle w:val="Compact"/>
        <w:numPr>
          <w:ilvl w:val="0"/>
          <w:numId w:val="1005"/>
        </w:numPr>
      </w:pPr>
      <w:r>
        <w:t xml:space="preserve">safety events, as defined for SDMC monitoring;</w:t>
      </w:r>
    </w:p>
    <w:p>
      <w:pPr>
        <w:pStyle w:val="Compact"/>
        <w:numPr>
          <w:ilvl w:val="0"/>
          <w:numId w:val="1005"/>
        </w:numPr>
      </w:pPr>
      <w:r>
        <w:t xml:space="preserve">relevant external evidence; and</w:t>
      </w:r>
    </w:p>
    <w:p>
      <w:pPr>
        <w:pStyle w:val="Compact"/>
        <w:numPr>
          <w:ilvl w:val="0"/>
          <w:numId w:val="1005"/>
        </w:numPr>
      </w:pPr>
      <w:r>
        <w:t xml:space="preserve">the SDMC recommendation.</w:t>
      </w:r>
    </w:p>
    <w:p>
      <w:pPr>
        <w:pStyle w:val="FirstParagraph"/>
      </w:pPr>
      <w:r>
        <w:t xml:space="preserve">No formal interim efficacy analysis or efficacy-based stopping rule will be applied. Outcomes will not be compared across intervention conditions in the interim report, to avoid biasing the SDMC or Trial Management Group. The SDMC will use the interim report to advise whether the trial remains feasible and should continue as planned.</w:t>
      </w:r>
    </w:p>
    <w:bookmarkEnd w:id="92"/>
    <w:bookmarkStart w:id="110"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These models account for clustering at the hospital level and provide cluster-specific estimates of the intervention effect. The primary analysis will be based on the most complex model that converges from a prespecified sequence of models of decreasing complexity. The analysis will proceed from the most complex model to progressively simpler models if there are convergence or numerical stability issues. The primary analysis will then be subject to sensitivity analyses.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3"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3"/>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4"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4"/>
    </w:p>
    <w:p>
      <w:pPr>
        <w:pStyle w:val="Compact"/>
        <w:numPr>
          <w:ilvl w:val="0"/>
          <w:numId w:val="1008"/>
        </w:numPr>
      </w:pPr>
      <w:r>
        <w:rPr>
          <w:b/>
          <w:bCs/>
        </w:rPr>
        <w:t xml:space="preserve">Model with shared period effects</w:t>
      </w:r>
      <w:r>
        <w:t xml:space="preserve">: a model in which fixed period effects are shared across batches, with time adjusted for using a common period effect or calendar time modelled directly (e.g., as a continuous covariate or using splines). A random intercept for cluster and a random cluster-by-period effect are retained; clusters remain indexed by batch, but the fixed period effects are common across batches. The model is specified in</w:t>
      </w:r>
      <w:r>
        <w:t xml:space="preserve"> </w:t>
      </w:r>
      <w:hyperlink w:anchor="eq-shared-period-model">
        <w:r>
          <w:rPr>
            <w:rStyle w:val="Hyperlink"/>
          </w:rPr>
          <w:t xml:space="preserve">Equation 3</w:t>
        </w:r>
      </w:hyperlink>
      <w:r>
        <w:t xml:space="preserve">.</w:t>
      </w:r>
    </w:p>
    <w:p>
      <w:pPr>
        <w:pStyle w:val="FirstParagraph"/>
      </w:pPr>
      <w:bookmarkStart w:id="95"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5"/>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6"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6"/>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7"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7"/>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Standard errors will be model-based. Small-sample adjustments, including degrees-of-freedom corrections such as Kenward–Roger, will be applied where relevant. Confidence intervals will be Wald-type.</w:t>
      </w:r>
    </w:p>
    <w:p>
      <w:pPr>
        <w:pStyle w:val="BodyText"/>
      </w:pPr>
      <w:r>
        <w:t xml:space="preserve">The general estimation framework for the mixed-effects models is maximum likelihood, with a Laplace approximation used to integrate out the random effects. The specific R package and numerical implementation will be chosen based on convergence behaviour and the availability of appropriate small-sample corrections closer to the time of analysis.</w:t>
      </w:r>
    </w:p>
    <w:p>
      <w:pPr>
        <w:pStyle w:val="BodyText"/>
      </w:pPr>
      <w:r>
        <w:t xml:space="preserve">Model diagnostics will be used to assess distributional assumptions and model convergence.</w:t>
      </w:r>
    </w:p>
    <w:p>
      <w:pPr>
        <w:pStyle w:val="BodyText"/>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outcomes, these correlations will additionally be reported on the latent scale.</w:t>
      </w:r>
    </w:p>
    <w:p>
      <w:pPr>
        <w:pStyle w:val="BodyText"/>
      </w:pPr>
      <w:r>
        <w:t xml:space="preserve">Intra-cluster and related correlation parameters will be derived from the estimated variance components of the fitted models. For models with an AR(1) within-cluster structure, the correlation parameter will be estimated directly from the AR(1) structure.</w:t>
      </w:r>
    </w:p>
    <w:bookmarkStart w:id="106"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9"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8"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8"/>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9"/>
    <w:bookmarkStart w:id="101" w:name="X831bc7e780a434f5c3512e5d33d43284b7d37ce"/>
    <w:p>
      <w:pPr>
        <w:pStyle w:val="Heading4"/>
      </w:pPr>
      <w:r>
        <w:t xml:space="preserve">5.10.1.2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with a non-zero covariance between this slope and the cluster random intercept (as anticipated in the protocol). The cluster-by-period random effect remains independent of both. The model is specified in</w:t>
      </w:r>
      <w:r>
        <w:t xml:space="preserve"> </w:t>
      </w:r>
      <w:hyperlink w:anchor="eq-model-random-cluster-intervention">
        <w:r>
          <w:rPr>
            <w:rStyle w:val="Hyperlink"/>
          </w:rPr>
          <w:t xml:space="preserve">Equation 7</w:t>
        </w:r>
      </w:hyperlink>
      <w:r>
        <w:t xml:space="preserve">.</w:t>
      </w:r>
    </w:p>
    <w:p>
      <w:pPr>
        <w:pStyle w:val="BodyText"/>
      </w:pPr>
      <w:bookmarkStart w:id="100"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7</m:t>
              </m:r>
            </m:e>
          </m:d>
        </m:oMath>
      </m:oMathPara>
      <w:bookmarkEnd w:id="100"/>
    </w:p>
    <w:p>
      <w:pPr>
        <w:pStyle w:val="FirstParagraph"/>
      </w:pPr>
      <w:r>
        <w:t xml:space="preserve">Where:</w:t>
      </w:r>
    </w:p>
    <w:p>
      <w:pPr>
        <w:pStyle w:val="Compact"/>
        <w:numPr>
          <w:ilvl w:val="0"/>
          <w:numId w:val="1012"/>
        </w:numPr>
      </w:pPr>
      <m:oMath>
        <m:sSub>
          <m:e>
            <m:r>
              <m:t>u</m:t>
            </m:r>
          </m:e>
          <m:sub>
            <m:r>
              <m:t>b</m:t>
            </m:r>
            <m:r>
              <m:t>k</m:t>
            </m:r>
          </m:sub>
        </m:sSub>
      </m:oMath>
      <w:r>
        <w:t xml:space="preserve"> </w:t>
      </w:r>
      <w:r>
        <w:t xml:space="preserve">is a random effect representing cluster-specific deviations from the average intervention effect.</w:t>
      </w:r>
    </w:p>
    <w:p>
      <w:pPr>
        <w:pStyle w:val="Compact"/>
        <w:numPr>
          <w:ilvl w:val="0"/>
          <w:numId w:val="1012"/>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12"/>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101"/>
    <w:bookmarkStart w:id="103" w:name="Xb7b1d3ff7c24f0b8dca2081a41dd1947ef59e07"/>
    <w:p>
      <w:pPr>
        <w:pStyle w:val="Heading4"/>
      </w:pPr>
      <w:r>
        <w:t xml:space="preserve">5.10.1.3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8</w:t>
        </w:r>
      </w:hyperlink>
      <w:r>
        <w:t xml:space="preserve">.</w:t>
      </w:r>
    </w:p>
    <w:p>
      <w:pPr>
        <w:pStyle w:val="BodyText"/>
      </w:pPr>
      <w:bookmarkStart w:id="102"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102"/>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3"/>
    <w:bookmarkStart w:id="105" w:name="models-exploring-lag-and-weaning-effects"/>
    <w:p>
      <w:pPr>
        <w:pStyle w:val="Heading4"/>
      </w:pPr>
      <w:r>
        <w:t xml:space="preserve">5.10.1.4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9</w:t>
        </w:r>
      </w:hyperlink>
      <w:r>
        <w:t xml:space="preserve">.</w:t>
      </w:r>
    </w:p>
    <w:p>
      <w:pPr>
        <w:pStyle w:val="BodyText"/>
      </w:pPr>
      <w:bookmarkStart w:id="104"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04"/>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5"/>
    <w:bookmarkEnd w:id="106"/>
    <w:bookmarkStart w:id="107"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7"/>
    <w:bookmarkStart w:id="108" w:name="subgroup-analyses"/>
    <w:p>
      <w:pPr>
        <w:pStyle w:val="Heading3"/>
      </w:pPr>
      <w:r>
        <w:t xml:space="preserve">5.10.3 Subgroup analyses</w:t>
      </w:r>
    </w:p>
    <w:p>
      <w:pPr>
        <w:pStyle w:val="FirstParagraph"/>
      </w:pPr>
      <w:r>
        <w:t xml:space="preserve">We will perform the following subgroup analyses of the primary outcome:</w:t>
      </w:r>
    </w:p>
    <w:p>
      <w:pPr>
        <w:pStyle w:val="Compact"/>
        <w:numPr>
          <w:ilvl w:val="0"/>
          <w:numId w:val="1015"/>
        </w:numPr>
      </w:pPr>
      <w:r>
        <w:t xml:space="preserve">geographical region, defined using the state in which the participating hospital is located, with each state as a separate category; the number of states depends on the final set of participating clusters and cannot be prespecified;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r>
        <w:t xml:space="preserve">;</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 this subgroup analysis will include only patients classified into one of these three cohorts;</w:t>
      </w:r>
    </w:p>
    <w:p>
      <w:pPr>
        <w:pStyle w:val="Compact"/>
        <w:numPr>
          <w:ilvl w:val="0"/>
          <w:numId w:val="1015"/>
        </w:numPr>
      </w:pPr>
      <w:r>
        <w:t xml:space="preserve">patients with major trauma, defined as patients with an injury severity score (ISS) of 16 or higher versus those with ISS below 16;</w:t>
      </w:r>
    </w:p>
    <w:p>
      <w:pPr>
        <w:pStyle w:val="Compact"/>
        <w:numPr>
          <w:ilvl w:val="0"/>
          <w:numId w:val="1015"/>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8"/>
    <w:bookmarkStart w:id="109" w:name="sec-treatment-of-missing-data"/>
    <w:p>
      <w:pPr>
        <w:pStyle w:val="Heading3"/>
      </w:pPr>
      <w:r>
        <w:t xml:space="preserve">5.10.4 Treatment of missing data</w:t>
      </w:r>
    </w:p>
    <w:p>
      <w:pPr>
        <w:pStyle w:val="FirstParagraph"/>
      </w:pPr>
      <w:r>
        <w:t xml:space="preserve">We will present the frequency and percentage of missing data for all variables. Handling of missing data for the primary analysis will depend on the percentage of missing data for the primary outcome.</w:t>
      </w:r>
    </w:p>
    <w:p>
      <w:pPr>
        <w:pStyle w:val="BodyText"/>
      </w:pPr>
      <w:r>
        <w:t xml:space="preserve">If less than 10% of participants have a missing primary outcome, we will use an available-case approach. The primary unadjusted analysis will include all participants with observed primary outcome data. Adjusted analyses will be restricted to participants with complete data on the adjustment covariates, and the unadjusted analysis will be repeated in this complete-case population to allow the results of the unadjusted and adjusted analyses to be directly compared.</w:t>
      </w:r>
    </w:p>
    <w:p>
      <w:pPr>
        <w:pStyle w:val="BodyText"/>
      </w:pPr>
      <w:r>
        <w:t xml:space="preserve">If 10% or more of participants have a missing primary outcome, we will use multiple imputation by chained equations (MICE) under a missing-at-random assumption, imputing the primary outcome, secondary outcomes as required for analysis, and the covariates included in the fully adjusted model, with a minimum of 20 imputations. The imputation model will reflect the hierarchical data structure, including clustering at the hospital level and design variables such as period and intervention exposure. Unadjusted and adjusted analyses will then be conducted using the imputed datasets. We will also present the corresponding complete-case analyses for comparison. Secondary outcomes will not be imputed under the available-case approach.</w:t>
      </w:r>
    </w:p>
    <w:p>
      <w:pPr>
        <w:pStyle w:val="BodyText"/>
      </w:pPr>
      <w:r>
        <w:t xml:space="preserve">If there is evidence that data are missing not at random, we will explore this in a sensitivity analysis.</w:t>
      </w:r>
    </w:p>
    <w:bookmarkEnd w:id="109"/>
    <w:bookmarkEnd w:id="110"/>
    <w:bookmarkStart w:id="124"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 Effect measures are odds ratios and absolute risk differences for binary outcomes, rate ratios for count (length-of-stay) outcomes, cumulative odds ratios for ordinal outcomes, mean differences for continuous outcomes, and a logit-scale difference for the adherence proportion; there are no time-to-event analyses and no hazard ratios. These models provide cluster-specific estimates of the intervention effect for patient-level outcomes. Model diagnostics will be used to assess distributional assumptions, the proportional-odds assumption for cumulative logit models, and model convergence.</w:t>
      </w:r>
    </w:p>
    <w:bookmarkStart w:id="111"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11"/>
    <w:bookmarkStart w:id="114"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within the nested staircase design using the official and validated translations of the EQ-5D-5L. The EQ-5D-5L yields two outcome types: five ordinal domain scores (mobility, self-care, usual activities, pain/discomfort, and anxiety/depression), each rated on a Likert scale from 1 to 5, and a visual analogue scale (VAS) ranging from 0 to 100. For these analyses, period effects are defined on the global study timeline (not separately within each batch), and not all clusters contribute data in every period.</w:t>
      </w:r>
    </w:p>
    <w:p>
      <w:pPr>
        <w:pStyle w:val="BodyText"/>
      </w:pPr>
      <w:r>
        <w:t xml:space="preserve">For each of the five ordinal domains, we will use a mixed-effects cumulative logit (proportional odds) model:</w:t>
      </w:r>
    </w:p>
    <w:p>
      <w:pPr>
        <w:pStyle w:val="BodyText"/>
      </w:pPr>
      <w:bookmarkStart w:id="112"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12"/>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3"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11</m:t>
              </m:r>
            </m:e>
          </m:d>
        </m:oMath>
      </m:oMathPara>
      <w:bookmarkEnd w:id="113"/>
    </w:p>
    <w:bookmarkEnd w:id="114"/>
    <w:bookmarkStart w:id="115"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Disability will be measured within the nested staircase design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As for quality of life, period effects are defined on the global study timeline, and not all clusters contribute data in every period. We will analyse each domain separately using a mixed effects ordinal model as specified in</w:t>
      </w:r>
      <w:r>
        <w:t xml:space="preserve"> </w:t>
      </w:r>
      <w:hyperlink w:anchor="eq-ordinal-model">
        <w:r>
          <w:rPr>
            <w:rStyle w:val="Hyperlink"/>
          </w:rPr>
          <w:t xml:space="preserve">Equation 10</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11</w:t>
        </w:r>
      </w:hyperlink>
      <w:r>
        <w:t xml:space="preserve">.</w:t>
      </w:r>
    </w:p>
    <w:bookmarkEnd w:id="115"/>
    <w:bookmarkStart w:id="116"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16"/>
    <w:bookmarkStart w:id="118" w:name="length-of-emergency-department-stay"/>
    <w:p>
      <w:pPr>
        <w:pStyle w:val="Heading3"/>
      </w:pPr>
      <w:r>
        <w:t xml:space="preserve">5.11.5 Length of emergency department stay</w:t>
      </w:r>
    </w:p>
    <w:p>
      <w:pPr>
        <w:pStyle w:val="FirstParagraph"/>
      </w:pPr>
      <w:r>
        <w:t xml:space="preserve">Length of emergency department stay will be analysed as a count outcome: the number of hours from arrival at the emergency department until ED exit. Exit may occur via ward admission, ICU admission, transfer to another hospital, death, or discharge home; all of these routes contribute the observed ED duration. The purpose of the analysis is to estimate the effect of ATLS® on mean ED length of stay. Death and transfer truncate the observed stay and are not treated as censoring; mortality is analysed separately as a primary and secondary outcome.</w:t>
      </w:r>
    </w:p>
    <w:p>
      <w:pPr>
        <w:pStyle w:val="BodyText"/>
      </w:pPr>
      <w:r>
        <w:t xml:space="preserve">We will use a mixed-effects negative binomial regression model with a log link, including fixed effects for intervention exposure and batch-specific categorical period effects, a random intercept for cluster, and a random cluster-by-period effect, matching the primary analysis model structure where feasible. If this model does not converge, we will simplify the random-effects and period structure following the same sequence as for the primary outcome. The model is specified in</w:t>
      </w:r>
      <w:r>
        <w:t xml:space="preserve"> </w:t>
      </w:r>
      <w:hyperlink w:anchor="eq-length-of-stay-model">
        <w:r>
          <w:rPr>
            <w:rStyle w:val="Hyperlink"/>
          </w:rPr>
          <w:t xml:space="preserve">Equation 12</w:t>
        </w:r>
      </w:hyperlink>
      <w:r>
        <w:t xml:space="preserve">. The intervention effect</w:t>
      </w:r>
      <w:r>
        <w:t xml:space="preserve"> </w:t>
      </w:r>
      <m:oMath>
        <m:r>
          <m:t>θ</m:t>
        </m:r>
      </m:oMath>
      <w:r>
        <w:t xml:space="preserve"> </w:t>
      </w:r>
      <w:r>
        <w:t xml:space="preserve">is the log rate ratio for ED length of stay associated with ATLS® exposure compared with standard care; we will also report the corresponding multiplicative effect on the mean count (rate ratio).</w:t>
      </w:r>
    </w:p>
    <w:p>
      <w:pPr>
        <w:pStyle w:val="BodyText"/>
      </w:pPr>
      <w:bookmarkStart w:id="117"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7"/>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A dispersion parameter will be estimated as part of the negative binomial model.</w:t>
      </w:r>
    </w:p>
    <w:bookmarkEnd w:id="118"/>
    <w:bookmarkStart w:id="119" w:name="length-of-hospital-stay"/>
    <w:p>
      <w:pPr>
        <w:pStyle w:val="Heading3"/>
      </w:pPr>
      <w:r>
        <w:t xml:space="preserve">5.11.6 Length of hospital stay</w:t>
      </w:r>
    </w:p>
    <w:p>
      <w:pPr>
        <w:pStyle w:val="FirstParagraph"/>
      </w:pPr>
      <w:r>
        <w:t xml:space="preserve">Length of hospital stay will be analysed as a count outcome: the number of days from arrival at the emergency department to hospital discharge (or death in hospital).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ED length of stay.</w:t>
      </w:r>
    </w:p>
    <w:bookmarkEnd w:id="119"/>
    <w:bookmarkStart w:id="120"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 Patients who die or are transferred without ICU admission will be classified according to whether ICU admission occurred before that event.</w:t>
      </w:r>
    </w:p>
    <w:bookmarkEnd w:id="120"/>
    <w:bookmarkStart w:id="121" w:name="length-of-intensive-care-unit-stay"/>
    <w:p>
      <w:pPr>
        <w:pStyle w:val="Heading3"/>
      </w:pPr>
      <w:r>
        <w:t xml:space="preserve">5.11.8 Length of intensive care unit stay</w:t>
      </w:r>
    </w:p>
    <w:p>
      <w:pPr>
        <w:pStyle w:val="FirstParagraph"/>
      </w:pPr>
      <w:r>
        <w:t xml:space="preserve">Length of intensive care unit stay will be analysed as a count outcome among patients admitted to ICU: the number of days from ICU admission to ICU discharge (or death in ICU).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the other length-of-stay outcomes.</w:t>
      </w:r>
    </w:p>
    <w:bookmarkEnd w:id="121"/>
    <w:bookmarkStart w:id="123"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within the nested staircase design, in both the standard care and ATLS® periods, using a 14-item checklist that covers the key steps of the ATLS® primary survey. Adherence will be measured as the percentage of completed checklist items (completion of all 14 steps corresponds to 100% adherence). For these analyses, period effects are defined on the global study timeline (not separately within each batch), and not all clusters contribute data in every period. This outcome will be analysed using a mixed-effects beta regression model with a logit link, with the percentage first expressed as a proportion on the 0–1 scale:</w:t>
      </w:r>
    </w:p>
    <w:p>
      <w:pPr>
        <w:pStyle w:val="BodyText"/>
      </w:pPr>
      <w:bookmarkStart w:id="122"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22"/>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3"/>
    <w:bookmarkEnd w:id="124"/>
    <w:bookmarkStart w:id="131" w:name="presentation-of-analysis-results"/>
    <w:p>
      <w:pPr>
        <w:pStyle w:val="Heading2"/>
      </w:pPr>
      <w:r>
        <w:t xml:space="preserve">5.12 Presentation of analysis results</w:t>
      </w:r>
    </w:p>
    <w:p>
      <w:pPr>
        <w:pStyle w:val="FirstParagraph"/>
      </w:pPr>
      <w:r>
        <w:t xml:space="preserve">Intervention-effect estimates for the primary and secondary outcomes will be reported with 95% CIs and p-values, using the effect measures specified for each outcome. Results tables will be prepared in the style of</w:t>
      </w:r>
      <w:r>
        <w:t xml:space="preserve"> </w:t>
      </w:r>
      <w:r>
        <w:rPr>
          <w:rStyle w:val="VerbatimChar"/>
        </w:rPr>
        <w:t xml:space="preserve">gtsummary::tbl_regression</w:t>
      </w:r>
      <w:r>
        <w:t xml:space="preserve">, using the same section headers and label style as the descriptive outcome summaries. We will present key outcome analyses in the results section, and present all outcome analyses as supplementary tables. See</w:t>
      </w:r>
      <w:r>
        <w:t xml:space="preserve"> </w:t>
      </w:r>
      <w:hyperlink w:anchor="tbl-outcomes-analysis-results">
        <w:r>
          <w:rPr>
            <w:rStyle w:val="Hyperlink"/>
          </w:rPr>
          <w:t xml:space="preserve">Table 6</w:t>
        </w:r>
      </w:hyperlink>
      <w:r>
        <w:t xml:space="preserve"> </w:t>
      </w:r>
      <w:r>
        <w:t xml:space="preserve">for key analyses and</w:t>
      </w:r>
      <w:r>
        <w:t xml:space="preserve"> </w:t>
      </w:r>
      <w:hyperlink w:anchor="tbl-outcomes-analysis-results-all">
        <w:r>
          <w:rPr>
            <w:rStyle w:val="Hyperlink"/>
          </w:rPr>
          <w:t xml:space="preserve">Table 10</w:t>
        </w:r>
      </w:hyperlink>
      <w:r>
        <w:t xml:space="preserve"> </w:t>
      </w:r>
      <w:r>
        <w:t xml:space="preserve">for all analyses.</w:t>
      </w:r>
    </w:p>
    <w:tbl>
      <w:tblPr>
        <w:tblStyle w:val="Table"/>
        <w:tblW w:type="pct" w:w="5000"/>
        <w:tblLayout w:type="fixed"/>
        <w:tblLook w:firstRow="0" w:lastRow="0" w:firstColumn="0" w:lastColumn="0" w:noHBand="0" w:noVBand="0" w:val="0000"/>
      </w:tblPr>
      <w:tblGrid>
        <w:gridCol w:w="7920"/>
      </w:tblGrid>
      <w:tr>
        <w:tc>
          <w:tcPr/>
          <w:bookmarkStart w:id="125" w:name="tbl-outcomes-analysis-results"/>
          <w:p>
            <w:pPr>
              <w:jc w:val="center"/>
            </w:pPr>
            <w:pPr>
              <w:jc w:val="left"/>
              <w:spacing w:before="200"/>
              <w:pStyle w:val="ImageCaption"/>
            </w:pPr>
            <w:r>
              <w:t xml:space="preserve">Table 6: Shell table of key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5"/>
        </w:tc>
      </w:tr>
    </w:tbl>
    <w:p>
      <w:pPr>
        <w:pStyle w:val="BodyText"/>
      </w:pPr>
      <w:r>
        <w:t xml:space="preserve">Sensitivity, fully adjusted, and subgroup analyses of the primary outcome will be reported in the same style. See</w:t>
      </w:r>
      <w:r>
        <w:t xml:space="preserve"> </w:t>
      </w:r>
      <w:hyperlink w:anchor="tbl-additional-analyses-results">
        <w:r>
          <w:rPr>
            <w:rStyle w:val="Hyperlink"/>
          </w:rPr>
          <w:t xml:space="preserve">Table 7</w:t>
        </w:r>
      </w:hyperlink>
      <w:r>
        <w:t xml:space="preserve">. Subgroup-specific intervention effects will also be presented in a forest plot with 95% CIs for the odds ratio and absolute risk difference. See</w:t>
      </w:r>
      <w:r>
        <w:t xml:space="preserve"> </w:t>
      </w:r>
      <w:hyperlink w:anchor="fig-subgroup-forest-plot">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tbl-additional-analyses-results"/>
          <w:p>
            <w:pPr>
              <w:jc w:val="center"/>
            </w:pPr>
            <w:pPr>
              <w:jc w:val="left"/>
              <w:spacing w:before="200"/>
              <w:pStyle w:val="ImageCaption"/>
            </w:pPr>
            <w:r>
              <w:t xml:space="preserve">Table 7: Shell table of sensitivity, fully adjusted, and subgroup analysis results for the primary outcome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Analysis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Sensitivity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Fully adjusted analysis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Subgroup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26"/>
        </w:tc>
      </w:tr>
    </w:tbl>
    <w:tbl>
      <w:tblPr>
        <w:tblStyle w:val="Table"/>
        <w:tblW w:type="pct" w:w="5000"/>
        <w:tblLayout w:type="fixed"/>
        <w:tblLook w:firstRow="0" w:lastRow="0" w:firstColumn="0" w:lastColumn="0" w:noHBand="0" w:noVBand="0" w:val="0000"/>
      </w:tblPr>
      <w:tblGrid>
        <w:gridCol w:w="7920"/>
      </w:tblGrid>
      <w:tr>
        <w:tc>
          <w:tcPr/>
          <w:bookmarkStart w:id="130" w:name="fig-subgroup-forest-plot"/>
          <w:p>
            <w:pPr>
              <w:pStyle w:val="Compact"/>
              <w:jc w:val="center"/>
            </w:pPr>
            <w:r>
              <w:drawing>
                <wp:inline>
                  <wp:extent cx="5334000" cy="4459275"/>
                  <wp:effectExtent b="0" l="0" r="0" t="0"/>
                  <wp:docPr descr="" title="" id="128" name="Picture"/>
                  <a:graphic>
                    <a:graphicData uri="http://schemas.openxmlformats.org/drawingml/2006/picture">
                      <pic:pic>
                        <pic:nvPicPr>
                          <pic:cNvPr descr="subgroup-forest-plot.png" id="129" name="Picture"/>
                          <pic:cNvPicPr>
                            <a:picLocks noChangeArrowheads="1" noChangeAspect="1"/>
                          </pic:cNvPicPr>
                        </pic:nvPicPr>
                        <pic:blipFill>
                          <a:blip r:embed="rId127"/>
                          <a:stretch>
                            <a:fillRect/>
                          </a:stretch>
                        </pic:blipFill>
                        <pic:spPr bwMode="auto">
                          <a:xfrm>
                            <a:off x="0" y="0"/>
                            <a:ext cx="5334000" cy="44592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Forest plot of subgroup-specific intervention effects on in-hospital mortality within 30 days. Estimates and confidence intervals are placeholders to be completed at analysis.</w:t>
            </w:r>
          </w:p>
          <w:bookmarkEnd w:id="130"/>
        </w:tc>
      </w:tr>
    </w:tbl>
    <w:p>
      <w:pPr>
        <w:pStyle w:val="BodyText"/>
      </w:pPr>
      <w:r>
        <w:t xml:space="preserve">Time-adjusted within-cluster correlations and variance components will be reported with 95% CIs for all outcomes, as specified above; for binary outcomes, latent-scale correlations will additionally be reported. For models with an AR(1) within-cluster structure, the within-period correlation and correlation decay parameter will also be reported. These parameters will be presented as a supplementary table. See</w:t>
      </w:r>
      <w:r>
        <w:t xml:space="preserve"> </w:t>
      </w:r>
      <w:hyperlink w:anchor="tbl-correlation-parameters">
        <w:r>
          <w:rPr>
            <w:rStyle w:val="Hyperlink"/>
          </w:rPr>
          <w:t xml:space="preserve">Table 11</w:t>
        </w:r>
      </w:hyperlink>
      <w:r>
        <w:t xml:space="preserve">.</w:t>
      </w:r>
    </w:p>
    <w:bookmarkEnd w:id="131"/>
    <w:bookmarkEnd w:id="132"/>
    <w:bookmarkStart w:id="137"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33" w:name="tbl-patient-characteristics-all"/>
          <w:p>
            <w:pPr>
              <w:jc w:val="center"/>
            </w:pPr>
            <w:pPr>
              <w:jc w:val="left"/>
              <w:spacing w:before="200"/>
              <w:pStyle w:val="ImageCaption"/>
            </w:pPr>
            <w:r>
              <w:t xml:space="preserve">Table 8: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tbl-outcomes-descriptive-all"/>
          <w:p>
            <w:pPr>
              <w:jc w:val="center"/>
            </w:pPr>
            <w:pPr>
              <w:jc w:val="left"/>
              <w:spacing w:before="200"/>
              <w:pStyle w:val="ImageCaption"/>
            </w:pPr>
            <w:r>
              <w:t xml:space="preserve">Table 9: Descriptive summaries of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tbl-outcomes-analysis-results-all"/>
          <w:p>
            <w:pPr>
              <w:jc w:val="center"/>
            </w:pPr>
            <w:pPr>
              <w:jc w:val="left"/>
              <w:spacing w:before="200"/>
              <w:pStyle w:val="ImageCaption"/>
            </w:pPr>
            <w:r>
              <w:t xml:space="preserve">Table 10: Shell table of all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6" w:name="tbl-correlation-parameters"/>
          <w:p>
            <w:pPr>
              <w:jc w:val="center"/>
            </w:pPr>
            <w:pPr>
              <w:jc w:val="left"/>
              <w:spacing w:before="200"/>
              <w:pStyle w:val="ImageCaption"/>
            </w:pPr>
            <w:r>
              <w:t xml:space="preserve">Table 11: Shell table of within-cluster correlation parameters for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Parameter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3"/>
                </w:tcPr>
                <w:p>
                  <w:pPr>
                    <w:spacing w:before="0" w:after="60"/>
                    <w:keepNext/>
                  </w:pPr>
                  <w:r>
                    <w:rPr>
                      <w:rFonts w:ascii="Calibri" w:hAnsi="Calibri"/>
                      <w:sz w:val="20"/>
                    </w:rPr>
                    <w:t xml:space="preserve">Abbreviation: CI = Confidence Interval</w:t>
                  </w:r>
                </w:p>
              </w:tc>
            </w:tr>
          </w:tbl>
          <w:bookmarkEnd w:id="136"/>
        </w:tc>
      </w:tr>
    </w:tbl>
    <w:bookmarkEnd w:id="137"/>
    <w:bookmarkStart w:id="159" w:name="references"/>
    <w:p>
      <w:pPr>
        <w:pStyle w:val="Heading1"/>
      </w:pPr>
      <w:r>
        <w:t xml:space="preserve">7. References</w:t>
      </w:r>
    </w:p>
    <w:bookmarkStart w:id="158" w:name="refs"/>
    <w:bookmarkStart w:id="138"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38"/>
    <w:bookmarkStart w:id="139"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39"/>
    <w:bookmarkStart w:id="140"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40"/>
    <w:bookmarkStart w:id="141"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41"/>
    <w:bookmarkStart w:id="142"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42"/>
    <w:bookmarkStart w:id="143"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43"/>
    <w:bookmarkStart w:id="144"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44"/>
    <w:bookmarkStart w:id="145"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45"/>
    <w:bookmarkStart w:id="146"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46"/>
    <w:bookmarkStart w:id="147"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47"/>
    <w:bookmarkStart w:id="148"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48"/>
    <w:bookmarkStart w:id="149"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49"/>
    <w:bookmarkStart w:id="150"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50"/>
    <w:bookmarkStart w:id="151"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51"/>
    <w:bookmarkStart w:id="152"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52"/>
    <w:bookmarkStart w:id="153"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53"/>
    <w:bookmarkStart w:id="154"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54"/>
    <w:bookmarkStart w:id="155"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55"/>
    <w:bookmarkStart w:id="156"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56"/>
    <w:bookmarkStart w:id="157"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57"/>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23" Target="media/rId23.png" /><Relationship Type="http://schemas.openxmlformats.org/officeDocument/2006/relationships/image" Id="rId78" Target="media/rId78.png" /><Relationship Type="http://schemas.openxmlformats.org/officeDocument/2006/relationships/image" Id="rId127" Target="media/rId12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2026-08-05T06:14:21Z</dcterms:created>
  <dcterms:modified xsi:type="dcterms:W3CDTF">2026-08-05T06:14:21Z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0.7.0, 2026-08-04</vt:lpwstr>
  </property>
  <property fmtid="{D5CDD505-2E9C-101B-9397-08002B2CF9AE}" pid="15" name="titlepage-theme">
    <vt:lpwstr/>
  </property>
  <property fmtid="{D5CDD505-2E9C-101B-9397-08002B2CF9AE}" pid="16" name="toc-title">
    <vt:lpwstr>Table of contents</vt:lpwstr>
  </property>
</Properties>
</file>