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5"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anticpated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clinical units within hospitals deliver care, and individual patients constitute the unit of observation and analysis. Randomisation is performed at the hospital level, with all trained units within the same hospital treated as part of the same cluster.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and mortality secondary outcomes, the analysis set is all eligible patient participants included in the main stepped-wedge trial. For quality-of-life, disability, and return-to-work outcomes, the analysis set is patients alive at the relevant follow-up time point.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7"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6" w:name="patient-characteristics"/>
    <w:p>
      <w:pPr>
        <w:pStyle w:val="Heading3"/>
      </w:pPr>
      <w:r>
        <w:t xml:space="preserve">5.8.2 Patient characteristics</w:t>
      </w:r>
    </w:p>
    <w:p>
      <w:pPr>
        <w:pStyle w:val="FirstParagraph"/>
      </w:pPr>
      <w:r>
        <w:t xml:space="preserve">We will describe patient characteristics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4</w:t>
        </w:r>
      </w:hyperlink>
      <w:r>
        <w:t xml:space="preserve"> </w:t>
      </w:r>
      <w:r>
        <w:t xml:space="preserve">for all characteristics. Summaries of primary and secondary outcomes will be presented in the results section, using the same summary statistics as the patient characteristics tables. See</w:t>
      </w:r>
      <w:r>
        <w:t xml:space="preserve"> </w:t>
      </w:r>
      <w:hyperlink w:anchor="tbl-outcomes-summary">
        <w:r>
          <w:rPr>
            <w:rStyle w:val="Hyperlink"/>
          </w:rPr>
          <w:t xml:space="preserve">Table 1</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tbl>
      <w:tblPr>
        <w:tblStyle w:val="Table"/>
        <w:tblW w:type="pct" w:w="5000"/>
        <w:tblLayout w:type="fixed"/>
        <w:tblLook w:firstRow="0" w:lastRow="0" w:firstColumn="0" w:lastColumn="0" w:noHBand="0" w:noVBand="0" w:val="0000"/>
      </w:tblPr>
      <w:tblGrid>
        <w:gridCol w:w="7920"/>
      </w:tblGrid>
      <w:tr>
        <w:tc>
          <w:tcPr/>
          <w:bookmarkStart w:id="85" w:name="tbl-patient-characteristics-all"/>
          <w:p>
            <w:pPr>
              <w:jc w:val="center"/>
            </w:pPr>
            <w:pPr>
              <w:jc w:val="left"/>
              <w:spacing w:before="200"/>
              <w:pStyle w:val="ImageCaption"/>
            </w:pPr>
            <w:r>
              <w:t xml:space="preserve">Table 4: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5"/>
        </w:tc>
      </w:tr>
    </w:tbl>
    <w:bookmarkEnd w:id="86"/>
    <w:bookmarkEnd w:id="87"/>
    <w:bookmarkStart w:id="88"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8"/>
    <w:bookmarkStart w:id="110"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9"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9"/>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0"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0"/>
    </w:p>
    <w:p>
      <w:pPr>
        <w:pStyle w:val="Compact"/>
        <w:numPr>
          <w:ilvl w:val="0"/>
          <w:numId w:val="1007"/>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91"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1"/>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2"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2"/>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3"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3"/>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6"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5"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4"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4"/>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5"/>
    <w:bookmarkStart w:id="97"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6"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6"/>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7"/>
    <w:bookmarkStart w:id="99"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8"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8"/>
    </w:p>
    <w:p>
      <w:pPr>
        <w:pStyle w:val="FirstParagraph"/>
      </w:pPr>
      <w:r>
        <w:t xml:space="preserve">Where:</w:t>
      </w:r>
    </w:p>
    <w:p>
      <w:pPr>
        <w:pStyle w:val="Compact"/>
        <w:numPr>
          <w:ilvl w:val="0"/>
          <w:numId w:val="1011"/>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1"/>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9"/>
    <w:bookmarkStart w:id="101"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100"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100"/>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101"/>
    <w:bookmarkStart w:id="103"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102"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2"/>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3"/>
    <w:bookmarkStart w:id="105"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104"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104"/>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5"/>
    <w:bookmarkEnd w:id="106"/>
    <w:bookmarkStart w:id="107"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7"/>
    <w:bookmarkStart w:id="108"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4"/>
        </w:numPr>
      </w:pPr>
      <w:r>
        <w:t xml:space="preserve">geographical region, defined using the state in which the participating hospital is located;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4"/>
        </w:numPr>
      </w:pPr>
      <w:r>
        <w:t xml:space="preserve">patients with major trauma, defined as patients with an injury severity score (ISS) of 16 or higher;</w:t>
      </w:r>
    </w:p>
    <w:p>
      <w:pPr>
        <w:pStyle w:val="Compact"/>
        <w:numPr>
          <w:ilvl w:val="0"/>
          <w:numId w:val="1014"/>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8"/>
    <w:bookmarkStart w:id="109" w:name="sec-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9"/>
    <w:bookmarkEnd w:id="110"/>
    <w:bookmarkStart w:id="124"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11"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11"/>
    <w:bookmarkStart w:id="114"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12"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2"/>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3"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13"/>
    </w:p>
    <w:bookmarkEnd w:id="114"/>
    <w:bookmarkStart w:id="115"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15"/>
    <w:bookmarkStart w:id="116"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6"/>
    <w:bookmarkStart w:id="118"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7"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7"/>
    </w:p>
    <w:p>
      <w:pPr>
        <w:pStyle w:val="FirstParagraph"/>
      </w:pPr>
      <w:r>
        <w:t xml:space="preserve">Where:</w:t>
      </w:r>
    </w:p>
    <w:p>
      <w:pPr>
        <w:pStyle w:val="Compact"/>
        <w:numPr>
          <w:ilvl w:val="0"/>
          <w:numId w:val="1015"/>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5"/>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5"/>
        </w:numPr>
      </w:pPr>
      <m:oMath>
        <m:r>
          <m:t>θ</m:t>
        </m:r>
      </m:oMath>
      <w:r>
        <w:t xml:space="preserve">: under the Fine–Gray model, represents the log subdistribution hazard ratio for discharge associated with ATLS® exposure.</w:t>
      </w:r>
    </w:p>
    <w:p>
      <w:pPr>
        <w:pStyle w:val="Compact"/>
        <w:numPr>
          <w:ilvl w:val="0"/>
          <w:numId w:val="1015"/>
        </w:numPr>
      </w:pPr>
      <w:r>
        <w:t xml:space="preserve">All other terms are defined as in the primary analysis model.</w:t>
      </w:r>
    </w:p>
    <w:bookmarkEnd w:id="118"/>
    <w:bookmarkStart w:id="119"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9"/>
    <w:bookmarkStart w:id="120"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20"/>
    <w:bookmarkStart w:id="121"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21"/>
    <w:bookmarkStart w:id="123"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22"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22"/>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3"/>
    <w:bookmarkEnd w:id="124"/>
    <w:bookmarkEnd w:id="125"/>
    <w:bookmarkStart w:id="147" w:name="references"/>
    <w:p>
      <w:pPr>
        <w:pStyle w:val="Heading1"/>
      </w:pPr>
      <w:r>
        <w:t xml:space="preserve">6. References</w:t>
      </w:r>
    </w:p>
    <w:bookmarkStart w:id="146" w:name="refs"/>
    <w:bookmarkStart w:id="126"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6"/>
    <w:bookmarkStart w:id="127"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7"/>
    <w:bookmarkStart w:id="128"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8"/>
    <w:bookmarkStart w:id="129"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9"/>
    <w:bookmarkStart w:id="130"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0"/>
    <w:bookmarkStart w:id="131"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1"/>
    <w:bookmarkStart w:id="132"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2"/>
    <w:bookmarkStart w:id="133"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3"/>
    <w:bookmarkStart w:id="134"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4"/>
    <w:bookmarkStart w:id="135"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5"/>
    <w:bookmarkStart w:id="136"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6"/>
    <w:bookmarkStart w:id="137"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7"/>
    <w:bookmarkStart w:id="138"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8"/>
    <w:bookmarkStart w:id="139"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9"/>
    <w:bookmarkStart w:id="140"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0"/>
    <w:bookmarkStart w:id="141"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1"/>
    <w:bookmarkStart w:id="142"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2"/>
    <w:bookmarkStart w:id="143"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3"/>
    <w:bookmarkStart w:id="144"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4"/>
    <w:bookmarkStart w:id="145"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2026-06-29T03:47:14Z</dcterms:created>
  <dcterms:modified xsi:type="dcterms:W3CDTF">2026-06-29T03:47:14Z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