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23.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Author"/>
      </w:pPr>
      <w:r>
        <w:t xml:space="preserve">Version 0.6.0, 2026-03-04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0"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39"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bl>
    <w:p>
      <w:r>
        <w:br w:type="page"/>
      </w:r>
    </w:p>
    <w:bookmarkEnd w:id="39"/>
    <w:bookmarkEnd w:id="40"/>
    <w:bookmarkStart w:id="41"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1"/>
    <w:bookmarkStart w:id="43" w:name="special-considerations"/>
    <w:p>
      <w:pPr>
        <w:pStyle w:val="Heading1"/>
      </w:pPr>
      <w:r>
        <w:t xml:space="preserve">3. Special considerations</w:t>
      </w:r>
    </w:p>
    <w:bookmarkStart w:id="42"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2"/>
    <w:bookmarkEnd w:id="43"/>
    <w:bookmarkStart w:id="46" w:name="aim-and-objectives"/>
    <w:p>
      <w:pPr>
        <w:pStyle w:val="Heading1"/>
      </w:pPr>
      <w:r>
        <w:t xml:space="preserve">4. Aim and objectives</w:t>
      </w:r>
    </w:p>
    <w:bookmarkStart w:id="44"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4"/>
    <w:bookmarkStart w:id="45"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5"/>
    <w:bookmarkEnd w:id="46"/>
    <w:bookmarkStart w:id="116" w:name="statistical-analysis"/>
    <w:p>
      <w:pPr>
        <w:pStyle w:val="Heading1"/>
      </w:pPr>
      <w:r>
        <w:t xml:space="preserve">5. Statistical analysis</w:t>
      </w:r>
    </w:p>
    <w:bookmarkStart w:id="55"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ayout w:type="fixed"/>
        <w:tblLook w:firstRow="0" w:lastRow="0" w:firstColumn="0" w:lastColumn="0" w:noHBand="0" w:noVBand="0" w:val="0000"/>
      </w:tblPr>
      <w:tblGrid>
        <w:gridCol w:w="7920"/>
      </w:tblGrid>
      <w:tr>
        <w:tc>
          <w:tcPr/>
          <w:bookmarkStart w:id="50" w:name="fig-trial-design"/>
          <w:p>
            <w:pPr>
              <w:pStyle w:val="Compact"/>
              <w:jc w:val="center"/>
            </w:pPr>
            <w:r>
              <w:drawing>
                <wp:inline>
                  <wp:extent cx="5334000" cy="3198592"/>
                  <wp:effectExtent b="0" l="0" r="0" t="0"/>
                  <wp:docPr descr="" title="" id="48" name="Picture"/>
                  <a:graphic>
                    <a:graphicData uri="http://schemas.openxmlformats.org/drawingml/2006/picture">
                      <pic:pic>
                        <pic:nvPicPr>
                          <pic:cNvPr descr="trial-design-figure-30-clusters-5-sequences-6-batches-6-batches-overlap-4-min-standard-care-4-min-intervention-1-transition-months-0-transition-overlap.0-staircase-months.png" id="49" name="Picture"/>
                          <pic:cNvPicPr>
                            <a:picLocks noChangeArrowheads="1" noChangeAspect="1"/>
                          </pic:cNvPicPr>
                        </pic:nvPicPr>
                        <pic:blipFill>
                          <a:blip r:embed="rId47"/>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0"/>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4" w:name="fig-nested-staircase-design"/>
          <w:p>
            <w:pPr>
              <w:pStyle w:val="Compact"/>
              <w:jc w:val="center"/>
            </w:pPr>
            <w:r>
              <w:drawing>
                <wp:inline>
                  <wp:extent cx="5334000" cy="3198592"/>
                  <wp:effectExtent b="0" l="0" r="0" t="0"/>
                  <wp:docPr descr="" title="" id="52" name="Picture"/>
                  <a:graphic>
                    <a:graphicData uri="http://schemas.openxmlformats.org/drawingml/2006/picture">
                      <pic:pic>
                        <pic:nvPicPr>
                          <pic:cNvPr descr="trial-design-figure-30-clusters-5-sequences-6-batches-6-batches-overlap-4-min-standard-care-4-min-intervention-1-transition-months-0-transition-overlap.3-staircase-months.png" id="53" name="Picture"/>
                          <pic:cNvPicPr>
                            <a:picLocks noChangeArrowheads="1" noChangeAspect="1"/>
                          </pic:cNvPicPr>
                        </pic:nvPicPr>
                        <pic:blipFill>
                          <a:blip r:embed="rId51"/>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4"/>
        </w:tc>
      </w:tr>
    </w:tbl>
    <w:bookmarkEnd w:id="55"/>
    <w:bookmarkStart w:id="56" w:name="randomisation-of-clusters"/>
    <w:p>
      <w:pPr>
        <w:pStyle w:val="Heading2"/>
      </w:pPr>
      <w:r>
        <w:t xml:space="preserve">5.2 Randomisation of clusters</w:t>
      </w:r>
    </w:p>
    <w:p>
      <w:pPr>
        <w:pStyle w:val="FirstParagraph"/>
      </w:pPr>
      <w:r>
        <w:t xml:space="preserve">We will assign clusters to batches as they are found to be eligible and receive ethical approval. Batches will include clusters from hospitals in different regions to optimize trial logistics. We will randomise the clusters allocated to each batch to the different intervention implementation sequences within that batch. We will balance the randomisation within each batch on cluster size, defined as monthly volume of eligible patient participants, using covariate constrained randomisation. The random allocation sequence will be generated by JM who will send the results to the trial team, to allow the logistics of securing seats in upcoming courses to be initiated. We will conceal the randomisation order to the sites for as long as it is logistically possible, considering that arrangements at the site level for sending physicians to ATLS</w:t>
      </w:r>
      <w:r>
        <w:rPr>
          <w:vertAlign w:val="superscript"/>
        </w:rPr>
        <w:t xml:space="preserve">®</w:t>
      </w:r>
      <w:r>
        <w:t xml:space="preserve"> </w:t>
      </w:r>
      <w:r>
        <w:t xml:space="preserve">training need to be made in advance.</w:t>
      </w:r>
    </w:p>
    <w:p>
      <w:pPr>
        <w:pStyle w:val="BodyText"/>
      </w:pPr>
    </w:p>
    <w:bookmarkEnd w:id="56"/>
    <w:bookmarkStart w:id="63" w:name="outcomes"/>
    <w:p>
      <w:pPr>
        <w:pStyle w:val="Heading2"/>
      </w:pPr>
      <w:r>
        <w:t xml:space="preserve">5.3 Outcomes</w:t>
      </w:r>
    </w:p>
    <w:bookmarkStart w:id="57"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57"/>
    <w:bookmarkStart w:id="62" w:name="secondary-outcomes"/>
    <w:p>
      <w:pPr>
        <w:pStyle w:val="Heading3"/>
      </w:pPr>
      <w:r>
        <w:t xml:space="preserve">5.3.2 Secondary outcomes</w:t>
      </w:r>
    </w:p>
    <w:bookmarkStart w:id="58"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58"/>
    <w:bookmarkStart w:id="61"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EQ5D3L.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p>
      <w:pPr>
        <w:pStyle w:val="FirstParagraph"/>
      </w:pPr>
      <w:r>
        <w:t xml:space="preserve">A summary of all outcomes, populations, effect measures, and handling of intercurrent events is provided in</w:t>
      </w:r>
      <w:r>
        <w:t xml:space="preserve"> </w:t>
      </w:r>
      <w:hyperlink w:anchor="tbl-outcomes-population">
        <w:r>
          <w:rPr>
            <w:rStyle w:val="Hyperlink"/>
          </w:rPr>
          <w:t xml:space="preserve">Table 1</w:t>
        </w:r>
      </w:hyperlink>
      <w:r>
        <w:t xml:space="preserve"> </w:t>
      </w:r>
      <w:r>
        <w:t xml:space="preserve">and</w:t>
      </w:r>
      <w:r>
        <w:t xml:space="preserve"> </w:t>
      </w:r>
      <w:hyperlink w:anchor="tbl-outcomes-analysi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outcomes-population"/>
          <w:p>
            <w:pPr>
              <w:jc w:val="center"/>
            </w:pPr>
            <w:pPr>
              <w:jc w:val="left"/>
              <w:spacing w:before="200"/>
              <w:pStyle w:val="ImageCaption"/>
            </w:pPr>
            <w:r>
              <w:t xml:space="preserve">Table 1: Summary of outcomes, design components, data types, and target populations</w:t>
            </w:r>
          </w:p>
          <w:tbl>
            <w:tblPr>
              <w:tblStyle w:val="Table"/>
              <w:tblW w:type="pct" w:w="5000"/>
              <w:tblLayout w:type="fixed"/>
              <w:tblLook w:firstRow="1" w:lastRow="0" w:firstColumn="0" w:lastColumn="0" w:noHBand="0" w:noVBand="0" w:val="0020"/>
            </w:tblPr>
            <w:tblGrid>
              <w:gridCol w:w="2180"/>
              <w:gridCol w:w="609"/>
              <w:gridCol w:w="1571"/>
              <w:gridCol w:w="3559"/>
            </w:tblGrid>
            <w:tr>
              <w:trPr>
                <w:tblHeader w:val="on"/>
              </w:trPr>
              <w:tc>
                <w:tcPr/>
                <w:p>
                  <w:pPr>
                    <w:pStyle w:val="Compact"/>
                    <w:jc w:val="left"/>
                    <w:jc w:val="center"/>
                  </w:pPr>
                  <w:r>
                    <w:t xml:space="preserve">Outcome</w:t>
                  </w:r>
                </w:p>
              </w:tc>
              <w:tc>
                <w:tcPr/>
                <w:p>
                  <w:pPr>
                    <w:pStyle w:val="Compact"/>
                    <w:jc w:val="left"/>
                    <w:jc w:val="center"/>
                  </w:pPr>
                  <w:r>
                    <w:t xml:space="preserve">Design component</w:t>
                  </w:r>
                </w:p>
              </w:tc>
              <w:tc>
                <w:tcPr/>
                <w:p>
                  <w:pPr>
                    <w:pStyle w:val="Compact"/>
                    <w:jc w:val="left"/>
                    <w:jc w:val="center"/>
                  </w:pPr>
                  <w:r>
                    <w:t xml:space="preserve">Data type</w:t>
                  </w:r>
                </w:p>
              </w:tc>
              <w:tc>
                <w:tcPr/>
                <w:p>
                  <w:pPr>
                    <w:pStyle w:val="Compact"/>
                    <w:jc w:val="left"/>
                    <w:jc w:val="center"/>
                  </w:pPr>
                  <w:r>
                    <w:t xml:space="preserve">Target population</w:t>
                  </w:r>
                </w:p>
              </w:tc>
            </w:tr>
            <w:tr>
              <w:tc>
                <w:tcPr/>
                <w:p>
                  <w:pPr>
                    <w:pStyle w:val="Compact"/>
                    <w:jc w:val="left"/>
                    <w:jc w:val="center"/>
                  </w:pPr>
                  <w:r>
                    <w:t xml:space="preserve">Primary outcome: In-hospital mortality within 30 days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24 hours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30 days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3 months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Quality of life within 7 days of discharge</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the relevant follow-up time point within the nested staircase sample</w:t>
                  </w:r>
                </w:p>
              </w:tc>
            </w:tr>
            <w:tr>
              <w:tc>
                <w:tcPr/>
                <w:p>
                  <w:pPr>
                    <w:pStyle w:val="Compact"/>
                    <w:jc w:val="left"/>
                    <w:jc w:val="center"/>
                  </w:pPr>
                  <w:r>
                    <w:t xml:space="preserve">Quality of life 30 days after ED arrival</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30 days within the nested staircase sample</w:t>
                  </w:r>
                </w:p>
              </w:tc>
            </w:tr>
            <w:tr>
              <w:tc>
                <w:tcPr/>
                <w:p>
                  <w:pPr>
                    <w:pStyle w:val="Compact"/>
                    <w:jc w:val="left"/>
                    <w:jc w:val="center"/>
                  </w:pPr>
                  <w:r>
                    <w:t xml:space="preserve">Quality of life 3 months after ED arrival</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3 months within the nested staircase sample</w:t>
                  </w:r>
                </w:p>
              </w:tc>
            </w:tr>
            <w:tr>
              <w:tc>
                <w:tcPr/>
                <w:p>
                  <w:pPr>
                    <w:pStyle w:val="Compact"/>
                    <w:jc w:val="left"/>
                    <w:jc w:val="center"/>
                  </w:pPr>
                  <w:r>
                    <w:t xml:space="preserve">Disability within 7 days of discharge</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the relevant follow-up time point within the nested staircase sample</w:t>
                  </w:r>
                </w:p>
              </w:tc>
            </w:tr>
            <w:tr>
              <w:tc>
                <w:tcPr/>
                <w:p>
                  <w:pPr>
                    <w:pStyle w:val="Compact"/>
                    <w:jc w:val="left"/>
                    <w:jc w:val="center"/>
                  </w:pPr>
                  <w:r>
                    <w:t xml:space="preserve">Disability 30 days after ED arrival</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30 days within the nested staircase sample</w:t>
                  </w:r>
                </w:p>
              </w:tc>
            </w:tr>
            <w:tr>
              <w:tc>
                <w:tcPr/>
                <w:p>
                  <w:pPr>
                    <w:pStyle w:val="Compact"/>
                    <w:jc w:val="left"/>
                    <w:jc w:val="center"/>
                  </w:pPr>
                  <w:r>
                    <w:t xml:space="preserve">Disability 3 months after ED arrival</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3 months within the nested staircase sample</w:t>
                  </w:r>
                </w:p>
              </w:tc>
            </w:tr>
            <w:tr>
              <w:tc>
                <w:tcPr/>
                <w:p>
                  <w:pPr>
                    <w:pStyle w:val="Compact"/>
                    <w:jc w:val="left"/>
                    <w:jc w:val="center"/>
                  </w:pPr>
                  <w:r>
                    <w:t xml:space="preserve">Return to work 30 days after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Patients alive at 30 days for whom return to work is relevant</w:t>
                  </w:r>
                </w:p>
              </w:tc>
            </w:tr>
            <w:tr>
              <w:tc>
                <w:tcPr/>
                <w:p>
                  <w:pPr>
                    <w:pStyle w:val="Compact"/>
                    <w:jc w:val="left"/>
                    <w:jc w:val="center"/>
                  </w:pPr>
                  <w:r>
                    <w:t xml:space="preserve">Return to work 3 months after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Patients alive at 3 months for whom return to work is relevant</w:t>
                  </w:r>
                </w:p>
              </w:tc>
            </w:tr>
            <w:tr>
              <w:tc>
                <w:tcPr/>
                <w:p>
                  <w:pPr>
                    <w:pStyle w:val="Compact"/>
                    <w:jc w:val="left"/>
                    <w:jc w:val="center"/>
                  </w:pPr>
                  <w:r>
                    <w:t xml:space="preserve">Length of emergency department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Length of hospital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Intensive care unit (ICU) admission</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Length of Intensive care unit admission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Adherence to ATLS® principles during initial resuscitation</w:t>
                  </w:r>
                </w:p>
              </w:tc>
              <w:tc>
                <w:tcPr/>
                <w:p>
                  <w:pPr>
                    <w:pStyle w:val="Compact"/>
                    <w:jc w:val="left"/>
                    <w:jc w:val="center"/>
                  </w:pPr>
                  <w:r>
                    <w:t xml:space="preserve">Nested staircase</w:t>
                  </w:r>
                </w:p>
              </w:tc>
              <w:tc>
                <w:tcPr/>
                <w:p>
                  <w:pPr>
                    <w:pStyle w:val="Compact"/>
                    <w:jc w:val="left"/>
                    <w:jc w:val="center"/>
                  </w:pPr>
                  <w:r>
                    <w:t xml:space="preserve">Proportion</w:t>
                  </w:r>
                </w:p>
              </w:tc>
              <w:tc>
                <w:tcPr/>
                <w:p>
                  <w:pPr>
                    <w:pStyle w:val="Compact"/>
                    <w:jc w:val="left"/>
                    <w:jc w:val="center"/>
                  </w:pPr>
                  <w:r>
                    <w:t xml:space="preserve">Random sample of patients observed in both control and intervention periods within the nested staircase design</w:t>
                  </w:r>
                </w:p>
              </w:tc>
            </w:tr>
          </w:tbl>
          <w:bookmarkEnd w:id="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tbl-outcomes-analysis"/>
          <w:p>
            <w:pPr>
              <w:jc w:val="center"/>
            </w:pPr>
            <w:pPr>
              <w:jc w:val="left"/>
              <w:spacing w:before="200"/>
              <w:pStyle w:val="ImageCaption"/>
            </w:pPr>
            <w:r>
              <w:t xml:space="preserve">Table 2: Summary of outcome analysis models, effect measures, and handling of intercurrent events</w:t>
            </w:r>
          </w:p>
          <w:tbl>
            <w:tblPr>
              <w:tblStyle w:val="Table"/>
              <w:tblW w:type="pct" w:w="5000"/>
              <w:tblLayout w:type="fixed"/>
              <w:tblLook w:firstRow="1" w:lastRow="0" w:firstColumn="0" w:lastColumn="0" w:noHBand="0" w:noVBand="0" w:val="0020"/>
            </w:tblPr>
            <w:tblGrid>
              <w:gridCol w:w="1119"/>
              <w:gridCol w:w="1646"/>
              <w:gridCol w:w="1201"/>
              <w:gridCol w:w="1646"/>
              <w:gridCol w:w="2305"/>
            </w:tblGrid>
            <w:tr>
              <w:trPr>
                <w:tblHeader w:val="on"/>
              </w:trPr>
              <w:tc>
                <w:tcPr/>
                <w:p>
                  <w:pPr>
                    <w:pStyle w:val="Compact"/>
                    <w:jc w:val="left"/>
                    <w:jc w:val="center"/>
                  </w:pPr>
                  <w:r>
                    <w:t xml:space="preserve">Outcome</w:t>
                  </w:r>
                </w:p>
              </w:tc>
              <w:tc>
                <w:tcPr/>
                <w:p>
                  <w:pPr>
                    <w:pStyle w:val="Compact"/>
                    <w:jc w:val="left"/>
                    <w:jc w:val="center"/>
                  </w:pPr>
                  <w:r>
                    <w:t xml:space="preserve">Main analysis model</w:t>
                  </w:r>
                </w:p>
              </w:tc>
              <w:tc>
                <w:tcPr/>
                <w:p>
                  <w:pPr>
                    <w:pStyle w:val="Compact"/>
                    <w:jc w:val="left"/>
                    <w:jc w:val="center"/>
                  </w:pPr>
                  <w:r>
                    <w:t xml:space="preserve">Effect measure</w:t>
                  </w:r>
                </w:p>
              </w:tc>
              <w:tc>
                <w:tcPr/>
                <w:p>
                  <w:pPr>
                    <w:pStyle w:val="Compact"/>
                    <w:jc w:val="left"/>
                    <w:jc w:val="center"/>
                  </w:pPr>
                  <w:r>
                    <w:t xml:space="preserve">Potential intercurrent events</w:t>
                  </w:r>
                </w:p>
              </w:tc>
              <w:tc>
                <w:tcPr/>
                <w:p>
                  <w:pPr>
                    <w:pStyle w:val="Compact"/>
                    <w:jc w:val="left"/>
                    <w:jc w:val="center"/>
                  </w:pPr>
                  <w:r>
                    <w:t xml:space="preserve">Strategy for handling intercurrent events</w:t>
                  </w:r>
                </w:p>
              </w:tc>
            </w:tr>
            <w:tr>
              <w:tc>
                <w:tcPr/>
                <w:p>
                  <w:pPr>
                    <w:pStyle w:val="Compact"/>
                    <w:jc w:val="left"/>
                    <w:jc w:val="center"/>
                  </w:pPr>
                  <w:r>
                    <w:t xml:space="preserve">Primary outcome: In-hospital mortality within 30 days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Transfer to another hospital before outcome ascertainment; withdrawal/opt-out before final analysis</w:t>
                  </w:r>
                </w:p>
              </w:tc>
              <w:tc>
                <w:tcPr/>
                <w:p>
                  <w:pPr>
                    <w:pStyle w:val="Compact"/>
                    <w:jc w:val="left"/>
                    <w:jc w:val="center"/>
                  </w:pPr>
                  <w:r>
                    <w:t xml:space="preserve">Treatment policy strategy: outcome will be ascertained irrespective of transfer where possible; all available primary outcome data included</w:t>
                  </w:r>
                </w:p>
              </w:tc>
            </w:tr>
            <w:tr>
              <w:tc>
                <w:tcPr/>
                <w:p>
                  <w:pPr>
                    <w:pStyle w:val="Compact"/>
                    <w:jc w:val="left"/>
                    <w:jc w:val="center"/>
                  </w:pPr>
                  <w:r>
                    <w:t xml:space="preserve">All-cause mortality within 24 hours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All-cause mortality within 30 days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All-cause mortality within 3 months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Quality of life within 7 days of discharge</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assessment; withdrawal from non-routine follow-up; loss to follow-up</w:t>
                  </w:r>
                </w:p>
              </w:tc>
              <w:tc>
                <w:tcPr/>
                <w:p>
                  <w:pPr>
                    <w:pStyle w:val="Compact"/>
                    <w:jc w:val="left"/>
                    <w:jc w:val="center"/>
                  </w:pPr>
                  <w:r>
                    <w:t xml:space="preserve">While alive strategy: analysed among patients alive at the relevant time point; interpreted as conditional on survival</w:t>
                  </w:r>
                </w:p>
              </w:tc>
            </w:tr>
            <w:tr>
              <w:tc>
                <w:tcPr/>
                <w:p>
                  <w:pPr>
                    <w:pStyle w:val="Compact"/>
                    <w:jc w:val="left"/>
                    <w:jc w:val="center"/>
                  </w:pPr>
                  <w:r>
                    <w:t xml:space="preserve">Quality of life 30 days after ED arrival</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30 days;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Quality of life 3 months after ED arrival</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3 months;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within 7 days of discharge</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assessment;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30 days after ED arrival</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30 days;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3 months after ED arrival</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3 months;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Return to work 30 days after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w:t>
                  </w:r>
                </w:p>
              </w:tc>
              <w:tc>
                <w:tcPr/>
                <w:p>
                  <w:pPr>
                    <w:pStyle w:val="Compact"/>
                    <w:jc w:val="left"/>
                    <w:jc w:val="center"/>
                  </w:pPr>
                  <w:r>
                    <w:t xml:space="preserve">Death before assessment; withdrawal/loss to follow-up; outcome not relevant for some participants</w:t>
                  </w:r>
                </w:p>
              </w:tc>
              <w:tc>
                <w:tcPr/>
                <w:p>
                  <w:pPr>
                    <w:pStyle w:val="Compact"/>
                    <w:jc w:val="left"/>
                    <w:jc w:val="center"/>
                  </w:pPr>
                  <w:r>
                    <w:t xml:space="preserve">While alive / outcome-defined population strategy</w:t>
                  </w:r>
                </w:p>
              </w:tc>
            </w:tr>
            <w:tr>
              <w:tc>
                <w:tcPr/>
                <w:p>
                  <w:pPr>
                    <w:pStyle w:val="Compact"/>
                    <w:jc w:val="left"/>
                    <w:jc w:val="center"/>
                  </w:pPr>
                  <w:r>
                    <w:t xml:space="preserve">Return to work 3 months after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w:t>
                  </w:r>
                </w:p>
              </w:tc>
              <w:tc>
                <w:tcPr/>
                <w:p>
                  <w:pPr>
                    <w:pStyle w:val="Compact"/>
                    <w:jc w:val="left"/>
                    <w:jc w:val="center"/>
                  </w:pPr>
                  <w:r>
                    <w:t xml:space="preserve">Death before assessment; withdrawal/loss to follow-up; outcome not relevant for some participants</w:t>
                  </w:r>
                </w:p>
              </w:tc>
              <w:tc>
                <w:tcPr/>
                <w:p>
                  <w:pPr>
                    <w:pStyle w:val="Compact"/>
                    <w:jc w:val="left"/>
                    <w:jc w:val="center"/>
                  </w:pPr>
                  <w:r>
                    <w:t xml:space="preserve">While alive / outcome-defined population strategy</w:t>
                  </w:r>
                </w:p>
              </w:tc>
            </w:tr>
            <w:tr>
              <w:tc>
                <w:tcPr/>
                <w:p>
                  <w:pPr>
                    <w:pStyle w:val="Compact"/>
                    <w:jc w:val="left"/>
                    <w:jc w:val="center"/>
                  </w:pPr>
                  <w:r>
                    <w:t xml:space="preserve">Length of emergency department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Length of hospital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Intensive care unit (ICU) admission</w:t>
                  </w:r>
                </w:p>
              </w:tc>
              <w:tc>
                <w:tcPr/>
                <w:p>
                  <w:pPr>
                    <w:pStyle w:val="Compact"/>
                    <w:jc w:val="left"/>
                    <w:jc w:val="center"/>
                  </w:pPr>
                  <w:r>
                    <w:t xml:space="preserve">Mixed-effects binomial regression with logit link</w:t>
                  </w:r>
                </w:p>
              </w:tc>
              <w:tc>
                <w:tcPr/>
                <w:p>
                  <w:pPr>
                    <w:pStyle w:val="Compact"/>
                    <w:jc w:val="left"/>
                    <w:jc w:val="center"/>
                  </w:pPr>
                  <w:r>
                    <w:t xml:space="preserve">Odds ratio</w:t>
                  </w:r>
                </w:p>
              </w:tc>
              <w:tc>
                <w:tcPr/>
                <w:p>
                  <w:pPr>
                    <w:pStyle w:val="Compact"/>
                    <w:jc w:val="left"/>
                    <w:jc w:val="center"/>
                  </w:pPr>
                  <w:r>
                    <w:t xml:space="preserve">Death before ICU admission ascertainment; transfer</w:t>
                  </w:r>
                </w:p>
              </w:tc>
              <w:tc>
                <w:tcPr/>
                <w:p>
                  <w:pPr>
                    <w:pStyle w:val="Compact"/>
                    <w:jc w:val="left"/>
                    <w:jc w:val="center"/>
                  </w:pPr>
                  <w:r>
                    <w:t xml:space="preserve">Treatment policy strategy using available data</w:t>
                  </w:r>
                </w:p>
              </w:tc>
            </w:tr>
            <w:tr>
              <w:tc>
                <w:tcPr/>
                <w:p>
                  <w:pPr>
                    <w:pStyle w:val="Compact"/>
                    <w:jc w:val="left"/>
                    <w:jc w:val="center"/>
                  </w:pPr>
                  <w:r>
                    <w:t xml:space="preserve">Length of Intensive care unit admission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Adherence to ATLS® principles during initial resuscitation</w:t>
                  </w:r>
                </w:p>
              </w:tc>
              <w:tc>
                <w:tcPr/>
                <w:p>
                  <w:pPr>
                    <w:pStyle w:val="Compact"/>
                    <w:jc w:val="left"/>
                    <w:jc w:val="center"/>
                  </w:pPr>
                  <w:r>
                    <w:t xml:space="preserve">Mixed-effects beta regression with logit link</w:t>
                  </w:r>
                </w:p>
              </w:tc>
              <w:tc>
                <w:tcPr/>
                <w:p>
                  <w:pPr>
                    <w:pStyle w:val="Compact"/>
                    <w:jc w:val="left"/>
                    <w:jc w:val="center"/>
                  </w:pPr>
                  <w:r>
                    <w:t xml:space="preserve">Difference in expected adherence proportion on the logit scale</w:t>
                  </w:r>
                </w:p>
              </w:tc>
              <w:tc>
                <w:tcPr/>
                <w:p>
                  <w:pPr>
                    <w:pStyle w:val="Compact"/>
                    <w:jc w:val="left"/>
                    <w:jc w:val="center"/>
                  </w:pPr>
                  <w:r>
                    <w:t xml:space="preserve">Failure to observe resuscitation; incomplete observation window</w:t>
                  </w:r>
                </w:p>
              </w:tc>
              <w:tc>
                <w:tcPr/>
                <w:p>
                  <w:pPr>
                    <w:pStyle w:val="Compact"/>
                    <w:jc w:val="left"/>
                    <w:jc w:val="center"/>
                  </w:pPr>
                  <w:r>
                    <w:t xml:space="preserve">Treatment policy strategy for the observed nested sample</w:t>
                  </w:r>
                </w:p>
              </w:tc>
            </w:tr>
          </w:tbl>
          <w:bookmarkEnd w:id="60"/>
          <w:p/>
        </w:tc>
      </w:tr>
    </w:tbl>
    <w:bookmarkEnd w:id="61"/>
    <w:bookmarkEnd w:id="62"/>
    <w:bookmarkEnd w:id="63"/>
    <w:bookmarkStart w:id="64" w:name="statistical-hypotheses"/>
    <w:p>
      <w:pPr>
        <w:pStyle w:val="Heading2"/>
      </w:pPr>
      <w:r>
        <w:t xml:space="preserve">5.4 Statistical hypotheses</w:t>
      </w:r>
    </w:p>
    <w:p>
      <w:pPr>
        <w:pStyle w:val="FirstParagraph"/>
      </w:pPr>
      <w:r>
        <w:t xml:space="preserve">Our primary statistical hypotheses are:</w:t>
      </w:r>
    </w:p>
    <w:p>
      <w:pPr>
        <w:pStyle w:val="Compact"/>
        <w:numPr>
          <w:ilvl w:val="0"/>
          <w:numId w:val="1005"/>
        </w:numPr>
      </w:pPr>
      <w:r>
        <w:rPr>
          <w:b/>
          <w:bCs/>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w:t>
      </w:r>
    </w:p>
    <w:p>
      <w:pPr>
        <w:pStyle w:val="Compact"/>
        <w:numPr>
          <w:ilvl w:val="0"/>
          <w:numId w:val="1005"/>
        </w:numPr>
      </w:pPr>
      <w:r>
        <w:rPr>
          <w:b/>
          <w:bCs/>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Our expectation, based on our pilot study and review of the literature, is that the OR will be less than 1,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4"/>
    <w:bookmarkStart w:id="71" w:name="sample-size-calculations"/>
    <w:p>
      <w:pPr>
        <w:pStyle w:val="Heading2"/>
      </w:pPr>
      <w:r>
        <w:t xml:space="preserve">5.5 Sample size calculations</w:t>
      </w:r>
    </w:p>
    <w:bookmarkStart w:id="69"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ayout w:type="fixed"/>
        <w:tblLook w:firstRow="0" w:lastRow="0" w:firstColumn="0" w:lastColumn="0" w:noHBand="0" w:noVBand="0" w:val="0000"/>
      </w:tblPr>
      <w:tblGrid>
        <w:gridCol w:w="7920"/>
      </w:tblGrid>
      <w:tr>
        <w:tc>
          <w:tcPr/>
          <w:bookmarkStart w:id="68" w:name="fig-power-curves"/>
          <w:p>
            <w:pPr>
              <w:pStyle w:val="Compact"/>
              <w:jc w:val="center"/>
            </w:pPr>
            <w:r>
              <w:drawing>
                <wp:inline>
                  <wp:extent cx="5334000" cy="2369551"/>
                  <wp:effectExtent b="0" l="0" r="0" t="0"/>
                  <wp:docPr descr="" title="" id="66" name="Picture"/>
                  <a:graphic>
                    <a:graphicData uri="http://schemas.openxmlformats.org/drawingml/2006/picture">
                      <pic:pic>
                        <pic:nvPicPr>
                          <pic:cNvPr descr="./combined-power-curves.png" id="67" name="Picture"/>
                          <pic:cNvPicPr>
                            <a:picLocks noChangeArrowheads="1" noChangeAspect="1"/>
                          </pic:cNvPicPr>
                        </pic:nvPicPr>
                        <pic:blipFill>
                          <a:blip r:embed="rId65"/>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68"/>
        </w:tc>
      </w:tr>
    </w:tbl>
    <w:bookmarkEnd w:id="69"/>
    <w:bookmarkStart w:id="70"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0"/>
    <w:bookmarkEnd w:id="71"/>
    <w:bookmarkStart w:id="74" w:name="statistical-principles"/>
    <w:p>
      <w:pPr>
        <w:pStyle w:val="Heading2"/>
      </w:pPr>
      <w:r>
        <w:t xml:space="preserve">5.6 Statistical principles</w:t>
      </w:r>
    </w:p>
    <w:bookmarkStart w:id="72"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2"/>
    <w:bookmarkStart w:id="73"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3"/>
    <w:bookmarkEnd w:id="74"/>
    <w:bookmarkStart w:id="75" w:name="analysis-populations"/>
    <w:p>
      <w:pPr>
        <w:pStyle w:val="Heading2"/>
      </w:pPr>
      <w:r>
        <w:t xml:space="preserve">5.7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clusters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5"/>
    <w:bookmarkStart w:id="78" w:name="baseline-analyses"/>
    <w:p>
      <w:pPr>
        <w:pStyle w:val="Heading2"/>
      </w:pPr>
      <w:r>
        <w:t xml:space="preserve">5.8 Baseline analyses</w:t>
      </w:r>
    </w:p>
    <w:bookmarkStart w:id="76"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6"/>
    <w:bookmarkStart w:id="77"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7"/>
    <w:bookmarkEnd w:id="78"/>
    <w:bookmarkStart w:id="7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79"/>
    <w:bookmarkStart w:id="101"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w:t>
      </w:r>
    </w:p>
    <w:p>
      <w:pPr>
        <w:pStyle w:val="BodyText"/>
      </w:pPr>
      <w:r>
        <w:t xml:space="preserve">We will estimate the intervention effect as the odds ratio (OR) of death between the ATLS® and standard care arms, with an OR &lt; 1 indicating lower odds of death in the ATLS® arm compared to the standard care arm and vice versa.</w:t>
      </w:r>
    </w:p>
    <w:p>
      <w:pPr>
        <w:pStyle w:val="BodyText"/>
      </w:pPr>
      <w:r>
        <w:t xml:space="preserve">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w:t>
      </w:r>
    </w:p>
    <w:p>
      <w:pPr>
        <w:pStyle w:val="BodyText"/>
      </w:pPr>
      <w:r>
        <w:t xml:space="preserve">The primary analysis will be based on the most complex model that converges from a prespecified sequence of models of decreasing complexity, and this model will then be subject to sensitivity analyses.</w:t>
      </w:r>
    </w:p>
    <w:p>
      <w:pPr>
        <w:pStyle w:val="BodyText"/>
      </w:pPr>
      <w:r>
        <w:t xml:space="preserve">The analysis will proceed from the most complex model to progressively simpler models if convergence or numerical stability issues arise.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0"/>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1"/>
    </w:p>
    <w:p>
      <w:pPr>
        <w:pStyle w:val="Compact"/>
        <w:numPr>
          <w:ilvl w:val="0"/>
          <w:numId w:val="1008"/>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2"/>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83"/>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8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97"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85"/>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6"/>
    <w:bookmarkStart w:id="88"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87"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87"/>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88"/>
    <w:bookmarkStart w:id="90"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89"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89"/>
    </w:p>
    <w:p>
      <w:pPr>
        <w:pStyle w:val="FirstParagraph"/>
      </w:pPr>
      <w:r>
        <w:t xml:space="preserve">Where:</w:t>
      </w:r>
    </w:p>
    <w:p>
      <w:pPr>
        <w:pStyle w:val="Compact"/>
        <w:numPr>
          <w:ilvl w:val="0"/>
          <w:numId w:val="1012"/>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2"/>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0"/>
    <w:bookmarkStart w:id="92"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1"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1"/>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2"/>
    <w:bookmarkStart w:id="94"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3"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93"/>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4"/>
    <w:bookmarkStart w:id="96"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5"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95"/>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6"/>
    <w:bookmarkEnd w:id="97"/>
    <w:bookmarkStart w:id="98"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98"/>
    <w:bookmarkStart w:id="99"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5"/>
        </w:numPr>
      </w:pPr>
      <w:r>
        <w:t xml:space="preserve">geographical region, defined using the state in which the participating hospital is located. Demonstrating the consistency of any effect across multiple regions will enhance the generalisibility of the results;</w:t>
      </w:r>
    </w:p>
    <w:p>
      <w:pPr>
        <w:pStyle w:val="Compact"/>
        <w:numPr>
          <w:ilvl w:val="0"/>
          <w:numId w:val="1015"/>
        </w:numPr>
      </w:pPr>
      <w:r>
        <w:t xml:space="preserve">age groups, defined as older adolescents (15-19 years), young adults (20-24 years), adults (25-59 years), and older adults (60 years and older) [</w:t>
      </w:r>
      <w:r>
        <w:rPr>
          <w:vertAlign w:val="superscript"/>
        </w:rPr>
        <w:t xml:space="preserve">18</w:t>
      </w:r>
      <w:r>
        <w:t xml:space="preserve">;</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 and</w:t>
      </w:r>
    </w:p>
    <w:p>
      <w:pPr>
        <w:pStyle w:val="Compact"/>
        <w:numPr>
          <w:ilvl w:val="0"/>
          <w:numId w:val="1015"/>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99"/>
    <w:bookmarkStart w:id="100"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0"/>
    <w:bookmarkEnd w:id="101"/>
    <w:bookmarkStart w:id="115"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2"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2"/>
    <w:bookmarkStart w:id="105"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3"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03"/>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4"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04"/>
    </w:p>
    <w:bookmarkEnd w:id="105"/>
    <w:bookmarkStart w:id="106"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19</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6"/>
    <w:bookmarkStart w:id="107"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7"/>
    <w:bookmarkStart w:id="109"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08"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08"/>
    </w:p>
    <w:p>
      <w:pPr>
        <w:pStyle w:val="FirstParagraph"/>
      </w:pPr>
      <w:r>
        <w:t xml:space="preserve">Where:</w:t>
      </w:r>
    </w:p>
    <w:p>
      <w:pPr>
        <w:pStyle w:val="Compact"/>
        <w:numPr>
          <w:ilvl w:val="0"/>
          <w:numId w:val="1016"/>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6"/>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6"/>
        </w:numPr>
      </w:pPr>
      <m:oMath>
        <m:r>
          <m:t>θ</m:t>
        </m:r>
      </m:oMath>
      <w:r>
        <w:t xml:space="preserve">: under the Fine–Gray model, represents the log subdistribution hazard ratio for discharge associated with ATLS® exposure.</w:t>
      </w:r>
    </w:p>
    <w:p>
      <w:pPr>
        <w:pStyle w:val="Compact"/>
        <w:numPr>
          <w:ilvl w:val="0"/>
          <w:numId w:val="1016"/>
        </w:numPr>
      </w:pPr>
      <w:r>
        <w:t xml:space="preserve">All other terms are defined as in the primary analysis model.</w:t>
      </w:r>
    </w:p>
    <w:bookmarkEnd w:id="109"/>
    <w:bookmarkStart w:id="110"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0"/>
    <w:bookmarkStart w:id="111"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1"/>
    <w:bookmarkStart w:id="112"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2"/>
    <w:bookmarkStart w:id="114"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3"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13"/>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4"/>
    <w:bookmarkEnd w:id="115"/>
    <w:bookmarkEnd w:id="116"/>
    <w:bookmarkStart w:id="137" w:name="references"/>
    <w:p>
      <w:pPr>
        <w:pStyle w:val="Heading1"/>
      </w:pPr>
      <w:r>
        <w:t xml:space="preserve">6. References</w:t>
      </w:r>
    </w:p>
    <w:bookmarkStart w:id="136" w:name="refs"/>
    <w:bookmarkStart w:id="117"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17"/>
    <w:bookmarkStart w:id="118"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18"/>
    <w:bookmarkStart w:id="119"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19"/>
    <w:bookmarkStart w:id="120"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0"/>
    <w:bookmarkStart w:id="121"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1"/>
    <w:bookmarkStart w:id="122"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2"/>
    <w:bookmarkStart w:id="123"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23"/>
    <w:bookmarkStart w:id="124"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24"/>
    <w:bookmarkStart w:id="125"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25"/>
    <w:bookmarkStart w:id="126"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26"/>
    <w:bookmarkStart w:id="127"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27"/>
    <w:bookmarkStart w:id="128"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28"/>
    <w:bookmarkStart w:id="129"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29"/>
    <w:bookmarkStart w:id="130"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0"/>
    <w:bookmarkStart w:id="131"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1"/>
    <w:bookmarkStart w:id="132"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2"/>
    <w:bookmarkStart w:id="133"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33"/>
    <w:bookmarkStart w:id="134"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34"/>
    <w:bookmarkStart w:id="135" w:name="ref-ustun_measuring_2010"/>
    <w:p>
      <w:pPr>
        <w:pStyle w:val="Bibliography"/>
      </w:pPr>
      <w:r>
        <w:t xml:space="preserve">19.</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23" Target="media/rId2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Version 0.6.0, 2026-03-04</dc:creator>
  <cp:keywords/>
  <dcterms:created xsi:type="dcterms:W3CDTF">2026-05-27T03:59:35Z</dcterms:created>
  <dcterms:modified xsi:type="dcterms:W3CDTF">2026-05-27T03:59:35Z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../shared-assets/bibliography.bib</vt:lpwstr>
  </property>
  <property fmtid="{D5CDD505-2E9C-101B-9397-08002B2CF9AE}" pid="6" name="by-author">
    <vt:lpwstr/>
  </property>
  <property fmtid="{D5CDD505-2E9C-101B-9397-08002B2CF9AE}" pid="7" name="csl">
    <vt:lpwstr>nature.csl</vt:lpwstr>
  </property>
  <property fmtid="{D5CDD505-2E9C-101B-9397-08002B2CF9AE}" pid="8" name="fig-caption">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bibliography">
    <vt:lpwstr>False</vt:lpwstr>
  </property>
  <property fmtid="{D5CDD505-2E9C-101B-9397-08002B2CF9AE}" pid="14" name="number-depth">
    <vt:lpwstr>4</vt:lpwstr>
  </property>
  <property fmtid="{D5CDD505-2E9C-101B-9397-08002B2CF9AE}" pid="15" name="subtitle">
    <vt:lpwstr>ADVANCE TRAUMAEffects of Advanced Trauma Life Support® Training Compared to Standard Care on Adult Trauma Patient Outcomes: A Stepped-Wedge Cluster Randomised Trial</vt:lpwstr>
  </property>
  <property fmtid="{D5CDD505-2E9C-101B-9397-08002B2CF9AE}" pid="16" name="titlepage-logo">
    <vt:lpwstr>logo.png</vt:lpwstr>
  </property>
  <property fmtid="{D5CDD505-2E9C-101B-9397-08002B2CF9AE}" pid="17" name="titlepage-theme">
    <vt:lpwstr/>
  </property>
  <property fmtid="{D5CDD505-2E9C-101B-9397-08002B2CF9AE}" pid="18" name="toc-title">
    <vt:lpwstr>Table of contents</vt:lpwstr>
  </property>
</Properties>
</file>