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Charter</w:t>
      </w:r>
      <w:r>
        <w:br/>
      </w:r>
      <w:r>
        <w:t xml:space="preserve">Version</w:t>
      </w:r>
      <w:r>
        <w:t xml:space="preserve"> </w:t>
      </w:r>
      <w:r>
        <w:t xml:space="preserve">0.1.1</w:t>
      </w:r>
      <w:r>
        <w:br/>
      </w:r>
      <w:r>
        <w:t xml:space="preserve">2024-03-06</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hangelog"/>
    <w:p>
      <w:pPr>
        <w:pStyle w:val="Heading1"/>
      </w:pPr>
      <w:r>
        <w:t xml:space="preserve">1. Changelog</w:t>
      </w:r>
    </w:p>
    <w:p>
      <w:pPr>
        <w:pStyle w:val="FirstParagraph"/>
      </w:pPr>
      <w:r>
        <w:rPr>
          <w:bCs/>
          <w:b/>
        </w:rPr>
        <w:t xml:space="preserve">After version 1.0.0 is approved, all major and minor version updates to the charter will be documented here.</w:t>
      </w:r>
    </w:p>
    <w:p>
      <w:r>
        <w:br w:type="page"/>
      </w:r>
    </w:p>
    <w:bookmarkEnd w:id="20"/>
    <w:bookmarkStart w:id="21"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1"/>
    <w:bookmarkStart w:id="22" w:name="trial-synopsis"/>
    <w:p>
      <w:pPr>
        <w:pStyle w:val="Heading1"/>
      </w:pPr>
      <w:r>
        <w:t xml:space="preserve">3.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in-hospital data collection, in which consent is presumed unless actively declined. We will obtain informed consent for out of hospital follow up. Patients who are unconscious or lack a legally authorized representative will be included under a waiver of informed consent.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w:t>
      </w:r>
    </w:p>
    <w:p>
      <w:pPr>
        <w:pStyle w:val="BodyText"/>
      </w:pPr>
      <w:r>
        <w:rPr>
          <w:bCs/>
          <w:b/>
        </w:rPr>
        <w:t xml:space="preserve">Trial Period</w:t>
      </w:r>
      <w:r>
        <w:t xml:space="preserve"> </w:t>
      </w:r>
      <w:r>
        <w:t xml:space="preserve">October 1, 2024, to September 30, 2029</w:t>
      </w:r>
    </w:p>
    <w:bookmarkEnd w:id="22"/>
    <w:bookmarkStart w:id="25" w:name="special-considerations"/>
    <w:p>
      <w:pPr>
        <w:pStyle w:val="Heading1"/>
      </w:pPr>
      <w:r>
        <w:t xml:space="preserve">4. Special considerations</w:t>
      </w:r>
    </w:p>
    <w:bookmarkStart w:id="23" w:name="funding"/>
    <w:p>
      <w:pPr>
        <w:pStyle w:val="Heading2"/>
      </w:pPr>
      <w:r>
        <w:t xml:space="preserve">4.1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3"/>
    <w:bookmarkStart w:id="24" w:name="potential-amendments"/>
    <w:p>
      <w:pPr>
        <w:pStyle w:val="Heading2"/>
      </w:pPr>
      <w:r>
        <w:t xml:space="preserve">4.2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24"/>
    <w:bookmarkEnd w:id="25"/>
    <w:bookmarkStart w:id="34" w:name="sec-trial-organisation"/>
    <w:p>
      <w:pPr>
        <w:pStyle w:val="Heading1"/>
      </w:pPr>
      <w:r>
        <w:t xml:space="preserve">5. Trial organisation overview</w:t>
      </w:r>
    </w:p>
    <w:tbl>
      <w:tblPr>
        <w:tblStyle w:val="Table"/>
        <w:tblW w:type="pct" w:w="5000"/>
        <w:tblLook w:firstRow="0" w:lastRow="0" w:firstColumn="0" w:lastColumn="0" w:noHBand="0" w:noVBand="0" w:val="0000"/>
        <w:jc w:val="start"/>
      </w:tblPr>
      <w:tblGrid>
        <w:gridCol w:w="7920"/>
      </w:tblGrid>
      <w:tr>
        <w:tc>
          <w:tcPr/>
          <w:bookmarkStart w:id="29" w:name="fig-organisation-overview"/>
          <w:p>
            <w:pPr>
              <w:jc w:val="center"/>
            </w:pPr>
            <w:r>
              <w:drawing>
                <wp:inline>
                  <wp:extent cx="3200400" cy="3312348"/>
                  <wp:effectExtent b="0" l="0" r="0" t="0"/>
                  <wp:docPr descr="" title="" id="27" name="Picture"/>
                  <a:graphic>
                    <a:graphicData uri="http://schemas.openxmlformats.org/drawingml/2006/picture">
                      <pic:pic>
                        <pic:nvPicPr>
                          <pic:cNvPr descr="../../shared-assets/trial-organisation-overview-figure.png" id="28" name="Picture"/>
                          <pic:cNvPicPr>
                            <a:picLocks noChangeArrowheads="1" noChangeAspect="1"/>
                          </pic:cNvPicPr>
                        </pic:nvPicPr>
                        <pic:blipFill>
                          <a:blip r:embed="rId26"/>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29"/>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Start w:id="30" w:name="trial-team"/>
    <w:p>
      <w:pPr>
        <w:pStyle w:val="Heading2"/>
      </w:pPr>
      <w:r>
        <w:t xml:space="preserve">5.1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30"/>
    <w:bookmarkStart w:id="31" w:name="trial-management-group-tmg"/>
    <w:p>
      <w:pPr>
        <w:pStyle w:val="Heading2"/>
      </w:pPr>
      <w:r>
        <w:t xml:space="preserve">5.2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31"/>
    <w:bookmarkStart w:id="32" w:name="trial-steering-committee-tsc"/>
    <w:p>
      <w:pPr>
        <w:pStyle w:val="Heading2"/>
      </w:pPr>
      <w:r>
        <w:t xml:space="preserve">5.3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32"/>
    <w:bookmarkStart w:id="33" w:name="data-monitoring-committee-dmc"/>
    <w:p>
      <w:pPr>
        <w:pStyle w:val="Heading2"/>
      </w:pPr>
      <w:r>
        <w:t xml:space="preserve">5.4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33"/>
    <w:bookmarkEnd w:id="34"/>
    <w:bookmarkStart w:id="35" w:name="roles-and-responsibilities"/>
    <w:p>
      <w:pPr>
        <w:pStyle w:val="Heading1"/>
      </w:pPr>
      <w:r>
        <w:t xml:space="preserve">6. Roles and responsibilities</w:t>
      </w:r>
    </w:p>
    <w:p>
      <w:pPr>
        <w:pStyle w:val="FirstParagraph"/>
      </w:pPr>
      <w:r>
        <w:t xml:space="preserve">To role of the TMG is to manage the trial, including the clinical and practical aspects. The specific roles of the TMG members will be to:</w:t>
      </w:r>
    </w:p>
    <w:p>
      <w:pPr>
        <w:numPr>
          <w:ilvl w:val="0"/>
          <w:numId w:val="1001"/>
        </w:numPr>
        <w:pStyle w:val="Compact"/>
      </w:pPr>
      <w:r>
        <w:t xml:space="preserve">attend TMG meetings and advise on availability for future TMG meetings;</w:t>
      </w:r>
    </w:p>
    <w:p>
      <w:pPr>
        <w:numPr>
          <w:ilvl w:val="0"/>
          <w:numId w:val="1001"/>
        </w:numPr>
        <w:pStyle w:val="Compact"/>
      </w:pPr>
      <w:r>
        <w:t xml:space="preserve">input into and comment on the protocol and case report forms;</w:t>
      </w:r>
    </w:p>
    <w:p>
      <w:pPr>
        <w:numPr>
          <w:ilvl w:val="0"/>
          <w:numId w:val="1001"/>
        </w:numPr>
        <w:pStyle w:val="Compact"/>
      </w:pPr>
      <w:r>
        <w:t xml:space="preserve">allow contact details to be included in this TMG charter;</w:t>
      </w:r>
    </w:p>
    <w:p>
      <w:pPr>
        <w:numPr>
          <w:ilvl w:val="0"/>
          <w:numId w:val="1001"/>
        </w:numPr>
        <w:pStyle w:val="Compact"/>
      </w:pPr>
      <w:r>
        <w:t xml:space="preserve">promote the trial;</w:t>
      </w:r>
    </w:p>
    <w:p>
      <w:pPr>
        <w:numPr>
          <w:ilvl w:val="0"/>
          <w:numId w:val="1001"/>
        </w:numPr>
        <w:pStyle w:val="Compact"/>
      </w:pPr>
      <w:r>
        <w:t xml:space="preserve">screen hospitals and clusters for participation in the trial;</w:t>
      </w:r>
    </w:p>
    <w:p>
      <w:pPr>
        <w:numPr>
          <w:ilvl w:val="0"/>
          <w:numId w:val="1001"/>
        </w:numPr>
        <w:pStyle w:val="Compact"/>
      </w:pPr>
      <w:r>
        <w:t xml:space="preserve">develop strategies to encourage inclusion of patient participants and address any issues with inclusion at each trial centre;</w:t>
      </w:r>
    </w:p>
    <w:p>
      <w:pPr>
        <w:numPr>
          <w:ilvl w:val="0"/>
          <w:numId w:val="1001"/>
        </w:numPr>
        <w:pStyle w:val="Compact"/>
      </w:pPr>
      <w:r>
        <w:t xml:space="preserve">be involved in the day-to-day running of the trial by supporting the Trial Team;</w:t>
      </w:r>
    </w:p>
    <w:p>
      <w:pPr>
        <w:numPr>
          <w:ilvl w:val="0"/>
          <w:numId w:val="1001"/>
        </w:numPr>
        <w:pStyle w:val="Compact"/>
      </w:pPr>
      <w:r>
        <w:t xml:space="preserve">maintain confidentiality of any trial information that is not in the public domain;</w:t>
      </w:r>
    </w:p>
    <w:p>
      <w:pPr>
        <w:numPr>
          <w:ilvl w:val="0"/>
          <w:numId w:val="1001"/>
        </w:numPr>
        <w:pStyle w:val="Compact"/>
      </w:pPr>
      <w:r>
        <w:t xml:space="preserve">respond to trial correspondence and any questions in a timely fashion;</w:t>
      </w:r>
    </w:p>
    <w:p>
      <w:pPr>
        <w:numPr>
          <w:ilvl w:val="0"/>
          <w:numId w:val="1001"/>
        </w:numPr>
        <w:pStyle w:val="Compact"/>
      </w:pPr>
      <w:r>
        <w:t xml:space="preserve">encourage completion of case report forms (CRFs) and monitor reported CRF completion rates;</w:t>
      </w:r>
    </w:p>
    <w:p>
      <w:pPr>
        <w:numPr>
          <w:ilvl w:val="0"/>
          <w:numId w:val="1001"/>
        </w:numPr>
        <w:pStyle w:val="Compact"/>
      </w:pPr>
      <w:r>
        <w:t xml:space="preserve">monitor and assess safety events;</w:t>
      </w:r>
    </w:p>
    <w:p>
      <w:pPr>
        <w:numPr>
          <w:ilvl w:val="0"/>
          <w:numId w:val="1001"/>
        </w:numPr>
        <w:pStyle w:val="Compact"/>
      </w:pPr>
      <w:r>
        <w:t xml:space="preserve">input into the meetings of the Trial Steering Committee (TSC), if appropriate;</w:t>
      </w:r>
    </w:p>
    <w:p>
      <w:pPr>
        <w:numPr>
          <w:ilvl w:val="0"/>
          <w:numId w:val="1001"/>
        </w:numPr>
        <w:pStyle w:val="Compact"/>
      </w:pPr>
      <w:r>
        <w:t xml:space="preserve">input into the meetings of the Data Monitoring Committee (DMC), when appropriate;</w:t>
      </w:r>
    </w:p>
    <w:p>
      <w:pPr>
        <w:numPr>
          <w:ilvl w:val="0"/>
          <w:numId w:val="1001"/>
        </w:numPr>
        <w:pStyle w:val="Compact"/>
      </w:pPr>
      <w:r>
        <w:t xml:space="preserve">provide responses to any issues or concerns raised by TSC;</w:t>
      </w:r>
    </w:p>
    <w:p>
      <w:pPr>
        <w:numPr>
          <w:ilvl w:val="0"/>
          <w:numId w:val="1001"/>
        </w:numPr>
        <w:pStyle w:val="Compact"/>
      </w:pPr>
      <w:r>
        <w:t xml:space="preserve">consider the implications of any recommendations made by the DMC and accepted by the TSC;</w:t>
      </w:r>
    </w:p>
    <w:p>
      <w:pPr>
        <w:numPr>
          <w:ilvl w:val="0"/>
          <w:numId w:val="1001"/>
        </w:numPr>
        <w:pStyle w:val="Compact"/>
      </w:pPr>
      <w:r>
        <w:t xml:space="preserve">be aware of accumulating external evidence and assess its impact and relevance; and</w:t>
      </w:r>
    </w:p>
    <w:p>
      <w:pPr>
        <w:numPr>
          <w:ilvl w:val="0"/>
          <w:numId w:val="1001"/>
        </w:numPr>
        <w:pStyle w:val="Compact"/>
      </w:pPr>
      <w:r>
        <w:t xml:space="preserve">input into the interpretation and writing up of the trial results.</w:t>
      </w:r>
    </w:p>
    <w:bookmarkEnd w:id="35"/>
    <w:bookmarkStart w:id="36" w:name="before-or-early-in-the-trial"/>
    <w:p>
      <w:pPr>
        <w:pStyle w:val="Heading1"/>
      </w:pPr>
      <w:r>
        <w:t xml:space="preserve">7. Before or early in the trial</w:t>
      </w:r>
    </w:p>
    <w:p>
      <w:pPr>
        <w:pStyle w:val="FirstParagraph"/>
      </w:pPr>
      <w:r>
        <w:t xml:space="preserve">The TMG will finalise the protcol and screen hospitals and clusters for participation in the trial.</w:t>
      </w:r>
    </w:p>
    <w:p>
      <w:pPr>
        <w:pStyle w:val="BodyText"/>
      </w:pPr>
      <w:r>
        <w:t xml:space="preserve">TMG members will not formally sign a contract.</w:t>
      </w:r>
    </w:p>
    <w:bookmarkEnd w:id="36"/>
    <w:bookmarkStart w:id="37" w:name="composition"/>
    <w:p>
      <w:pPr>
        <w:pStyle w:val="Heading1"/>
      </w:pPr>
      <w:r>
        <w:t xml:space="preserve">8. Composition</w:t>
      </w:r>
    </w:p>
    <w:p>
      <w:pPr>
        <w:pStyle w:val="FirstParagraph"/>
      </w:pPr>
      <w:r>
        <w:t xml:space="preserve">TMG members will provide broad expertise appropriate to the trial. The TMG will be chaired by the Principal Investigator. The Principal Investigator is also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p>
      <w:pPr>
        <w:pStyle w:val="BodyText"/>
      </w:pPr>
      <w:r>
        <w:t xml:space="preserve">The TMG includes the following members, in alphabetical order by surname, with their roles and affiliations:</w:t>
      </w:r>
    </w:p>
    <w:p>
      <w:pPr>
        <w:pStyle w:val="BodyText"/>
      </w:pPr>
      <w:r>
        <w:rPr>
          <w:bCs/>
          <w:b/>
        </w:rPr>
        <w:t xml:space="preserve">Anurag Mishra</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Debojit Basak</w:t>
      </w:r>
    </w:p>
    <w:p>
      <w:pPr>
        <w:pStyle w:val="BodyText"/>
      </w:pPr>
      <w:r>
        <w:rPr>
          <w:iCs/>
          <w:i/>
        </w:rPr>
        <w:t xml:space="preserve">Project Research Scientist</w:t>
      </w:r>
    </w:p>
    <w:p>
      <w:pPr>
        <w:pStyle w:val="BodyText"/>
      </w:pPr>
      <w:r>
        <w:t xml:space="preserve">Institute of Post Graduate Medical Education &amp; Research and Seth Sukhlal Karnani Memorial Hospital, India</w:t>
      </w:r>
    </w:p>
    <w:p>
      <w:pPr>
        <w:pStyle w:val="BodyText"/>
      </w:pPr>
      <w:r>
        <w:rPr>
          <w:bCs/>
          <w:b/>
        </w:rPr>
        <w:t xml:space="preserve">Abhinav Bassi</w:t>
      </w:r>
    </w:p>
    <w:p>
      <w:pPr>
        <w:pStyle w:val="BodyText"/>
      </w:pPr>
      <w:r>
        <w:rPr>
          <w:iCs/>
          <w:i/>
        </w:rPr>
        <w:t xml:space="preserve">Senior Research Fellow and Operations Lead</w:t>
      </w:r>
    </w:p>
    <w:p>
      <w:pPr>
        <w:pStyle w:val="BodyText"/>
      </w:pPr>
      <w:r>
        <w:t xml:space="preserve">The George Institute for Global Health, India</w:t>
      </w:r>
    </w:p>
    <w:p>
      <w:pPr>
        <w:pStyle w:val="BodyText"/>
      </w:pPr>
      <w:r>
        <w:rPr>
          <w:bCs/>
          <w:b/>
        </w:rPr>
        <w:t xml:space="preserve">Johanna Berg</w:t>
      </w:r>
    </w:p>
    <w:p>
      <w:pPr>
        <w:pStyle w:val="BodyText"/>
      </w:pPr>
      <w:r>
        <w:rPr>
          <w:iCs/>
          <w:i/>
        </w:rPr>
        <w:t xml:space="preserve">Doctoral student and emergency physician</w:t>
      </w:r>
    </w:p>
    <w:p>
      <w:pPr>
        <w:numPr>
          <w:ilvl w:val="0"/>
          <w:numId w:val="1002"/>
        </w:numPr>
        <w:pStyle w:val="Compact"/>
      </w:pPr>
      <w:r>
        <w:t xml:space="preserve">Department of Global Public Health, Karolinska Institutet, Sweden</w:t>
      </w:r>
    </w:p>
    <w:p>
      <w:pPr>
        <w:numPr>
          <w:ilvl w:val="0"/>
          <w:numId w:val="1002"/>
        </w:numPr>
        <w:pStyle w:val="Compact"/>
      </w:pPr>
      <w:r>
        <w:t xml:space="preserve">Department of Emergency and Internal Medicine, Skane University Hospital, Sweden</w:t>
      </w:r>
    </w:p>
    <w:p>
      <w:pPr>
        <w:pStyle w:val="FirstParagraph"/>
      </w:pPr>
      <w:r>
        <w:rPr>
          <w:bCs/>
          <w:b/>
        </w:rPr>
        <w:t xml:space="preserve">Shamita Chatterjee</w:t>
      </w:r>
    </w:p>
    <w:p>
      <w:pPr>
        <w:pStyle w:val="BodyText"/>
      </w:pPr>
      <w:r>
        <w:rPr>
          <w:iCs/>
          <w:i/>
        </w:rPr>
        <w:t xml:space="preserve">Professor of surgery</w:t>
      </w:r>
    </w:p>
    <w:p>
      <w:pPr>
        <w:pStyle w:val="BodyText"/>
      </w:pPr>
      <w:r>
        <w:t xml:space="preserve">Department of Surgery, Institute of Post Graduate Medical Education &amp; Research and Seth Sukhlal Karnani Memorial Hospital, India</w:t>
      </w:r>
    </w:p>
    <w:p>
      <w:pPr>
        <w:pStyle w:val="BodyText"/>
      </w:pPr>
      <w:r>
        <w:rPr>
          <w:bCs/>
          <w:b/>
        </w:rPr>
        <w:t xml:space="preserve">Kapil Dev Soni</w:t>
      </w:r>
    </w:p>
    <w:p>
      <w:pPr>
        <w:pStyle w:val="BodyText"/>
      </w:pPr>
      <w:r>
        <w:rPr>
          <w:iCs/>
          <w:i/>
        </w:rPr>
        <w:t xml:space="preserve">Professor of critical and intensive care</w:t>
      </w:r>
    </w:p>
    <w:p>
      <w:pPr>
        <w:pStyle w:val="BodyText"/>
      </w:pPr>
      <w:r>
        <w:t xml:space="preserve">All India Institute of Medical Sciences, India</w:t>
      </w:r>
    </w:p>
    <w:p>
      <w:pPr>
        <w:pStyle w:val="BodyText"/>
      </w:pPr>
      <w:r>
        <w:rPr>
          <w:bCs/>
          <w:b/>
        </w:rPr>
        <w:t xml:space="preserve">Martin Gerdin Wärnberg</w:t>
      </w:r>
      <w:r>
        <w:t xml:space="preserve"> </w:t>
      </w:r>
      <w:r>
        <w:t xml:space="preserve">(Principal Investigator, Chair)</w:t>
      </w:r>
    </w:p>
    <w:p>
      <w:pPr>
        <w:pStyle w:val="BodyText"/>
      </w:pPr>
      <w:r>
        <w:rPr>
          <w:iCs/>
          <w:i/>
        </w:rPr>
        <w:t xml:space="preserve">Associate professor of clinical epidemiology</w:t>
      </w:r>
    </w:p>
    <w:p>
      <w:pPr>
        <w:numPr>
          <w:ilvl w:val="0"/>
          <w:numId w:val="1003"/>
        </w:numPr>
        <w:pStyle w:val="Compact"/>
      </w:pPr>
      <w:r>
        <w:t xml:space="preserve">Department of Global Public Health, Karolinska Institutet, Sweden</w:t>
      </w:r>
    </w:p>
    <w:p>
      <w:pPr>
        <w:numPr>
          <w:ilvl w:val="0"/>
          <w:numId w:val="1003"/>
        </w:numPr>
        <w:pStyle w:val="Compact"/>
      </w:pPr>
      <w:r>
        <w:t xml:space="preserve">Function Perioperative Medicine and Intensive Care, Karolinska University Hospital, Sweden</w:t>
      </w:r>
    </w:p>
    <w:p>
      <w:pPr>
        <w:pStyle w:val="FirstParagraph"/>
      </w:pPr>
      <w:r>
        <w:rPr>
          <w:bCs/>
          <w:b/>
        </w:rPr>
        <w:t xml:space="preserve">Karla Hemming</w:t>
      </w:r>
    </w:p>
    <w:p>
      <w:pPr>
        <w:pStyle w:val="BodyText"/>
      </w:pPr>
      <w:r>
        <w:rPr>
          <w:iCs/>
          <w:i/>
        </w:rPr>
        <w:t xml:space="preserve">Professor of biostatistics</w:t>
      </w:r>
    </w:p>
    <w:p>
      <w:pPr>
        <w:pStyle w:val="BodyText"/>
      </w:pPr>
      <w:r>
        <w:t xml:space="preserve">Institute of Applied Health Research, University of Birmingham, UK</w:t>
      </w:r>
    </w:p>
    <w:p>
      <w:pPr>
        <w:pStyle w:val="BodyText"/>
      </w:pPr>
      <w:r>
        <w:rPr>
          <w:bCs/>
          <w:b/>
        </w:rPr>
        <w:t xml:space="preserve">Monty Khajanchi</w:t>
      </w:r>
    </w:p>
    <w:p>
      <w:pPr>
        <w:pStyle w:val="BodyText"/>
      </w:pPr>
      <w:r>
        <w:rPr>
          <w:iCs/>
          <w:i/>
        </w:rPr>
        <w:t xml:space="preserve">Assistant professor of surgery</w:t>
      </w:r>
    </w:p>
    <w:p>
      <w:pPr>
        <w:pStyle w:val="BodyText"/>
      </w:pPr>
      <w:r>
        <w:t xml:space="preserve">Department of Surgery, King Edward Memorial Hospital, India</w:t>
      </w:r>
    </w:p>
    <w:p>
      <w:pPr>
        <w:pStyle w:val="BodyText"/>
      </w:pPr>
      <w:r>
        <w:rPr>
          <w:bCs/>
          <w:b/>
        </w:rPr>
        <w:t xml:space="preserve">Vivekanand Jha</w:t>
      </w:r>
    </w:p>
    <w:p>
      <w:pPr>
        <w:pStyle w:val="BodyText"/>
      </w:pPr>
      <w:r>
        <w:rPr>
          <w:iCs/>
          <w:i/>
        </w:rPr>
        <w:t xml:space="preserve">Executive Director</w:t>
      </w:r>
    </w:p>
    <w:p>
      <w:pPr>
        <w:numPr>
          <w:ilvl w:val="0"/>
          <w:numId w:val="1004"/>
        </w:numPr>
        <w:pStyle w:val="Compact"/>
      </w:pPr>
      <w:r>
        <w:t xml:space="preserve">The George Institute for Global Health, India</w:t>
      </w:r>
    </w:p>
    <w:p>
      <w:pPr>
        <w:numPr>
          <w:ilvl w:val="0"/>
          <w:numId w:val="1004"/>
        </w:numPr>
        <w:pStyle w:val="Compact"/>
      </w:pPr>
      <w:r>
        <w:t xml:space="preserve">Faculty of Medicine, Imperial College London, UK</w:t>
      </w:r>
    </w:p>
    <w:p>
      <w:pPr>
        <w:pStyle w:val="FirstParagraph"/>
      </w:pPr>
      <w:r>
        <w:rPr>
          <w:bCs/>
          <w:b/>
        </w:rPr>
        <w:t xml:space="preserve">Samriddhi Ranjan</w:t>
      </w:r>
    </w:p>
    <w:p>
      <w:pPr>
        <w:pStyle w:val="BodyText"/>
      </w:pPr>
      <w:r>
        <w:rPr>
          <w:iCs/>
          <w:i/>
        </w:rPr>
        <w:t xml:space="preserve">Project Manager</w:t>
      </w:r>
    </w:p>
    <w:p>
      <w:pPr>
        <w:pStyle w:val="BodyText"/>
      </w:pPr>
      <w:r>
        <w:t xml:space="preserve">The George Institute for Global Health, India</w:t>
      </w:r>
    </w:p>
    <w:p>
      <w:pPr>
        <w:pStyle w:val="BodyText"/>
      </w:pPr>
      <w:r>
        <w:rPr>
          <w:bCs/>
          <w:b/>
        </w:rPr>
        <w:t xml:space="preserve">Nobhojit Roy</w:t>
      </w:r>
    </w:p>
    <w:p>
      <w:pPr>
        <w:pStyle w:val="BodyText"/>
      </w:pPr>
      <w:r>
        <w:rPr>
          <w:iCs/>
          <w:i/>
        </w:rPr>
        <w:t xml:space="preserve">Honorary Fellow</w:t>
      </w:r>
    </w:p>
    <w:p>
      <w:pPr>
        <w:pStyle w:val="BodyText"/>
      </w:pPr>
      <w:r>
        <w:t xml:space="preserve">The George Institute of Global Health, India</w:t>
      </w:r>
    </w:p>
    <w:p>
      <w:pPr>
        <w:pStyle w:val="BodyText"/>
      </w:pPr>
      <w:r>
        <w:rPr>
          <w:bCs/>
          <w:b/>
        </w:rPr>
        <w:t xml:space="preserve">Rajdeep Singh</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Lovisa Strömmer</w:t>
      </w:r>
    </w:p>
    <w:p>
      <w:pPr>
        <w:pStyle w:val="BodyText"/>
      </w:pPr>
      <w:r>
        <w:rPr>
          <w:iCs/>
          <w:i/>
        </w:rPr>
        <w:t xml:space="preserve">Associate professor of surgery and senior consultant</w:t>
      </w:r>
    </w:p>
    <w:p>
      <w:pPr>
        <w:numPr>
          <w:ilvl w:val="0"/>
          <w:numId w:val="1005"/>
        </w:numPr>
        <w:pStyle w:val="Compact"/>
      </w:pPr>
      <w:r>
        <w:t xml:space="preserve">Department of Clinical Science, Intervention and Technology, Karolinska Institutet, Sweden</w:t>
      </w:r>
    </w:p>
    <w:p>
      <w:pPr>
        <w:numPr>
          <w:ilvl w:val="0"/>
          <w:numId w:val="1005"/>
        </w:numPr>
        <w:pStyle w:val="Compact"/>
      </w:pPr>
      <w:r>
        <w:t xml:space="preserve">ME Trauma Emergency surgery, Orthopaedics, Emergency and Reparative Medicine, Karolinska University Hospital, Sweden</w:t>
      </w:r>
    </w:p>
    <w:p>
      <w:pPr>
        <w:pStyle w:val="FirstParagraph"/>
      </w:pPr>
      <w:r>
        <w:rPr>
          <w:bCs/>
          <w:b/>
        </w:rPr>
        <w:t xml:space="preserve">Li Felländer-Tsai</w:t>
      </w:r>
    </w:p>
    <w:p>
      <w:pPr>
        <w:pStyle w:val="BodyText"/>
      </w:pPr>
      <w:r>
        <w:rPr>
          <w:iCs/>
          <w:i/>
        </w:rPr>
        <w:t xml:space="preserve">Professor of orthopaedic surgery</w:t>
      </w:r>
    </w:p>
    <w:p>
      <w:pPr>
        <w:pStyle w:val="BodyText"/>
      </w:pPr>
      <w:r>
        <w:t xml:space="preserve">Department of Clinical Science, Intervention and Technology, Karolinska Institutet, Sweden</w:t>
      </w:r>
    </w:p>
    <w:bookmarkEnd w:id="37"/>
    <w:bookmarkStart w:id="38" w:name="relationships"/>
    <w:p>
      <w:pPr>
        <w:pStyle w:val="Heading1"/>
      </w:pPr>
      <w:r>
        <w:t xml:space="preserve">9. Relationships</w:t>
      </w:r>
    </w:p>
    <w:p>
      <w:pPr>
        <w:pStyle w:val="FirstParagraph"/>
      </w:pPr>
      <w:r>
        <w:t xml:space="preserve">The responsibilities of each trial committee are summarised in</w:t>
      </w:r>
      <w:r>
        <w:t xml:space="preserve"> </w:t>
      </w:r>
      <w:hyperlink w:anchor="sec-trial-organisation">
        <w:r>
          <w:rPr>
            <w:rStyle w:val="Hyperlink"/>
          </w:rPr>
          <w:t xml:space="preserve">Section 5</w:t>
        </w:r>
      </w:hyperlink>
      <w:r>
        <w:t xml:space="preserve"> </w:t>
      </w:r>
      <w:r>
        <w:t xml:space="preserve">and in</w:t>
      </w:r>
      <w:r>
        <w:t xml:space="preserve"> </w:t>
      </w:r>
      <w:hyperlink w:anchor="fig-organisation-overview">
        <w:r>
          <w:rPr>
            <w:rStyle w:val="Hyperlink"/>
          </w:rPr>
          <w:t xml:space="preserve">Figure 1</w:t>
        </w:r>
      </w:hyperlink>
      <w:r>
        <w:t xml:space="preserve">.</w:t>
      </w:r>
    </w:p>
    <w:bookmarkEnd w:id="38"/>
    <w:bookmarkStart w:id="39" w:name="organisation-of-meetings"/>
    <w:p>
      <w:pPr>
        <w:pStyle w:val="Heading1"/>
      </w:pPr>
      <w:r>
        <w:t xml:space="preserve">10. 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39"/>
    <w:bookmarkStart w:id="40" w:name="reporting"/>
    <w:p>
      <w:pPr>
        <w:pStyle w:val="Heading1"/>
      </w:pPr>
      <w:r>
        <w:t xml:space="preserve">11. 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 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w:t>
      </w:r>
    </w:p>
    <w:p>
      <w:pPr>
        <w:pStyle w:val="BodyText"/>
      </w:pPr>
      <w:r>
        <w:t xml:space="preserve">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40"/>
    <w:bookmarkStart w:id="44" w:name="decision-making"/>
    <w:p>
      <w:pPr>
        <w:pStyle w:val="Heading1"/>
      </w:pPr>
      <w:r>
        <w:t xml:space="preserve">12. Decision-making</w:t>
      </w:r>
    </w:p>
    <w:p>
      <w:pPr>
        <w:pStyle w:val="FirstParagraph"/>
      </w:pPr>
      <w:r>
        <w:t xml:space="preserve">The TMG is responsible for the day-to-day running of the trial and can make decisions appropriate to this role. However, the TSC is the oversight body for the trial.</w:t>
      </w:r>
    </w:p>
    <w:bookmarkStart w:id="41" w:name="tmg-to-tsc"/>
    <w:p>
      <w:pPr>
        <w:pStyle w:val="Heading2"/>
      </w:pPr>
      <w:r>
        <w:t xml:space="preserve">12.1 TMG to TSC</w:t>
      </w:r>
    </w:p>
    <w:p>
      <w:pPr>
        <w:pStyle w:val="FirstParagraph"/>
      </w:pPr>
      <w:r>
        <w:t xml:space="preserve">The TMG should refer to the TSC in some instances. The following are examples:</w:t>
      </w:r>
    </w:p>
    <w:p>
      <w:pPr>
        <w:numPr>
          <w:ilvl w:val="0"/>
          <w:numId w:val="1006"/>
        </w:numPr>
        <w:pStyle w:val="Compact"/>
      </w:pPr>
      <w:r>
        <w:t xml:space="preserve">Request for additional interim analyses owing to concerns raised by external evidence;</w:t>
      </w:r>
    </w:p>
    <w:p>
      <w:pPr>
        <w:numPr>
          <w:ilvl w:val="0"/>
          <w:numId w:val="1006"/>
        </w:numPr>
        <w:pStyle w:val="Compact"/>
      </w:pPr>
      <w:r>
        <w:t xml:space="preserve">Stopping inclusion due to slow inclusion;</w:t>
      </w:r>
    </w:p>
    <w:p>
      <w:pPr>
        <w:numPr>
          <w:ilvl w:val="0"/>
          <w:numId w:val="1006"/>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6"/>
        </w:numPr>
        <w:pStyle w:val="Compact"/>
      </w:pPr>
      <w:r>
        <w:t xml:space="preserve">Proposing substantial changes to the protocol, patient information sheet, eligibility criteria and other trial documentation; and</w:t>
      </w:r>
    </w:p>
    <w:p>
      <w:pPr>
        <w:numPr>
          <w:ilvl w:val="0"/>
          <w:numId w:val="1006"/>
        </w:numPr>
        <w:pStyle w:val="Compact"/>
      </w:pPr>
      <w:r>
        <w:t xml:space="preserve">Request for endorsement for the early presentation of results.</w:t>
      </w:r>
    </w:p>
    <w:bookmarkEnd w:id="41"/>
    <w:bookmarkStart w:id="42" w:name="tmg-to-dmc"/>
    <w:p>
      <w:pPr>
        <w:pStyle w:val="Heading2"/>
      </w:pPr>
      <w:r>
        <w:t xml:space="preserve">12.2 TMG to DMC</w:t>
      </w:r>
    </w:p>
    <w:p>
      <w:pPr>
        <w:pStyle w:val="FirstParagraph"/>
      </w:pPr>
      <w:r>
        <w:t xml:space="preserve">The TMG can make recommendations to the DMC. Possible recommendations from the TMG to the IDMC could include:</w:t>
      </w:r>
    </w:p>
    <w:p>
      <w:pPr>
        <w:numPr>
          <w:ilvl w:val="0"/>
          <w:numId w:val="1007"/>
        </w:numPr>
        <w:pStyle w:val="Compact"/>
      </w:pPr>
      <w:r>
        <w:t xml:space="preserve">Proposal of extra analyses for review by IDMC; and</w:t>
      </w:r>
    </w:p>
    <w:p>
      <w:pPr>
        <w:numPr>
          <w:ilvl w:val="0"/>
          <w:numId w:val="1007"/>
        </w:numPr>
        <w:pStyle w:val="Compact"/>
      </w:pPr>
      <w:r>
        <w:t xml:space="preserve">Addition of new trial sites.</w:t>
      </w:r>
    </w:p>
    <w:bookmarkEnd w:id="42"/>
    <w:bookmarkStart w:id="43" w:name="tmg-alone"/>
    <w:p>
      <w:pPr>
        <w:pStyle w:val="Heading2"/>
      </w:pPr>
      <w:r>
        <w:t xml:space="preserve">12.3 TMG alone</w:t>
      </w:r>
    </w:p>
    <w:p>
      <w:pPr>
        <w:pStyle w:val="FirstParagraph"/>
      </w:pPr>
      <w:r>
        <w:t xml:space="preserve">Without referral to other committees, the TMG can:</w:t>
      </w:r>
    </w:p>
    <w:p>
      <w:pPr>
        <w:numPr>
          <w:ilvl w:val="0"/>
          <w:numId w:val="1008"/>
        </w:numPr>
        <w:pStyle w:val="Compact"/>
      </w:pPr>
      <w:r>
        <w:t xml:space="preserve">Propose strategies for dealing with poor inclusion rates, data quality or compliance with CRFs and/or follow-up schedules according to consistency checks or site monitoring reports.</w:t>
      </w:r>
    </w:p>
    <w:bookmarkEnd w:id="43"/>
    <w:bookmarkEnd w:id="44"/>
    <w:bookmarkStart w:id="45" w:name="after-the-trial"/>
    <w:p>
      <w:pPr>
        <w:pStyle w:val="Heading1"/>
      </w:pPr>
      <w:r>
        <w:t xml:space="preserve">13. 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45"/>
    <w:bookmarkStart w:id="46" w:name="amendments"/>
    <w:p>
      <w:pPr>
        <w:pStyle w:val="Heading1"/>
      </w:pPr>
      <w:r>
        <w:t xml:space="preserve">14. Amendments</w:t>
      </w:r>
    </w:p>
    <w:p>
      <w:pPr>
        <w:pStyle w:val="FirstParagraph"/>
      </w:pPr>
      <w:r>
        <w:t xml:space="preserve">Amendments to the TMG Charter will be made by the TMG and approved by the TSC. Amendments to the TMG Charter will be reported to the TSC and DMC.</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2024-03-06T20:27:09Z</dcterms:created>
  <dcterms:modified xsi:type="dcterms:W3CDTF">2024-03-06T20:27:09Z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Management Group Charter (version 3.01)</vt:lpwstr>
  </property>
  <property fmtid="{D5CDD505-2E9C-101B-9397-08002B2CF9AE}" pid="4" name="biblio-config">
    <vt:lpwstr>True</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bibliography">
    <vt:lpwstr>False</vt:lpwstr>
  </property>
  <property fmtid="{D5CDD505-2E9C-101B-9397-08002B2CF9AE}" pid="11" name="subtitle">
    <vt:lpwstr>Trial Management Group Charter Version 0.1.1 2024-03-06</vt:lpwstr>
  </property>
  <property fmtid="{D5CDD505-2E9C-101B-9397-08002B2CF9AE}" pid="12" name="toc-title">
    <vt:lpwstr>Table of contents</vt:lpwstr>
  </property>
</Properties>
</file>