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Trial</w:t>
      </w:r>
      <w:r>
        <w:t xml:space="preserve"> </w:t>
      </w:r>
      <w:r>
        <w:t xml:space="preserve">Management</w:t>
      </w:r>
      <w:r>
        <w:t xml:space="preserve"> </w:t>
      </w:r>
      <w:r>
        <w:t xml:space="preserve">Group</w:t>
      </w:r>
      <w:r>
        <w:t xml:space="preserve"> </w:t>
      </w:r>
      <w:r>
        <w:t xml:space="preserve">Charter</w:t>
      </w:r>
      <w:r>
        <w:br/>
      </w:r>
      <w:r>
        <w:t xml:space="preserve">Version</w:t>
      </w:r>
      <w:r>
        <w:t xml:space="preserve"> </w:t>
      </w:r>
      <w:r>
        <w:t xml:space="preserve">0.1.1</w:t>
      </w:r>
      <w:r>
        <w:br/>
      </w:r>
      <w:r>
        <w:t xml:space="preserve">2024-03-06</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Management</w:t>
      </w:r>
      <w:r>
        <w:t xml:space="preserve"> </w:t>
      </w:r>
      <w:r>
        <w:t xml:space="preserve">Group</w:t>
      </w:r>
      <w:r>
        <w:t xml:space="preserve"> </w:t>
      </w:r>
      <w:r>
        <w:t xml:space="preserve">Charter</w:t>
      </w:r>
      <w:r>
        <w:t xml:space="preserve"> </w:t>
      </w:r>
      <w:r>
        <w:t xml:space="preserve">(version</w:t>
      </w:r>
      <w:r>
        <w:t xml:space="preserve"> </w:t>
      </w:r>
      <w:r>
        <w:t xml:space="preserve">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hangelog"/>
    <w:p>
      <w:pPr>
        <w:pStyle w:val="Heading1"/>
      </w:pPr>
      <w:r>
        <w:t xml:space="preserve">1. Changelog</w:t>
      </w:r>
    </w:p>
    <w:p>
      <w:pPr>
        <w:pStyle w:val="FirstParagraph"/>
      </w:pPr>
      <w:r>
        <w:rPr>
          <w:bCs/>
          <w:b/>
        </w:rPr>
        <w:t xml:space="preserve">After version 1.0.0 is approved, all major and minor version updates to the charter will be documented here.</w:t>
      </w:r>
    </w:p>
    <w:p>
      <w:r>
        <w:br w:type="page"/>
      </w:r>
    </w:p>
    <w:bookmarkEnd w:id="20"/>
    <w:bookmarkStart w:id="21"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Trial Management Group (TMG) for the this trial, including the timing of meetings, frequency and format of meetings and relationships with other trial committees and groups.</w:t>
      </w:r>
    </w:p>
    <w:bookmarkEnd w:id="21"/>
    <w:bookmarkStart w:id="22" w:name="trial-synopsis"/>
    <w:p>
      <w:pPr>
        <w:pStyle w:val="Heading1"/>
      </w:pPr>
      <w:r>
        <w:t xml:space="preserve">3.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in-hospital data collection, in which consent is presumed unless actively declined. We will obtain informed consent for out of hospital follow up. Patients who are unconscious or lack a legally authorized representative will be included under a waiver of informed consent.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w:t>
      </w:r>
    </w:p>
    <w:p>
      <w:pPr>
        <w:pStyle w:val="BodyText"/>
      </w:pPr>
      <w:r>
        <w:rPr>
          <w:bCs/>
          <w:b/>
        </w:rPr>
        <w:t xml:space="preserve">Trial Period</w:t>
      </w:r>
      <w:r>
        <w:t xml:space="preserve"> </w:t>
      </w:r>
      <w:r>
        <w:t xml:space="preserve">October 1, 2024, to September 30, 2029</w:t>
      </w:r>
    </w:p>
    <w:bookmarkEnd w:id="22"/>
    <w:bookmarkStart w:id="25" w:name="special-considerations"/>
    <w:p>
      <w:pPr>
        <w:pStyle w:val="Heading1"/>
      </w:pPr>
      <w:r>
        <w:t xml:space="preserve">4. Special considerations</w:t>
      </w:r>
    </w:p>
    <w:bookmarkStart w:id="23" w:name="funding"/>
    <w:p>
      <w:pPr>
        <w:pStyle w:val="Heading2"/>
      </w:pPr>
      <w:r>
        <w:t xml:space="preserve">4.1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3"/>
    <w:bookmarkStart w:id="24" w:name="potential-amendments"/>
    <w:p>
      <w:pPr>
        <w:pStyle w:val="Heading2"/>
      </w:pPr>
      <w:r>
        <w:t xml:space="preserve">4.2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24"/>
    <w:bookmarkEnd w:id="25"/>
    <w:bookmarkStart w:id="34" w:name="sec-trial-organisation"/>
    <w:p>
      <w:pPr>
        <w:pStyle w:val="Heading1"/>
      </w:pPr>
      <w:r>
        <w:t xml:space="preserve">5. Trial organisation overview</w:t>
      </w:r>
    </w:p>
    <w:tbl>
      <w:tblPr>
        <w:tblStyle w:val="Table"/>
        <w:tblW w:type="pct" w:w="5000"/>
        <w:tblLook w:firstRow="0" w:lastRow="0" w:firstColumn="0" w:lastColumn="0" w:noHBand="0" w:noVBand="0" w:val="0000"/>
        <w:jc w:val="start"/>
      </w:tblPr>
      <w:tblGrid>
        <w:gridCol w:w="7920"/>
      </w:tblGrid>
      <w:tr>
        <w:tc>
          <w:tcPr/>
          <w:bookmarkStart w:id="29" w:name="fig-organisation-overview"/>
          <w:p>
            <w:pPr>
              <w:jc w:val="center"/>
            </w:pPr>
            <w:r>
              <w:drawing>
                <wp:inline>
                  <wp:extent cx="3200400" cy="3312348"/>
                  <wp:effectExtent b="0" l="0" r="0" t="0"/>
                  <wp:docPr descr="" title="" id="27" name="Picture"/>
                  <a:graphic>
                    <a:graphicData uri="http://schemas.openxmlformats.org/drawingml/2006/picture">
                      <pic:pic>
                        <pic:nvPicPr>
                          <pic:cNvPr descr="../../shared-assets/trial-organisation-overview-figure.png" id="28" name="Picture"/>
                          <pic:cNvPicPr>
                            <a:picLocks noChangeArrowheads="1" noChangeAspect="1"/>
                          </pic:cNvPicPr>
                        </pic:nvPicPr>
                        <pic:blipFill>
                          <a:blip r:embed="rId26"/>
                          <a:stretch>
                            <a:fillRect/>
                          </a:stretch>
                        </pic:blipFill>
                        <pic:spPr bwMode="auto">
                          <a:xfrm>
                            <a:off x="0" y="0"/>
                            <a:ext cx="3200400" cy="33123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29"/>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Start w:id="30" w:name="trial-team"/>
    <w:p>
      <w:pPr>
        <w:pStyle w:val="Heading2"/>
      </w:pPr>
      <w:r>
        <w:t xml:space="preserve">5.1 Trial team</w:t>
      </w:r>
    </w:p>
    <w:p>
      <w:pPr>
        <w:pStyle w:val="FirstParagraph"/>
      </w:pPr>
      <w:r>
        <w:rPr>
          <w:bCs/>
          <w:b/>
        </w:rPr>
        <w:t xml:space="preserve">Responsibility</w:t>
      </w:r>
    </w:p>
    <w:p>
      <w:pPr>
        <w:pStyle w:val="BodyText"/>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p>
      <w:pPr>
        <w:pStyle w:val="BodyText"/>
      </w:pPr>
      <w:r>
        <w:rPr>
          <w:bCs/>
          <w:b/>
        </w:rPr>
        <w:t xml:space="preserve">Composition</w:t>
      </w:r>
    </w:p>
    <w:p>
      <w:pPr>
        <w:pStyle w:val="BodyText"/>
      </w:pPr>
      <w:r>
        <w:t xml:space="preserve">Includes the project manager, clinical research associates, principal investigator and co-investigators as needed.</w:t>
      </w:r>
    </w:p>
    <w:p>
      <w:pPr>
        <w:pStyle w:val="BodyText"/>
      </w:pPr>
      <w:r>
        <w:rPr>
          <w:bCs/>
          <w:b/>
        </w:rPr>
        <w:t xml:space="preserve">Relationships</w:t>
      </w:r>
    </w:p>
    <w:p>
      <w:pPr>
        <w:pStyle w:val="BodyText"/>
      </w:pPr>
      <w:r>
        <w:t xml:space="preserve">Reports to the TMG, TSC and DMC. Operationalises decisions made by the TMG.</w:t>
      </w:r>
    </w:p>
    <w:p>
      <w:pPr>
        <w:pStyle w:val="BodyText"/>
      </w:pPr>
      <w:r>
        <w:rPr>
          <w:bCs/>
          <w:b/>
        </w:rPr>
        <w:t xml:space="preserve">Meeting frequencies</w:t>
      </w:r>
    </w:p>
    <w:p>
      <w:pPr>
        <w:pStyle w:val="BodyText"/>
      </w:pPr>
      <w:r>
        <w:t xml:space="preserve">As often as needed, often weekly or bi-weekly.</w:t>
      </w:r>
    </w:p>
    <w:bookmarkEnd w:id="30"/>
    <w:bookmarkStart w:id="31" w:name="trial-management-group-tmg"/>
    <w:p>
      <w:pPr>
        <w:pStyle w:val="Heading2"/>
      </w:pPr>
      <w:r>
        <w:t xml:space="preserve">5.2 Trial Management Group (TMG)</w:t>
      </w:r>
    </w:p>
    <w:p>
      <w:pPr>
        <w:pStyle w:val="FirstParagraph"/>
      </w:pPr>
      <w:r>
        <w:rPr>
          <w:bCs/>
          <w:b/>
        </w:rPr>
        <w:t xml:space="preserve">Responsibility</w:t>
      </w:r>
    </w:p>
    <w:p>
      <w:pPr>
        <w:pStyle w:val="BodyText"/>
      </w:pPr>
      <w:r>
        <w:t xml:space="preserve">To manage the trial, including its clinical and practical aspects.</w:t>
      </w:r>
    </w:p>
    <w:p>
      <w:pPr>
        <w:pStyle w:val="BodyText"/>
      </w:pPr>
      <w:r>
        <w:rPr>
          <w:bCs/>
          <w:b/>
        </w:rPr>
        <w:t xml:space="preserve">Composition</w:t>
      </w:r>
    </w:p>
    <w:p>
      <w:pPr>
        <w:pStyle w:val="BodyText"/>
      </w:pPr>
      <w:r>
        <w:t xml:space="preserve">Includes members with broad expertise appropriate to the trial. The TMG will be chaired by the Principal Investigator.</w:t>
      </w:r>
    </w:p>
    <w:p>
      <w:pPr>
        <w:pStyle w:val="BodyText"/>
      </w:pPr>
      <w:r>
        <w:rPr>
          <w:bCs/>
          <w:b/>
        </w:rPr>
        <w:t xml:space="preserve">Relationships</w:t>
      </w:r>
    </w:p>
    <w:p>
      <w:pPr>
        <w:pStyle w:val="BodyText"/>
      </w:pPr>
      <w:r>
        <w:t xml:space="preserve">Receives reports from TT. Provides input to the TSC and DMC. Implements decisions made by the TSC.</w:t>
      </w:r>
    </w:p>
    <w:p>
      <w:pPr>
        <w:pStyle w:val="BodyText"/>
      </w:pPr>
      <w:r>
        <w:rPr>
          <w:bCs/>
          <w:b/>
        </w:rPr>
        <w:t xml:space="preserve">Meeting frequencies</w:t>
      </w:r>
    </w:p>
    <w:p>
      <w:pPr>
        <w:pStyle w:val="BodyText"/>
      </w:pPr>
      <w:r>
        <w:t xml:space="preserve">Monthly to every six months.</w:t>
      </w:r>
    </w:p>
    <w:bookmarkEnd w:id="31"/>
    <w:bookmarkStart w:id="32" w:name="trial-steering-committee-tsc"/>
    <w:p>
      <w:pPr>
        <w:pStyle w:val="Heading2"/>
      </w:pPr>
      <w:r>
        <w:t xml:space="preserve">5.3 Trial Steering Committee (TSC)</w:t>
      </w:r>
    </w:p>
    <w:p>
      <w:pPr>
        <w:pStyle w:val="FirstParagraph"/>
      </w:pPr>
      <w:r>
        <w:rPr>
          <w:bCs/>
          <w:b/>
        </w:rPr>
        <w:t xml:space="preserve">Responsibility</w:t>
      </w:r>
    </w:p>
    <w:p>
      <w:pPr>
        <w:pStyle w:val="BodyText"/>
      </w:pPr>
      <w:r>
        <w:t xml:space="preserve">The TSC’s responsibility is to oversee the trial and offer guidance to the TMG.</w:t>
      </w:r>
    </w:p>
    <w:p>
      <w:pPr>
        <w:pStyle w:val="BodyText"/>
      </w:pPr>
      <w:r>
        <w:rPr>
          <w:bCs/>
          <w:b/>
        </w:rPr>
        <w:t xml:space="preserve">Composition</w:t>
      </w:r>
    </w:p>
    <w:p>
      <w:pPr>
        <w:pStyle w:val="BodyText"/>
      </w:pPr>
      <w:r>
        <w:t xml:space="preserve">A majority of independent members, including a chair, and a minority of members with a direct interest in the trial, including the principal investigator. The chair should be independent of the trial, the sponsor, and the coordinator.</w:t>
      </w:r>
    </w:p>
    <w:p>
      <w:pPr>
        <w:pStyle w:val="BodyText"/>
      </w:pPr>
      <w:r>
        <w:rPr>
          <w:bCs/>
          <w:b/>
        </w:rPr>
        <w:t xml:space="preserve">Relationships</w:t>
      </w:r>
    </w:p>
    <w:p>
      <w:pPr>
        <w:pStyle w:val="BodyText"/>
      </w:pPr>
      <w:r>
        <w:t xml:space="preserve">Receives reports from the trial team and DMC.</w:t>
      </w:r>
    </w:p>
    <w:p>
      <w:pPr>
        <w:pStyle w:val="BodyText"/>
      </w:pPr>
      <w:r>
        <w:rPr>
          <w:bCs/>
          <w:b/>
        </w:rPr>
        <w:t xml:space="preserve">Meeting frequencies</w:t>
      </w:r>
    </w:p>
    <w:p>
      <w:pPr>
        <w:pStyle w:val="BodyText"/>
      </w:pPr>
      <w:r>
        <w:t xml:space="preserve">Yearly, but may be more frequent if needed.</w:t>
      </w:r>
    </w:p>
    <w:bookmarkEnd w:id="32"/>
    <w:bookmarkStart w:id="33" w:name="data-monitoring-committee-dmc"/>
    <w:p>
      <w:pPr>
        <w:pStyle w:val="Heading2"/>
      </w:pPr>
      <w:r>
        <w:t xml:space="preserve">5.4 Data Monitoring Committee (DMC)</w:t>
      </w:r>
    </w:p>
    <w:p>
      <w:pPr>
        <w:pStyle w:val="FirstParagraph"/>
      </w:pPr>
      <w:r>
        <w:rPr>
          <w:bCs/>
          <w:b/>
        </w:rPr>
        <w:t xml:space="preserve">Responsibility</w:t>
      </w:r>
    </w:p>
    <w:p>
      <w:pPr>
        <w:pStyle w:val="BodyText"/>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p>
      <w:pPr>
        <w:pStyle w:val="BodyText"/>
      </w:pPr>
      <w:r>
        <w:rPr>
          <w:bCs/>
          <w:b/>
        </w:rPr>
        <w:t xml:space="preserve">Composition</w:t>
      </w:r>
    </w:p>
    <w:p>
      <w:pPr>
        <w:pStyle w:val="BodyText"/>
      </w:pPr>
      <w:r>
        <w:t xml:space="preserve">Four external experts specializing in clinical trial management, biostatistics, medical ethics, and the pertinent clinical area.</w:t>
      </w:r>
    </w:p>
    <w:p>
      <w:pPr>
        <w:pStyle w:val="BodyText"/>
      </w:pPr>
      <w:r>
        <w:rPr>
          <w:bCs/>
          <w:b/>
        </w:rPr>
        <w:t xml:space="preserve">Relationships</w:t>
      </w:r>
    </w:p>
    <w:p>
      <w:pPr>
        <w:pStyle w:val="BodyText"/>
      </w:pPr>
      <w:r>
        <w:t xml:space="preserve">Reports to the TSC. Receives reports from the TT.</w:t>
      </w:r>
    </w:p>
    <w:p>
      <w:pPr>
        <w:pStyle w:val="BodyText"/>
      </w:pPr>
      <w:r>
        <w:rPr>
          <w:bCs/>
          <w:b/>
        </w:rPr>
        <w:t xml:space="preserve">Meeting frequencies</w:t>
      </w:r>
    </w:p>
    <w:p>
      <w:pPr>
        <w:pStyle w:val="BodyText"/>
      </w:pPr>
      <w:r>
        <w:t xml:space="preserve">After the completion of each batch, but may be more frequent if needed.</w:t>
      </w:r>
    </w:p>
    <w:bookmarkEnd w:id="33"/>
    <w:bookmarkEnd w:id="34"/>
    <w:bookmarkStart w:id="35" w:name="roles-and-responsibilities"/>
    <w:p>
      <w:pPr>
        <w:pStyle w:val="Heading1"/>
      </w:pPr>
      <w:r>
        <w:t xml:space="preserve">6. Roles and responsibilities</w:t>
      </w:r>
    </w:p>
    <w:p>
      <w:pPr>
        <w:pStyle w:val="FirstParagraph"/>
      </w:pPr>
      <w:r>
        <w:t xml:space="preserve">To role of the TMG is to manage the trial, including the clinical and practical aspects. The specific roles of the TMG members will be to:</w:t>
      </w:r>
    </w:p>
    <w:p>
      <w:pPr>
        <w:numPr>
          <w:ilvl w:val="0"/>
          <w:numId w:val="1001"/>
        </w:numPr>
        <w:pStyle w:val="Compact"/>
      </w:pPr>
      <w:r>
        <w:t xml:space="preserve">attend TMG meetings and advise on availability for future TMG meetings;</w:t>
      </w:r>
    </w:p>
    <w:p>
      <w:pPr>
        <w:numPr>
          <w:ilvl w:val="0"/>
          <w:numId w:val="1001"/>
        </w:numPr>
        <w:pStyle w:val="Compact"/>
      </w:pPr>
      <w:r>
        <w:t xml:space="preserve">input into and comment on the protocol and case report forms;</w:t>
      </w:r>
    </w:p>
    <w:p>
      <w:pPr>
        <w:numPr>
          <w:ilvl w:val="0"/>
          <w:numId w:val="1001"/>
        </w:numPr>
        <w:pStyle w:val="Compact"/>
      </w:pPr>
      <w:r>
        <w:t xml:space="preserve">allow contact details to be included in this TMG charter;</w:t>
      </w:r>
    </w:p>
    <w:p>
      <w:pPr>
        <w:numPr>
          <w:ilvl w:val="0"/>
          <w:numId w:val="1001"/>
        </w:numPr>
        <w:pStyle w:val="Compact"/>
      </w:pPr>
      <w:r>
        <w:t xml:space="preserve">promote the trial;</w:t>
      </w:r>
    </w:p>
    <w:p>
      <w:pPr>
        <w:numPr>
          <w:ilvl w:val="0"/>
          <w:numId w:val="1001"/>
        </w:numPr>
        <w:pStyle w:val="Compact"/>
      </w:pPr>
      <w:r>
        <w:t xml:space="preserve">screen hospitals and clusters for participation in the trial;</w:t>
      </w:r>
    </w:p>
    <w:p>
      <w:pPr>
        <w:numPr>
          <w:ilvl w:val="0"/>
          <w:numId w:val="1001"/>
        </w:numPr>
        <w:pStyle w:val="Compact"/>
      </w:pPr>
      <w:r>
        <w:t xml:space="preserve">develop strategies to encourage inclusion of patient participants and address any issues with inclusion at each trial centre;</w:t>
      </w:r>
    </w:p>
    <w:p>
      <w:pPr>
        <w:numPr>
          <w:ilvl w:val="0"/>
          <w:numId w:val="1001"/>
        </w:numPr>
        <w:pStyle w:val="Compact"/>
      </w:pPr>
      <w:r>
        <w:t xml:space="preserve">be involved in the day-to-day running of the trial by supporting the Trial Team;</w:t>
      </w:r>
    </w:p>
    <w:p>
      <w:pPr>
        <w:numPr>
          <w:ilvl w:val="0"/>
          <w:numId w:val="1001"/>
        </w:numPr>
        <w:pStyle w:val="Compact"/>
      </w:pPr>
      <w:r>
        <w:t xml:space="preserve">maintain confidentiality of any trial information that is not in the public domain;</w:t>
      </w:r>
    </w:p>
    <w:p>
      <w:pPr>
        <w:numPr>
          <w:ilvl w:val="0"/>
          <w:numId w:val="1001"/>
        </w:numPr>
        <w:pStyle w:val="Compact"/>
      </w:pPr>
      <w:r>
        <w:t xml:space="preserve">respond to trial correspondence and any questions in a timely fashion;</w:t>
      </w:r>
    </w:p>
    <w:p>
      <w:pPr>
        <w:numPr>
          <w:ilvl w:val="0"/>
          <w:numId w:val="1001"/>
        </w:numPr>
        <w:pStyle w:val="Compact"/>
      </w:pPr>
      <w:r>
        <w:t xml:space="preserve">encourage completion of case report forms (CRFs) and monitor reported CRF completion rates;</w:t>
      </w:r>
    </w:p>
    <w:p>
      <w:pPr>
        <w:numPr>
          <w:ilvl w:val="0"/>
          <w:numId w:val="1001"/>
        </w:numPr>
        <w:pStyle w:val="Compact"/>
      </w:pPr>
      <w:r>
        <w:t xml:space="preserve">monitor and assess safety events;</w:t>
      </w:r>
    </w:p>
    <w:p>
      <w:pPr>
        <w:numPr>
          <w:ilvl w:val="0"/>
          <w:numId w:val="1001"/>
        </w:numPr>
        <w:pStyle w:val="Compact"/>
      </w:pPr>
      <w:r>
        <w:t xml:space="preserve">input into the meetings of the Trial Steering Committee (TSC), if appropriate;</w:t>
      </w:r>
    </w:p>
    <w:p>
      <w:pPr>
        <w:numPr>
          <w:ilvl w:val="0"/>
          <w:numId w:val="1001"/>
        </w:numPr>
        <w:pStyle w:val="Compact"/>
      </w:pPr>
      <w:r>
        <w:t xml:space="preserve">input into the meetings of the Data Monitoring Committee (DMC), when appropriate;</w:t>
      </w:r>
    </w:p>
    <w:p>
      <w:pPr>
        <w:numPr>
          <w:ilvl w:val="0"/>
          <w:numId w:val="1001"/>
        </w:numPr>
        <w:pStyle w:val="Compact"/>
      </w:pPr>
      <w:r>
        <w:t xml:space="preserve">provide responses to any issues or concerns raised by TSC;</w:t>
      </w:r>
    </w:p>
    <w:p>
      <w:pPr>
        <w:numPr>
          <w:ilvl w:val="0"/>
          <w:numId w:val="1001"/>
        </w:numPr>
        <w:pStyle w:val="Compact"/>
      </w:pPr>
      <w:r>
        <w:t xml:space="preserve">consider the implications of any recommendations made by the DMC and accepted by the TSC;</w:t>
      </w:r>
    </w:p>
    <w:p>
      <w:pPr>
        <w:numPr>
          <w:ilvl w:val="0"/>
          <w:numId w:val="1001"/>
        </w:numPr>
        <w:pStyle w:val="Compact"/>
      </w:pPr>
      <w:r>
        <w:t xml:space="preserve">be aware of accumulating external evidence and assess its impact and relevance; and</w:t>
      </w:r>
    </w:p>
    <w:p>
      <w:pPr>
        <w:numPr>
          <w:ilvl w:val="0"/>
          <w:numId w:val="1001"/>
        </w:numPr>
        <w:pStyle w:val="Compact"/>
      </w:pPr>
      <w:r>
        <w:t xml:space="preserve">input into the interpretation and writing up of the trial results.</w:t>
      </w:r>
    </w:p>
    <w:bookmarkEnd w:id="35"/>
    <w:bookmarkStart w:id="36" w:name="before-or-early-in-the-trial"/>
    <w:p>
      <w:pPr>
        <w:pStyle w:val="Heading1"/>
      </w:pPr>
      <w:r>
        <w:t xml:space="preserve">7. Before or early in the trial</w:t>
      </w:r>
    </w:p>
    <w:p>
      <w:pPr>
        <w:pStyle w:val="FirstParagraph"/>
      </w:pPr>
      <w:r>
        <w:t xml:space="preserve">The TMG will finalise the protcol and screen hospitals and clusters for participation in the trial.</w:t>
      </w:r>
    </w:p>
    <w:p>
      <w:pPr>
        <w:pStyle w:val="BodyText"/>
      </w:pPr>
      <w:r>
        <w:t xml:space="preserve">TMG members will not formally sign a contract.</w:t>
      </w:r>
    </w:p>
    <w:bookmarkEnd w:id="36"/>
    <w:bookmarkStart w:id="37" w:name="composition"/>
    <w:p>
      <w:pPr>
        <w:pStyle w:val="Heading1"/>
      </w:pPr>
      <w:r>
        <w:t xml:space="preserve">8. Composition</w:t>
      </w:r>
    </w:p>
    <w:p>
      <w:pPr>
        <w:pStyle w:val="FirstParagraph"/>
      </w:pPr>
      <w:r>
        <w:t xml:space="preserve">TMG members will provide broad expertise appropriate to the trial. The TMG will be chaired by the Principal Investigator. The Principal Investigator is also a member of the TSC and must attend all TSC meetings. The Principal Investigator should be available to attend DMC meetings. The other TMG members will not usually be expected to routinely attend TSC or DMC meetings but may attend sessions when necessary and appropriate. The vice-Chair will assume the responsibilities of the Chair when the Chair is not available.</w:t>
      </w:r>
    </w:p>
    <w:p>
      <w:pPr>
        <w:pStyle w:val="BodyText"/>
      </w:pPr>
      <w:r>
        <w:t xml:space="preserve">The TMG includes the following members, in alphabetical order by surname, with their roles and affiliations:</w:t>
      </w:r>
    </w:p>
    <w:p>
      <w:pPr>
        <w:pStyle w:val="BodyText"/>
      </w:pPr>
      <w:r>
        <w:rPr>
          <w:bCs/>
          <w:b/>
        </w:rPr>
        <w:t xml:space="preserve">Anurag Mishra</w:t>
      </w:r>
    </w:p>
    <w:p>
      <w:pPr>
        <w:pStyle w:val="BodyText"/>
      </w:pPr>
      <w:r>
        <w:rPr>
          <w:iCs/>
          <w:i/>
        </w:rPr>
        <w:t xml:space="preserve">Professor of surgery</w:t>
      </w:r>
    </w:p>
    <w:p>
      <w:pPr>
        <w:pStyle w:val="BodyText"/>
      </w:pPr>
      <w:r>
        <w:t xml:space="preserve">Department of Surgery, Maulana Azad Medical College, India.</w:t>
      </w:r>
    </w:p>
    <w:p>
      <w:pPr>
        <w:pStyle w:val="BodyText"/>
      </w:pPr>
      <w:r>
        <w:rPr>
          <w:bCs/>
          <w:b/>
        </w:rPr>
        <w:t xml:space="preserve">Debojit Basak</w:t>
      </w:r>
    </w:p>
    <w:p>
      <w:pPr>
        <w:pStyle w:val="BodyText"/>
      </w:pPr>
      <w:r>
        <w:rPr>
          <w:iCs/>
          <w:i/>
        </w:rPr>
        <w:t xml:space="preserve">Project Research Scientist</w:t>
      </w:r>
    </w:p>
    <w:p>
      <w:pPr>
        <w:pStyle w:val="BodyText"/>
      </w:pPr>
      <w:r>
        <w:t xml:space="preserve">Institute of Post Graduate Medical Education &amp; Research and Seth Sukhlal Karnani Memorial Hospital, India</w:t>
      </w:r>
    </w:p>
    <w:p>
      <w:pPr>
        <w:pStyle w:val="BodyText"/>
      </w:pPr>
      <w:r>
        <w:rPr>
          <w:bCs/>
          <w:b/>
        </w:rPr>
        <w:t xml:space="preserve">Abhinav Bassi</w:t>
      </w:r>
    </w:p>
    <w:p>
      <w:pPr>
        <w:pStyle w:val="BodyText"/>
      </w:pPr>
      <w:r>
        <w:rPr>
          <w:iCs/>
          <w:i/>
        </w:rPr>
        <w:t xml:space="preserve">Senior Research Fellow and Operations Lead</w:t>
      </w:r>
    </w:p>
    <w:p>
      <w:pPr>
        <w:pStyle w:val="BodyText"/>
      </w:pPr>
      <w:r>
        <w:t xml:space="preserve">The George Institute for Global Health, India</w:t>
      </w:r>
    </w:p>
    <w:p>
      <w:pPr>
        <w:pStyle w:val="BodyText"/>
      </w:pPr>
      <w:r>
        <w:rPr>
          <w:bCs/>
          <w:b/>
        </w:rPr>
        <w:t xml:space="preserve">Johanna Berg</w:t>
      </w:r>
    </w:p>
    <w:p>
      <w:pPr>
        <w:pStyle w:val="BodyText"/>
      </w:pPr>
      <w:r>
        <w:rPr>
          <w:iCs/>
          <w:i/>
        </w:rPr>
        <w:t xml:space="preserve">Doctoral student and emergency physician</w:t>
      </w:r>
    </w:p>
    <w:p>
      <w:pPr>
        <w:numPr>
          <w:ilvl w:val="0"/>
          <w:numId w:val="1002"/>
        </w:numPr>
        <w:pStyle w:val="Compact"/>
      </w:pPr>
      <w:r>
        <w:t xml:space="preserve">Department of Global Public Health, Karolinska Institutet, Sweden</w:t>
      </w:r>
    </w:p>
    <w:p>
      <w:pPr>
        <w:numPr>
          <w:ilvl w:val="0"/>
          <w:numId w:val="1002"/>
        </w:numPr>
        <w:pStyle w:val="Compact"/>
      </w:pPr>
      <w:r>
        <w:t xml:space="preserve">Department of Emergency and Internal Medicine, Skane University Hospital, Sweden</w:t>
      </w:r>
    </w:p>
    <w:p>
      <w:pPr>
        <w:pStyle w:val="FirstParagraph"/>
      </w:pPr>
      <w:r>
        <w:rPr>
          <w:bCs/>
          <w:b/>
        </w:rPr>
        <w:t xml:space="preserve">Shamita Chatterjee</w:t>
      </w:r>
    </w:p>
    <w:p>
      <w:pPr>
        <w:pStyle w:val="BodyText"/>
      </w:pPr>
      <w:r>
        <w:rPr>
          <w:iCs/>
          <w:i/>
        </w:rPr>
        <w:t xml:space="preserve">Professor of surgery</w:t>
      </w:r>
    </w:p>
    <w:p>
      <w:pPr>
        <w:pStyle w:val="BodyText"/>
      </w:pPr>
      <w:r>
        <w:t xml:space="preserve">Department of Surgery, Institute of Post Graduate Medical Education &amp; Research and Seth Sukhlal Karnani Memorial Hospital, India</w:t>
      </w:r>
    </w:p>
    <w:p>
      <w:pPr>
        <w:pStyle w:val="BodyText"/>
      </w:pPr>
      <w:r>
        <w:rPr>
          <w:bCs/>
          <w:b/>
        </w:rPr>
        <w:t xml:space="preserve">Kapil Dev Soni</w:t>
      </w:r>
    </w:p>
    <w:p>
      <w:pPr>
        <w:pStyle w:val="BodyText"/>
      </w:pPr>
      <w:r>
        <w:rPr>
          <w:iCs/>
          <w:i/>
        </w:rPr>
        <w:t xml:space="preserve">Professor of critical and intensive care</w:t>
      </w:r>
    </w:p>
    <w:p>
      <w:pPr>
        <w:pStyle w:val="BodyText"/>
      </w:pPr>
      <w:r>
        <w:t xml:space="preserve">All India Institute of Medical Sciences, India</w:t>
      </w:r>
    </w:p>
    <w:p>
      <w:pPr>
        <w:pStyle w:val="BodyText"/>
      </w:pPr>
      <w:r>
        <w:rPr>
          <w:bCs/>
          <w:b/>
        </w:rPr>
        <w:t xml:space="preserve">Martin Gerdin Wärnberg</w:t>
      </w:r>
      <w:r>
        <w:t xml:space="preserve"> </w:t>
      </w:r>
      <w:r>
        <w:t xml:space="preserve">(Principal Investigator, Chair)</w:t>
      </w:r>
    </w:p>
    <w:p>
      <w:pPr>
        <w:pStyle w:val="BodyText"/>
      </w:pPr>
      <w:r>
        <w:rPr>
          <w:iCs/>
          <w:i/>
        </w:rPr>
        <w:t xml:space="preserve">Associate professor of clinical epidemiology</w:t>
      </w:r>
    </w:p>
    <w:p>
      <w:pPr>
        <w:numPr>
          <w:ilvl w:val="0"/>
          <w:numId w:val="1003"/>
        </w:numPr>
        <w:pStyle w:val="Compact"/>
      </w:pPr>
      <w:r>
        <w:t xml:space="preserve">Department of Global Public Health, Karolinska Institutet, Sweden</w:t>
      </w:r>
    </w:p>
    <w:p>
      <w:pPr>
        <w:numPr>
          <w:ilvl w:val="0"/>
          <w:numId w:val="1003"/>
        </w:numPr>
        <w:pStyle w:val="Compact"/>
      </w:pPr>
      <w:r>
        <w:t xml:space="preserve">Function Perioperative Medicine and Intensive Care, Karolinska University Hospital, Sweden</w:t>
      </w:r>
    </w:p>
    <w:p>
      <w:pPr>
        <w:pStyle w:val="FirstParagraph"/>
      </w:pPr>
      <w:r>
        <w:rPr>
          <w:bCs/>
          <w:b/>
        </w:rPr>
        <w:t xml:space="preserve">Karla Hemming</w:t>
      </w:r>
    </w:p>
    <w:p>
      <w:pPr>
        <w:pStyle w:val="BodyText"/>
      </w:pPr>
      <w:r>
        <w:rPr>
          <w:iCs/>
          <w:i/>
        </w:rPr>
        <w:t xml:space="preserve">Professor of biostatistics</w:t>
      </w:r>
    </w:p>
    <w:p>
      <w:pPr>
        <w:pStyle w:val="BodyText"/>
      </w:pPr>
      <w:r>
        <w:t xml:space="preserve">Institute of Applied Health Research, University of Birmingham, UK</w:t>
      </w:r>
    </w:p>
    <w:p>
      <w:pPr>
        <w:pStyle w:val="BodyText"/>
      </w:pPr>
      <w:r>
        <w:rPr>
          <w:bCs/>
          <w:b/>
        </w:rPr>
        <w:t xml:space="preserve">Monty Khajanchi</w:t>
      </w:r>
    </w:p>
    <w:p>
      <w:pPr>
        <w:pStyle w:val="BodyText"/>
      </w:pPr>
      <w:r>
        <w:rPr>
          <w:iCs/>
          <w:i/>
        </w:rPr>
        <w:t xml:space="preserve">Assistant professor of surgery</w:t>
      </w:r>
    </w:p>
    <w:p>
      <w:pPr>
        <w:pStyle w:val="BodyText"/>
      </w:pPr>
      <w:r>
        <w:t xml:space="preserve">Department of Surgery, King Edward Memorial Hospital, India</w:t>
      </w:r>
    </w:p>
    <w:p>
      <w:pPr>
        <w:pStyle w:val="BodyText"/>
      </w:pPr>
      <w:r>
        <w:rPr>
          <w:bCs/>
          <w:b/>
        </w:rPr>
        <w:t xml:space="preserve">Vivekanand Jha</w:t>
      </w:r>
    </w:p>
    <w:p>
      <w:pPr>
        <w:pStyle w:val="BodyText"/>
      </w:pPr>
      <w:r>
        <w:rPr>
          <w:iCs/>
          <w:i/>
        </w:rPr>
        <w:t xml:space="preserve">Executive Director</w:t>
      </w:r>
    </w:p>
    <w:p>
      <w:pPr>
        <w:numPr>
          <w:ilvl w:val="0"/>
          <w:numId w:val="1004"/>
        </w:numPr>
        <w:pStyle w:val="Compact"/>
      </w:pPr>
      <w:r>
        <w:t xml:space="preserve">The George Institute for Global Health, India</w:t>
      </w:r>
    </w:p>
    <w:p>
      <w:pPr>
        <w:numPr>
          <w:ilvl w:val="0"/>
          <w:numId w:val="1004"/>
        </w:numPr>
        <w:pStyle w:val="Compact"/>
      </w:pPr>
      <w:r>
        <w:t xml:space="preserve">Faculty of Medicine, Imperial College London, UK</w:t>
      </w:r>
    </w:p>
    <w:p>
      <w:pPr>
        <w:pStyle w:val="FirstParagraph"/>
      </w:pPr>
      <w:r>
        <w:rPr>
          <w:bCs/>
          <w:b/>
        </w:rPr>
        <w:t xml:space="preserve">Samriddhi Ranjan</w:t>
      </w:r>
    </w:p>
    <w:p>
      <w:pPr>
        <w:pStyle w:val="BodyText"/>
      </w:pPr>
      <w:r>
        <w:rPr>
          <w:iCs/>
          <w:i/>
        </w:rPr>
        <w:t xml:space="preserve">Project Manager</w:t>
      </w:r>
    </w:p>
    <w:p>
      <w:pPr>
        <w:pStyle w:val="BodyText"/>
      </w:pPr>
      <w:r>
        <w:t xml:space="preserve">The George Institute for Global Health, India</w:t>
      </w:r>
    </w:p>
    <w:p>
      <w:pPr>
        <w:pStyle w:val="BodyText"/>
      </w:pPr>
      <w:r>
        <w:rPr>
          <w:bCs/>
          <w:b/>
        </w:rPr>
        <w:t xml:space="preserve">Nobhojit Roy</w:t>
      </w:r>
    </w:p>
    <w:p>
      <w:pPr>
        <w:pStyle w:val="BodyText"/>
      </w:pPr>
      <w:r>
        <w:rPr>
          <w:iCs/>
          <w:i/>
        </w:rPr>
        <w:t xml:space="preserve">Honorary Fellow</w:t>
      </w:r>
    </w:p>
    <w:p>
      <w:pPr>
        <w:pStyle w:val="BodyText"/>
      </w:pPr>
      <w:r>
        <w:t xml:space="preserve">The George Institute of Global Health, India</w:t>
      </w:r>
    </w:p>
    <w:p>
      <w:pPr>
        <w:pStyle w:val="BodyText"/>
      </w:pPr>
      <w:r>
        <w:rPr>
          <w:bCs/>
          <w:b/>
        </w:rPr>
        <w:t xml:space="preserve">Rajdeep Singh</w:t>
      </w:r>
    </w:p>
    <w:p>
      <w:pPr>
        <w:pStyle w:val="BodyText"/>
      </w:pPr>
      <w:r>
        <w:rPr>
          <w:iCs/>
          <w:i/>
        </w:rPr>
        <w:t xml:space="preserve">Professor of surgery</w:t>
      </w:r>
    </w:p>
    <w:p>
      <w:pPr>
        <w:pStyle w:val="BodyText"/>
      </w:pPr>
      <w:r>
        <w:t xml:space="preserve">Department of Surgery, Maulana Azad Medical College, India</w:t>
      </w:r>
    </w:p>
    <w:p>
      <w:pPr>
        <w:pStyle w:val="BodyText"/>
      </w:pPr>
      <w:r>
        <w:rPr>
          <w:bCs/>
          <w:b/>
        </w:rPr>
        <w:t xml:space="preserve">Lovisa Strömmer</w:t>
      </w:r>
    </w:p>
    <w:p>
      <w:pPr>
        <w:pStyle w:val="BodyText"/>
      </w:pPr>
      <w:r>
        <w:rPr>
          <w:iCs/>
          <w:i/>
        </w:rPr>
        <w:t xml:space="preserve">Associate professor of surgery and senior consultant</w:t>
      </w:r>
    </w:p>
    <w:p>
      <w:pPr>
        <w:numPr>
          <w:ilvl w:val="0"/>
          <w:numId w:val="1005"/>
        </w:numPr>
        <w:pStyle w:val="Compact"/>
      </w:pPr>
      <w:r>
        <w:t xml:space="preserve">Department of Clinical Science, Intervention and Technology, Karolinska Institutet, Sweden</w:t>
      </w:r>
    </w:p>
    <w:p>
      <w:pPr>
        <w:numPr>
          <w:ilvl w:val="0"/>
          <w:numId w:val="1005"/>
        </w:numPr>
        <w:pStyle w:val="Compact"/>
      </w:pPr>
      <w:r>
        <w:t xml:space="preserve">ME Trauma Emergency surgery, Orthopaedics, Emergency and Reparative Medicine, Karolinska University Hospital, Sweden</w:t>
      </w:r>
    </w:p>
    <w:p>
      <w:pPr>
        <w:pStyle w:val="FirstParagraph"/>
      </w:pPr>
      <w:r>
        <w:rPr>
          <w:bCs/>
          <w:b/>
        </w:rPr>
        <w:t xml:space="preserve">Li Felländer-Tsai</w:t>
      </w:r>
    </w:p>
    <w:p>
      <w:pPr>
        <w:pStyle w:val="BodyText"/>
      </w:pPr>
      <w:r>
        <w:rPr>
          <w:iCs/>
          <w:i/>
        </w:rPr>
        <w:t xml:space="preserve">Professor of orthopaedic surgery</w:t>
      </w:r>
    </w:p>
    <w:p>
      <w:pPr>
        <w:pStyle w:val="BodyText"/>
      </w:pPr>
      <w:r>
        <w:t xml:space="preserve">Department of Clinical Science, Intervention and Technology, Karolinska Institutet, Sweden</w:t>
      </w:r>
    </w:p>
    <w:bookmarkEnd w:id="37"/>
    <w:bookmarkStart w:id="38" w:name="relationships"/>
    <w:p>
      <w:pPr>
        <w:pStyle w:val="Heading1"/>
      </w:pPr>
      <w:r>
        <w:t xml:space="preserve">9. Relationships</w:t>
      </w:r>
    </w:p>
    <w:p>
      <w:pPr>
        <w:pStyle w:val="FirstParagraph"/>
      </w:pPr>
      <w:r>
        <w:t xml:space="preserve">The responsibilities of each trial committee are summarised in</w:t>
      </w:r>
      <w:r>
        <w:t xml:space="preserve"> </w:t>
      </w:r>
      <w:hyperlink w:anchor="sec-trial-organisation">
        <w:r>
          <w:rPr>
            <w:rStyle w:val="Hyperlink"/>
          </w:rPr>
          <w:t xml:space="preserve">Section 5</w:t>
        </w:r>
      </w:hyperlink>
      <w:r>
        <w:t xml:space="preserve"> </w:t>
      </w:r>
      <w:r>
        <w:t xml:space="preserve">and in</w:t>
      </w:r>
      <w:r>
        <w:t xml:space="preserve"> </w:t>
      </w:r>
      <w:hyperlink w:anchor="fig-organisation-overview">
        <w:r>
          <w:rPr>
            <w:rStyle w:val="Hyperlink"/>
          </w:rPr>
          <w:t xml:space="preserve">Figure 1</w:t>
        </w:r>
      </w:hyperlink>
      <w:r>
        <w:t xml:space="preserve">.</w:t>
      </w:r>
    </w:p>
    <w:bookmarkEnd w:id="38"/>
    <w:bookmarkStart w:id="39" w:name="organisation-of-meetings"/>
    <w:p>
      <w:pPr>
        <w:pStyle w:val="Heading1"/>
      </w:pPr>
      <w:r>
        <w:t xml:space="preserve">10. Organisation of meetings</w:t>
      </w:r>
    </w:p>
    <w:p>
      <w:pPr>
        <w:pStyle w:val="FirstParagraph"/>
      </w:pPr>
      <w:r>
        <w:t xml:space="preserve">The TMG will meet monthly to every six months, depending on the intensity of the trial. It is expected that more meetings are required early and late in the trial. The meetings will be primarily virtual and will be organised by the trial team. On all issues, every effort should be made to achieve consensus. The role of the Chair is to summarise discussions and encourage consensus; it is therefore best for the Chair to give their own opinion last. The TMG is quorate if the Chair and at least four other members are present.</w:t>
      </w:r>
    </w:p>
    <w:p>
      <w:pPr>
        <w:pStyle w:val="BodyText"/>
      </w:pPr>
      <w:r>
        <w:t xml:space="preserve">Members will be expected to send apologies in advance of any meeting they cannot attend. If a member neither attends nor sends apologies for a meeting, every effort will be made to ensure their availability for the next meeting. If a member does not attend nor send apologies for the following meeting, they will be asked if they wish to remain part of the TMG. If a member does not attend a third meeting in a row, they will be removed from the TMG, unless there are particular extenuating circumstances.</w:t>
      </w:r>
    </w:p>
    <w:bookmarkEnd w:id="39"/>
    <w:bookmarkStart w:id="40" w:name="reporting"/>
    <w:p>
      <w:pPr>
        <w:pStyle w:val="Heading1"/>
      </w:pPr>
      <w:r>
        <w:t xml:space="preserve">11. Reporting</w:t>
      </w:r>
    </w:p>
    <w:p>
      <w:pPr>
        <w:pStyle w:val="FirstParagraph"/>
      </w:pPr>
      <w:r>
        <w:t xml:space="preserve">The TMG will be provided with reports of inclusion rates baseline characteristics, follow-up rates, CRF return and completeness rates, and safety data. The TMG will also be provided with reports of any other relevant information, such as external evidence that may impact on the trial.</w:t>
      </w:r>
    </w:p>
    <w:p>
      <w:pPr>
        <w:pStyle w:val="BodyText"/>
      </w:pPr>
      <w:r>
        <w:t xml:space="preserve">A standard report template will be used to provide information to the TSC. Additional information may be sent from the TMG to the TSC by writing via the TSC Facilitator. A short summary of each meeting with any action points clearly marked will be made. The TMG Chair will sign off these notes. The notes will be kept by the Sponsor and Coordinator.</w:t>
      </w:r>
    </w:p>
    <w:p>
      <w:pPr>
        <w:pStyle w:val="BodyText"/>
      </w:pPr>
      <w:r>
        <w:t xml:space="preserve">The TSC is the oversight body for the trial. If the TMG has serious problems or concerns with a TSC decision a meeting of these groups will be held. The information to be shown would depend upon the action proposed and the TSC’s or TMG’s concerns.</w:t>
      </w:r>
    </w:p>
    <w:p>
      <w:pPr>
        <w:pStyle w:val="BodyText"/>
      </w:pPr>
      <w:r>
        <w:t xml:space="preserve">Depending on the reason for the disagreement particularly sensitive trial data may have to be revealed to all or some of those attending such a meeting. The meeting would be Chaired by the DMC Chair or an external expert who is not directly involved with the trial.</w:t>
      </w:r>
    </w:p>
    <w:bookmarkEnd w:id="40"/>
    <w:bookmarkStart w:id="44" w:name="decision-making"/>
    <w:p>
      <w:pPr>
        <w:pStyle w:val="Heading1"/>
      </w:pPr>
      <w:r>
        <w:t xml:space="preserve">12. Decision-making</w:t>
      </w:r>
    </w:p>
    <w:p>
      <w:pPr>
        <w:pStyle w:val="FirstParagraph"/>
      </w:pPr>
      <w:r>
        <w:t xml:space="preserve">The TMG is responsible for the day-to-day running of the trial and can make decisions appropriate to this role. However, the TSC is the oversight body for the trial.</w:t>
      </w:r>
    </w:p>
    <w:bookmarkStart w:id="41" w:name="tmg-to-tsc"/>
    <w:p>
      <w:pPr>
        <w:pStyle w:val="Heading2"/>
      </w:pPr>
      <w:r>
        <w:t xml:space="preserve">12.1 TMG to TSC</w:t>
      </w:r>
    </w:p>
    <w:p>
      <w:pPr>
        <w:pStyle w:val="FirstParagraph"/>
      </w:pPr>
      <w:r>
        <w:t xml:space="preserve">The TMG should refer to the TSC in some instances. The following are examples:</w:t>
      </w:r>
    </w:p>
    <w:p>
      <w:pPr>
        <w:numPr>
          <w:ilvl w:val="0"/>
          <w:numId w:val="1006"/>
        </w:numPr>
        <w:pStyle w:val="Compact"/>
      </w:pPr>
      <w:r>
        <w:t xml:space="preserve">Request for additional interim analyses owing to concerns raised by external evidence;</w:t>
      </w:r>
    </w:p>
    <w:p>
      <w:pPr>
        <w:numPr>
          <w:ilvl w:val="0"/>
          <w:numId w:val="1006"/>
        </w:numPr>
        <w:pStyle w:val="Compact"/>
      </w:pPr>
      <w:r>
        <w:t xml:space="preserve">Stopping inclusion due to slow inclusion;</w:t>
      </w:r>
    </w:p>
    <w:p>
      <w:pPr>
        <w:numPr>
          <w:ilvl w:val="0"/>
          <w:numId w:val="1006"/>
        </w:numPr>
        <w:pStyle w:val="Compact"/>
      </w:pPr>
      <w:r>
        <w:t xml:space="preserve">Modifying target inclusion, or pre-analysis follow-up, based on any change to the assumptions underlying the original trial sample size calculation (but not on any emerging differences);</w:t>
      </w:r>
    </w:p>
    <w:p>
      <w:pPr>
        <w:numPr>
          <w:ilvl w:val="0"/>
          <w:numId w:val="1006"/>
        </w:numPr>
        <w:pStyle w:val="Compact"/>
      </w:pPr>
      <w:r>
        <w:t xml:space="preserve">Proposing substantial changes to the protocol, patient information sheet, eligibility criteria and other trial documentation; and</w:t>
      </w:r>
    </w:p>
    <w:p>
      <w:pPr>
        <w:numPr>
          <w:ilvl w:val="0"/>
          <w:numId w:val="1006"/>
        </w:numPr>
        <w:pStyle w:val="Compact"/>
      </w:pPr>
      <w:r>
        <w:t xml:space="preserve">Request for endorsement for the early presentation of results.</w:t>
      </w:r>
    </w:p>
    <w:bookmarkEnd w:id="41"/>
    <w:bookmarkStart w:id="42" w:name="tmg-to-dmc"/>
    <w:p>
      <w:pPr>
        <w:pStyle w:val="Heading2"/>
      </w:pPr>
      <w:r>
        <w:t xml:space="preserve">12.2 TMG to DMC</w:t>
      </w:r>
    </w:p>
    <w:p>
      <w:pPr>
        <w:pStyle w:val="FirstParagraph"/>
      </w:pPr>
      <w:r>
        <w:t xml:space="preserve">The TMG can make recommendations to the DMC. Possible recommendations from the TMG to the IDMC could include:</w:t>
      </w:r>
    </w:p>
    <w:p>
      <w:pPr>
        <w:numPr>
          <w:ilvl w:val="0"/>
          <w:numId w:val="1007"/>
        </w:numPr>
        <w:pStyle w:val="Compact"/>
      </w:pPr>
      <w:r>
        <w:t xml:space="preserve">Proposal of extra analyses for review by IDMC; and</w:t>
      </w:r>
    </w:p>
    <w:p>
      <w:pPr>
        <w:numPr>
          <w:ilvl w:val="0"/>
          <w:numId w:val="1007"/>
        </w:numPr>
        <w:pStyle w:val="Compact"/>
      </w:pPr>
      <w:r>
        <w:t xml:space="preserve">Addition of new trial sites.</w:t>
      </w:r>
    </w:p>
    <w:bookmarkEnd w:id="42"/>
    <w:bookmarkStart w:id="43" w:name="tmg-alone"/>
    <w:p>
      <w:pPr>
        <w:pStyle w:val="Heading2"/>
      </w:pPr>
      <w:r>
        <w:t xml:space="preserve">12.3 TMG alone</w:t>
      </w:r>
    </w:p>
    <w:p>
      <w:pPr>
        <w:pStyle w:val="FirstParagraph"/>
      </w:pPr>
      <w:r>
        <w:t xml:space="preserve">Without referral to other committees, the TMG can:</w:t>
      </w:r>
    </w:p>
    <w:p>
      <w:pPr>
        <w:numPr>
          <w:ilvl w:val="0"/>
          <w:numId w:val="1008"/>
        </w:numPr>
        <w:pStyle w:val="Compact"/>
      </w:pPr>
      <w:r>
        <w:t xml:space="preserve">Propose strategies for dealing with poor inclusion rates, data quality or compliance with CRFs and/or follow-up schedules according to consistency checks or site monitoring reports.</w:t>
      </w:r>
    </w:p>
    <w:bookmarkEnd w:id="43"/>
    <w:bookmarkEnd w:id="44"/>
    <w:bookmarkStart w:id="45" w:name="after-the-trial"/>
    <w:p>
      <w:pPr>
        <w:pStyle w:val="Heading1"/>
      </w:pPr>
      <w:r>
        <w:t xml:space="preserve">13. After the trial</w:t>
      </w:r>
    </w:p>
    <w:p>
      <w:pPr>
        <w:pStyle w:val="FirstParagraph"/>
      </w:pPr>
      <w:r>
        <w:t xml:space="preserve">At the end of the trial there will be meetings of the TMG to discuss the final data. The core of the Writing Committee will be drawn from the TMG. TMG members will promptly return comments on any circulated drafts. The DMC and TSC members may be invited to give advice about data presentation and interpretation. Regardless of the authorship policy of the trial, TMG members will be named and their affiliations listed in the main report, unless they explicitly request otherwise.</w:t>
      </w:r>
    </w:p>
    <w:bookmarkEnd w:id="45"/>
    <w:bookmarkStart w:id="46" w:name="amendments"/>
    <w:p>
      <w:pPr>
        <w:pStyle w:val="Heading1"/>
      </w:pPr>
      <w:r>
        <w:t xml:space="preserve">14. Amendments</w:t>
      </w:r>
    </w:p>
    <w:p>
      <w:pPr>
        <w:pStyle w:val="FirstParagraph"/>
      </w:pPr>
      <w:r>
        <w:t xml:space="preserve">Amendments to the TMG Charter will be made by the TMG and approved by the TSC. Amendments to the TMG Charter will be reported to the TSC and DMC.</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2024-03-06T20:28:57Z</dcterms:created>
  <dcterms:modified xsi:type="dcterms:W3CDTF">2024-03-06T20:28:57Z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Management Group Charter (version 3.01)</vt:lpwstr>
  </property>
  <property fmtid="{D5CDD505-2E9C-101B-9397-08002B2CF9AE}" pid="4" name="biblio-config">
    <vt:lpwstr>True</vt:lpwstr>
  </property>
  <property fmtid="{D5CDD505-2E9C-101B-9397-08002B2CF9AE}" pid="5" name="fig-caption">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bibliography">
    <vt:lpwstr>False</vt:lpwstr>
  </property>
  <property fmtid="{D5CDD505-2E9C-101B-9397-08002B2CF9AE}" pid="11" name="subtitle">
    <vt:lpwstr>Trial Management Group Charter Version 0.1.1 2024-03-06</vt:lpwstr>
  </property>
  <property fmtid="{D5CDD505-2E9C-101B-9397-08002B2CF9AE}" pid="12" name="toc-title">
    <vt:lpwstr>Table of contents</vt:lpwstr>
  </property>
</Properties>
</file>