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ATLS®</w:t>
      </w:r>
      <w:r>
        <w:t xml:space="preserve"> </w:t>
      </w:r>
      <w:r>
        <w:t xml:space="preserve">vs</w:t>
      </w:r>
      <w:r>
        <w:t xml:space="preserve"> </w:t>
      </w:r>
      <w:r>
        <w:t xml:space="preserve">standard</w:t>
      </w:r>
      <w:r>
        <w:t xml:space="preserve"> </w:t>
      </w:r>
      <w:r>
        <w:t xml:space="preserve">care</w:t>
      </w:r>
      <w:r>
        <w:t xml:space="preserve"> </w:t>
      </w:r>
      <w:r>
        <w:t xml:space="preserve">trial</w:t>
      </w:r>
    </w:p>
    <w:p>
      <w:pPr>
        <w:pStyle w:val="Subtitle"/>
      </w:pPr>
      <w:r>
        <w:t xml:space="preserve">Trial</w:t>
      </w:r>
      <w:r>
        <w:t xml:space="preserve"> </w:t>
      </w:r>
      <w:r>
        <w:t xml:space="preserve">Management</w:t>
      </w:r>
      <w:r>
        <w:t xml:space="preserve"> </w:t>
      </w:r>
      <w:r>
        <w:t xml:space="preserve">Group</w:t>
      </w:r>
      <w:r>
        <w:t xml:space="preserve"> </w:t>
      </w:r>
      <w:r>
        <w:t xml:space="preserve">meeting,</w:t>
      </w:r>
      <w:r>
        <w:t xml:space="preserve"> </w:t>
      </w:r>
      <w:r>
        <w:t xml:space="preserve">21th</w:t>
      </w:r>
      <w:r>
        <w:t xml:space="preserve"> </w:t>
      </w:r>
      <w:r>
        <w:t xml:space="preserve">August</w:t>
      </w:r>
      <w:r>
        <w:t xml:space="preserve"> </w:t>
      </w:r>
      <w:r>
        <w:t xml:space="preserve">2024</w:t>
      </w:r>
    </w:p>
    <w:bookmarkStart w:id="20" w:name="members-present"/>
    <w:p>
      <w:pPr>
        <w:pStyle w:val="Heading1"/>
      </w:pPr>
      <w:r>
        <w:t xml:space="preserve">Members present</w:t>
      </w:r>
    </w:p>
    <w:bookmarkEnd w:id="20"/>
    <w:bookmarkStart w:id="21" w:name="members-excused"/>
    <w:p>
      <w:pPr>
        <w:pStyle w:val="Heading1"/>
      </w:pPr>
      <w:r>
        <w:t xml:space="preserve">Members excused</w:t>
      </w:r>
    </w:p>
    <w:bookmarkEnd w:id="21"/>
    <w:bookmarkStart w:id="22" w:name="agenda"/>
    <w:p>
      <w:pPr>
        <w:pStyle w:val="Heading1"/>
      </w:pPr>
      <w:r>
        <w:t xml:space="preserve">Agenda</w:t>
      </w:r>
    </w:p>
    <w:p>
      <w:pPr>
        <w:numPr>
          <w:ilvl w:val="0"/>
          <w:numId w:val="1001"/>
        </w:numPr>
      </w:pPr>
      <w:r>
        <w:t xml:space="preserve">Update on ethics and regulatory applications</w:t>
      </w:r>
    </w:p>
    <w:p>
      <w:pPr>
        <w:numPr>
          <w:ilvl w:val="0"/>
          <w:numId w:val="1001"/>
        </w:numPr>
      </w:pPr>
      <w:r>
        <w:t xml:space="preserve">Discussion on how to handle consent for ATLS adherence observations</w:t>
      </w:r>
    </w:p>
    <w:p>
      <w:pPr>
        <w:numPr>
          <w:ilvl w:val="0"/>
          <w:numId w:val="1001"/>
        </w:numPr>
      </w:pPr>
      <w:r>
        <w:t xml:space="preserve">Decision on new protocol version given the discussion on consent (see attached protocol pre-release version 1.2.0-6)</w:t>
      </w:r>
    </w:p>
    <w:p>
      <w:pPr>
        <w:numPr>
          <w:ilvl w:val="0"/>
          <w:numId w:val="1001"/>
        </w:numPr>
      </w:pPr>
      <w:r>
        <w:t xml:space="preserve">Update on joint trial steering and data monitoring committee</w:t>
      </w:r>
    </w:p>
    <w:p>
      <w:pPr>
        <w:numPr>
          <w:ilvl w:val="0"/>
          <w:numId w:val="1001"/>
        </w:numPr>
      </w:pPr>
      <w:r>
        <w:t xml:space="preserve">Additional points</w:t>
      </w:r>
    </w:p>
    <w:bookmarkEnd w:id="22"/>
    <w:bookmarkStart w:id="23" w:name="notes-and-decisions"/>
    <w:p>
      <w:pPr>
        <w:pStyle w:val="Heading1"/>
      </w:pPr>
      <w:r>
        <w:t xml:space="preserve">Notes and decisions</w:t>
      </w:r>
    </w:p>
    <w:bookmarkEnd w:id="23"/>
    <w:sectPr w:rsidR="00E861A4" w:rsidRPr="00D44DC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5B3814"/>
    <w:multiLevelType w:val="hybridMultilevel"/>
    <w:tmpl w:val="1DC8FAE0"/>
    <w:lvl w:ilvl="0" w:tplc="71261DE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2D4966"/>
    <w:multiLevelType w:val="hybridMultilevel"/>
    <w:tmpl w:val="9F5E6C70"/>
    <w:lvl w:ilvl="0" w:tplc="CFC2E7B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17127352" w:numId="1">
    <w:abstractNumId w:val="4"/>
  </w:num>
  <w:num w16cid:durableId="1200438766" w:numId="2">
    <w:abstractNumId w:val="3"/>
  </w:num>
  <w:num w16cid:durableId="270667591" w:numId="3">
    <w:abstractNumId w:val="1"/>
  </w:num>
  <w:num w16cid:durableId="700788477" w:numId="4">
    <w:abstractNumId w:val="7"/>
  </w:num>
  <w:num w16cid:durableId="1954705994" w:numId="5">
    <w:abstractNumId w:val="10"/>
  </w:num>
  <w:num w16cid:durableId="1770272971" w:numId="6">
    <w:abstractNumId w:val="0"/>
  </w:num>
  <w:num w16cid:durableId="129329077" w:numId="7">
    <w:abstractNumId w:val="6"/>
  </w:num>
  <w:num w16cid:durableId="46609189" w:numId="8">
    <w:abstractNumId w:val="8"/>
  </w:num>
  <w:num w16cid:durableId="1303196684" w:numId="9">
    <w:abstractNumId w:val="9"/>
  </w:num>
  <w:num w16cid:durableId="2050762164" w:numId="10">
    <w:abstractNumId w:val="2"/>
  </w:num>
  <w:num w16cid:durableId="1080063562" w:numId="11">
    <w:abstractNumId w:val="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SE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30C62"/>
    <w:rPr>
      <w:rFonts w:ascii="Cambria" w:hAnsi="Cambria"/>
      <w:sz w:val="18"/>
      <w:szCs w:val="18"/>
      <w:lang w:val="en-US"/>
    </w:rPr>
  </w:style>
  <w:style w:styleId="Heading1" w:type="paragraph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cstheme="majorBidi" w:eastAsiaTheme="majorEastAsia" w:hAnsi="Helvetica Neue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styleId="Title" w:type="paragraph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cstheme="majorBidi" w:eastAsiaTheme="majorEastAsia" w:hAnsi="Helvetica Neue Light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CA1AD2"/>
    <w:rPr>
      <w:rFonts w:ascii="Helvetica Neue Light" w:cstheme="majorBidi" w:eastAsiaTheme="majorEastAsia" w:hAnsi="Helvetica Neue Light"/>
      <w:spacing w:val="-10"/>
      <w:kern w:val="28"/>
      <w:sz w:val="36"/>
      <w:szCs w:val="36"/>
      <w:lang w:val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</w:rPr>
  </w:style>
  <w:style w:customStyle="1" w:styleId="SubtitleChar" w:type="characte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5E3F3E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E3F3E"/>
    <w:rPr>
      <w:color w:val="605E5C"/>
      <w:shd w:color="auto" w:fill="E1DFDD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CA1AD2"/>
    <w:rPr>
      <w:rFonts w:ascii="Helvetica Neue" w:cstheme="majorBidi" w:eastAsiaTheme="majorEastAsia" w:hAnsi="Helvetica Neue"/>
      <w:sz w:val="22"/>
      <w:szCs w:val="2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67ECE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ATLS® vs standard care trial</dc:title>
  <dc:creator/>
  <cp:keywords/>
  <dcterms:created xsi:type="dcterms:W3CDTF">2024-08-17T14:37:58Z</dcterms:created>
  <dcterms:modified xsi:type="dcterms:W3CDTF">2024-08-17T14:37:58Z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Trial Management Group meeting, 21th August 2024</vt:lpwstr>
  </property>
  <property fmtid="{D5CDD505-2E9C-101B-9397-08002B2CF9AE}" pid="8" name="toc-title">
    <vt:lpwstr>Table of contents</vt:lpwstr>
  </property>
</Properties>
</file>