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Trial</w:t>
      </w:r>
      <w:r>
        <w:t xml:space="preserve"> </w:t>
      </w:r>
      <w:r>
        <w:t xml:space="preserve">Protocol</w:t>
      </w:r>
    </w:p>
    <w:p>
      <w:pPr>
        <w:pStyle w:val="Sub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Version number: 0.9</w:t>
      </w:r>
    </w:p>
    <w:p>
      <w:pPr>
        <w:pStyle w:val="BodyText"/>
      </w:pPr>
      <w:r>
        <w:t xml:space="preserve">Date: 2023-12-04</w:t>
      </w:r>
    </w:p>
    <w:p>
      <w:pPr>
        <w:pStyle w:val="BodyText"/>
      </w:pPr>
      <w:r>
        <w:t xml:space="preserve">Sponsor: Karolinska Institutet</w:t>
      </w:r>
    </w:p>
    <w:p>
      <w:pPr>
        <w:pStyle w:val="BodyText"/>
      </w:pPr>
      <w:r>
        <w:t xml:space="preserve">Co-sponsor: The George Institute for Global Health, India</w:t>
      </w:r>
    </w:p>
    <w:p>
      <w:pPr>
        <w:pStyle w:val="BodyText"/>
      </w:pPr>
      <w:r>
        <w:t xml:space="preserve">Principal Investigator: Martin Gerdin Wärnberg</w:t>
      </w:r>
    </w:p>
    <w:p>
      <w:r>
        <w:br w:type="page"/>
      </w:r>
    </w:p>
    <w:bookmarkStart w:id="20" w:name="roles-and-contact-information"/>
    <w:p>
      <w:pPr>
        <w:pStyle w:val="Heading1"/>
      </w:pPr>
      <w:r>
        <w:t xml:space="preserve">1. Roles and Contact information</w:t>
      </w:r>
    </w:p>
    <w:p>
      <w:pPr>
        <w:pStyle w:val="FirstParagraph"/>
      </w:pPr>
      <w:r>
        <w:rPr>
          <w:iCs/>
          <w:i/>
        </w:rPr>
        <w:t xml:space="preserve">List the name, role in the trial, contact address, telephone number,</w:t>
      </w:r>
      <w:r>
        <w:rPr>
          <w:iCs/>
          <w:i/>
        </w:rPr>
        <w:t xml:space="preserve"> </w:t>
      </w:r>
      <w:r>
        <w:rPr>
          <w:iCs/>
          <w:i/>
        </w:rPr>
        <w:t xml:space="preserve">and email for all involved in the trial (Sponsor, eventual Co-sponsor,</w:t>
      </w:r>
      <w:r>
        <w:rPr>
          <w:iCs/>
          <w:i/>
        </w:rPr>
        <w:t xml:space="preserve"> </w:t>
      </w:r>
      <w:r>
        <w:rPr>
          <w:iCs/>
          <w:i/>
        </w:rPr>
        <w:t xml:space="preserve">Coordinating Investigator/Principal Investigator, clinical monitoring</w:t>
      </w:r>
      <w:r>
        <w:rPr>
          <w:iCs/>
          <w:i/>
        </w:rPr>
        <w:t xml:space="preserve"> </w:t>
      </w:r>
      <w:r>
        <w:rPr>
          <w:iCs/>
          <w:i/>
        </w:rPr>
        <w:t xml:space="preserve">organization if appointed, etc.). Add rows if needed for the trial.</w:t>
      </w:r>
    </w:p>
    <w:p>
      <w:pPr>
        <w:pStyle w:val="BodyText"/>
      </w:pPr>
      <w:r>
        <w:rPr>
          <w:iCs/>
          <w:i/>
        </w:rPr>
        <w:t xml:space="preserve">Contact details must be provided for the sponsor; name and address and</w:t>
      </w:r>
      <w:r>
        <w:rPr>
          <w:iCs/>
          <w:i/>
        </w:rPr>
        <w:t xml:space="preserve"> </w:t>
      </w:r>
      <w:r>
        <w:rPr>
          <w:iCs/>
          <w:i/>
        </w:rPr>
        <w:t xml:space="preserve">the name and responsibilities of the sponsor's representative and any</w:t>
      </w:r>
      <w:r>
        <w:rPr>
          <w:iCs/>
          <w:i/>
        </w:rPr>
        <w:t xml:space="preserve"> </w:t>
      </w:r>
      <w:r>
        <w:rPr>
          <w:iCs/>
          <w:i/>
        </w:rPr>
        <w:t xml:space="preserve">co-sponsors authorised to sign the clinical trial protocol or any</w:t>
      </w:r>
      <w:r>
        <w:rPr>
          <w:iCs/>
          <w:i/>
        </w:rPr>
        <w:t xml:space="preserve"> </w:t>
      </w:r>
      <w:r>
        <w:rPr>
          <w:iCs/>
          <w:i/>
        </w:rPr>
        <w:t xml:space="preserve">eventual amendments of this.</w:t>
      </w:r>
    </w:p>
    <w:p>
      <w:pPr>
        <w:pStyle w:val="BodyText"/>
      </w:pPr>
      <w:r>
        <w:rPr>
          <w:iCs/>
          <w:i/>
        </w:rPr>
        <w:t xml:space="preserve">In order to avoid liability issues in clinical trials with multiple</w:t>
      </w:r>
      <w:r>
        <w:rPr>
          <w:iCs/>
          <w:i/>
        </w:rPr>
        <w:t xml:space="preserve"> </w:t>
      </w:r>
      <w:r>
        <w:rPr>
          <w:iCs/>
          <w:i/>
        </w:rPr>
        <w:t xml:space="preserve">sponsors, all sponsors shall be subject to the liability of one sponsor</w:t>
      </w:r>
      <w:r>
        <w:rPr>
          <w:iCs/>
          <w:i/>
        </w:rPr>
        <w:t xml:space="preserve"> </w:t>
      </w:r>
      <w:r>
        <w:rPr>
          <w:iCs/>
          <w:i/>
        </w:rPr>
        <w:t xml:space="preserve">unless they otherwise agree in a written agreement.</w:t>
      </w:r>
    </w:p>
    <w:tbl>
      <w:tblPr>
        <w:tblStyle w:val="Table"/>
        <w:tblW w:type="pct" w:w="4931"/>
        <w:tblLook w:firstRow="1" w:lastRow="0" w:firstColumn="0" w:lastColumn="0" w:noHBand="0" w:noVBand="0" w:val="0020"/>
        <w:jc w:val="start"/>
      </w:tblPr>
      <w:tblGrid>
        <w:gridCol w:w="3960"/>
        <w:gridCol w:w="3850"/>
      </w:tblGrid>
      <w:tr>
        <w:trPr>
          <w:tblHeader w:val="true"/>
        </w:trPr>
        <w:tc>
          <w:tcPr/>
          <w:p>
            <w:pPr>
              <w:pStyle w:val="Compact"/>
              <w:jc w:val="left"/>
            </w:pPr>
            <w:r>
              <w:rPr>
                <w:bCs/>
                <w:b/>
              </w:rPr>
              <w:t xml:space="preserve">Responsibility in the clinical</w:t>
            </w:r>
            <w:r>
              <w:rPr>
                <w:bCs/>
                <w:b/>
              </w:rPr>
              <w:t xml:space="preserve"> </w:t>
            </w:r>
            <w:r>
              <w:rPr>
                <w:bCs/>
                <w:b/>
              </w:rPr>
              <w:t xml:space="preserve">trial</w:t>
            </w:r>
          </w:p>
        </w:tc>
        <w:tc>
          <w:tcPr/>
          <w:p>
            <w:pPr>
              <w:pStyle w:val="Compact"/>
            </w:pPr>
          </w:p>
        </w:tc>
      </w:tr>
      <w:tr>
        <w:tc>
          <w:tcPr/>
          <w:p>
            <w:pPr>
              <w:jc w:val="left"/>
            </w:pPr>
            <w:r>
              <w:t xml:space="preserve">Sponsor</w:t>
            </w:r>
          </w:p>
          <w:p>
            <w:pPr>
              <w:jc w:val="left"/>
            </w:pPr>
            <w:r>
              <w:t xml:space="preserve">Responsibility:</w:t>
            </w:r>
          </w:p>
          <w:p>
            <w:pPr>
              <w:numPr>
                <w:ilvl w:val="0"/>
                <w:numId w:val="1001"/>
              </w:numPr>
              <w:jc w:val="left"/>
            </w:pPr>
            <w:r>
              <w:t xml:space="preserve">X</w:t>
            </w:r>
          </w:p>
          <w:p>
            <w:pPr>
              <w:numPr>
                <w:ilvl w:val="0"/>
                <w:numId w:val="1001"/>
              </w:numPr>
              <w:jc w:val="left"/>
            </w:pPr>
            <w:r>
              <w:t xml:space="preserve">Y</w:t>
            </w:r>
          </w:p>
        </w:tc>
        <w:tc>
          <w:tcPr/>
          <w:p>
            <w:pPr>
              <w:jc w:val="left"/>
            </w:pPr>
            <w:r>
              <w:t xml:space="preserve">&lt;&lt;Name, title&gt;&gt;</w:t>
            </w:r>
          </w:p>
          <w:p>
            <w:pPr>
              <w:jc w:val="left"/>
            </w:pPr>
            <w:r>
              <w:t xml:space="preserve">&lt;&lt;Site/Institution&gt;&gt;</w:t>
            </w:r>
          </w:p>
          <w:p>
            <w:pPr>
              <w:jc w:val="left"/>
            </w:pPr>
            <w:r>
              <w:t xml:space="preserve">&lt;&lt;Contact address&gt;&gt;</w:t>
            </w:r>
          </w:p>
          <w:p>
            <w:pPr>
              <w:jc w:val="left"/>
            </w:pPr>
            <w:r>
              <w:t xml:space="preserve">&lt;&lt;Telephone number&gt;&gt;</w:t>
            </w:r>
          </w:p>
          <w:p>
            <w:pPr>
              <w:jc w:val="left"/>
            </w:pPr>
            <w:r>
              <w:t xml:space="preserve">&lt;&lt;Email&gt;&gt;</w:t>
            </w:r>
          </w:p>
        </w:tc>
      </w:tr>
      <w:tr>
        <w:tc>
          <w:tcPr/>
          <w:p>
            <w:pPr>
              <w:jc w:val="left"/>
            </w:pPr>
            <w:r>
              <w:t xml:space="preserve">Co-sponsor</w:t>
            </w:r>
          </w:p>
          <w:p>
            <w:pPr>
              <w:jc w:val="left"/>
            </w:pPr>
            <w:r>
              <w:t xml:space="preserve">Responsibility:</w:t>
            </w:r>
          </w:p>
          <w:p>
            <w:pPr>
              <w:numPr>
                <w:ilvl w:val="0"/>
                <w:numId w:val="1002"/>
              </w:numPr>
              <w:jc w:val="left"/>
            </w:pPr>
            <w:r>
              <w:t xml:space="preserve">X</w:t>
            </w:r>
          </w:p>
          <w:p>
            <w:pPr>
              <w:numPr>
                <w:ilvl w:val="0"/>
                <w:numId w:val="1002"/>
              </w:numPr>
              <w:jc w:val="left"/>
            </w:pPr>
            <w:r>
              <w:t xml:space="preserve">Y</w:t>
            </w:r>
          </w:p>
        </w:tc>
        <w:tc>
          <w:tcPr/>
          <w:p>
            <w:pPr>
              <w:pStyle w:val="Compact"/>
            </w:pPr>
          </w:p>
        </w:tc>
      </w:tr>
      <w:tr>
        <w:tc>
          <w:tcPr/>
          <w:p>
            <w:pPr>
              <w:jc w:val="left"/>
            </w:pPr>
            <w:r>
              <w:rPr>
                <w:iCs/>
                <w:i/>
              </w:rPr>
              <w:t xml:space="preserve">Coordinating Investigator /</w:t>
            </w:r>
            <w:r>
              <w:rPr>
                <w:iCs/>
                <w:i/>
              </w:rPr>
              <w:t xml:space="preserve"> </w:t>
            </w:r>
            <w:r>
              <w:rPr>
                <w:iCs/>
                <w:i/>
              </w:rPr>
              <w:t xml:space="preserve">Principal Investigator</w:t>
            </w:r>
          </w:p>
          <w:p>
            <w:pPr>
              <w:jc w:val="left"/>
            </w:pPr>
            <w:r>
              <w:t xml:space="preserve">Responsibility:</w:t>
            </w:r>
          </w:p>
          <w:p>
            <w:pPr>
              <w:numPr>
                <w:ilvl w:val="0"/>
                <w:numId w:val="1003"/>
              </w:numPr>
              <w:jc w:val="left"/>
            </w:pPr>
            <w:r>
              <w:t xml:space="preserve">X</w:t>
            </w:r>
          </w:p>
          <w:p>
            <w:pPr>
              <w:numPr>
                <w:ilvl w:val="0"/>
                <w:numId w:val="1003"/>
              </w:numPr>
              <w:jc w:val="left"/>
            </w:pPr>
            <w:r>
              <w:t xml:space="preserve">Y</w:t>
            </w:r>
          </w:p>
        </w:tc>
        <w:tc>
          <w:tcPr/>
          <w:p>
            <w:pPr>
              <w:pStyle w:val="Compact"/>
            </w:pPr>
          </w:p>
        </w:tc>
      </w:tr>
      <w:tr>
        <w:tc>
          <w:tcPr/>
          <w:p>
            <w:pPr>
              <w:pStyle w:val="Compact"/>
              <w:jc w:val="left"/>
            </w:pPr>
            <w:r>
              <w:rPr>
                <w:iCs/>
                <w:i/>
              </w:rPr>
              <w:t xml:space="preserve">Specify others involved:</w:t>
            </w:r>
            <w:r>
              <w:br/>
            </w:r>
            <w:r>
              <w:rPr>
                <w:iCs/>
                <w:i/>
              </w:rPr>
              <w:t xml:space="preserve">Clinical monitoring organization,</w:t>
            </w:r>
            <w:r>
              <w:rPr>
                <w:iCs/>
                <w:i/>
              </w:rPr>
              <w:t xml:space="preserve"> </w:t>
            </w:r>
            <w:r>
              <w:rPr>
                <w:iCs/>
                <w:i/>
              </w:rPr>
              <w:t xml:space="preserve">project management, statistics or</w:t>
            </w:r>
            <w:r>
              <w:rPr>
                <w:iCs/>
                <w:i/>
              </w:rPr>
              <w:t xml:space="preserve"> </w:t>
            </w:r>
            <w:r>
              <w:rPr>
                <w:iCs/>
                <w:i/>
              </w:rPr>
              <w:t xml:space="preserve">data management.</w:t>
            </w:r>
          </w:p>
        </w:tc>
        <w:tc>
          <w:tcPr/>
          <w:p>
            <w:pPr>
              <w:pStyle w:val="Compact"/>
            </w:pPr>
          </w:p>
        </w:tc>
      </w:tr>
    </w:tbl>
    <w:p>
      <w:r>
        <w:br w:type="page"/>
      </w:r>
    </w:p>
    <w:bookmarkEnd w:id="20"/>
    <w:bookmarkStart w:id="21" w:name="list-of-used-acronyms-and-abbreviations"/>
    <w:p>
      <w:pPr>
        <w:pStyle w:val="Heading1"/>
      </w:pPr>
      <w:r>
        <w:t xml:space="preserve">2. List of used acronyms and abbreviations</w:t>
      </w:r>
    </w:p>
    <w:p>
      <w:pPr>
        <w:pStyle w:val="FirstParagraph"/>
      </w:pPr>
      <w:r>
        <w:rPr>
          <w:iCs/>
          <w:i/>
        </w:rPr>
        <w:t xml:space="preserve">List all abbreviations used in the protocol. Each term should be</w:t>
      </w:r>
      <w:r>
        <w:rPr>
          <w:iCs/>
          <w:i/>
        </w:rPr>
        <w:t xml:space="preserve"> </w:t>
      </w:r>
      <w:r>
        <w:rPr>
          <w:iCs/>
          <w:i/>
        </w:rPr>
        <w:t xml:space="preserve">written out fully the first time it is used in the protocol, with the</w:t>
      </w:r>
      <w:r>
        <w:rPr>
          <w:iCs/>
          <w:i/>
        </w:rPr>
        <w:t xml:space="preserve"> </w:t>
      </w:r>
      <w:r>
        <w:rPr>
          <w:iCs/>
          <w:i/>
        </w:rPr>
        <w:t xml:space="preserve">abbreviation in parentheses. Examples of common abbreviations are shown</w:t>
      </w:r>
      <w:r>
        <w:rPr>
          <w:iCs/>
          <w:i/>
        </w:rPr>
        <w:t xml:space="preserve"> </w:t>
      </w:r>
      <w:r>
        <w:rPr>
          <w:iCs/>
          <w:i/>
        </w:rPr>
        <w:t xml:space="preserve">below but this list should be adapted to your trial; add and/or remove</w:t>
      </w:r>
      <w:r>
        <w:rPr>
          <w:iCs/>
          <w:i/>
        </w:rPr>
        <w:t xml:space="preserve"> </w:t>
      </w:r>
      <w:r>
        <w:rPr>
          <w:iCs/>
          <w:i/>
        </w:rPr>
        <w:t xml:space="preserve">rows as needed.</w:t>
      </w:r>
    </w:p>
    <w:tbl>
      <w:tblPr>
        <w:tblStyle w:val="Table"/>
        <w:tblW w:type="pct" w:w="4870"/>
        <w:tblLook w:firstRow="1" w:lastRow="0" w:firstColumn="0" w:lastColumn="0" w:noHBand="0" w:noVBand="0" w:val="0020"/>
        <w:jc w:val="start"/>
      </w:tblPr>
      <w:tblGrid>
        <w:gridCol w:w="1954"/>
        <w:gridCol w:w="5760"/>
      </w:tblGrid>
      <w:tr>
        <w:trPr>
          <w:tblHeader w:val="true"/>
        </w:trPr>
        <w:tc>
          <w:tcPr/>
          <w:p>
            <w:pPr>
              <w:pStyle w:val="Compact"/>
              <w:jc w:val="left"/>
            </w:pPr>
            <w:r>
              <w:rPr>
                <w:bCs/>
                <w:b/>
              </w:rPr>
              <w:t xml:space="preserve">Abbreviation</w:t>
            </w:r>
          </w:p>
        </w:tc>
        <w:tc>
          <w:tcPr/>
          <w:p>
            <w:pPr>
              <w:pStyle w:val="Compact"/>
              <w:jc w:val="left"/>
            </w:pPr>
            <w:r>
              <w:rPr>
                <w:bCs/>
                <w:b/>
              </w:rPr>
              <w:t xml:space="preserve">Term/Explanation</w:t>
            </w:r>
          </w:p>
        </w:tc>
      </w:tr>
      <w:tr>
        <w:tc>
          <w:tcPr/>
          <w:p>
            <w:pPr>
              <w:pStyle w:val="Compact"/>
              <w:jc w:val="left"/>
            </w:pPr>
            <w:r>
              <w:t xml:space="preserve">Adverse Event (AE)</w:t>
            </w:r>
          </w:p>
        </w:tc>
        <w:tc>
          <w:tcPr/>
          <w:p>
            <w:pPr>
              <w:pStyle w:val="Compact"/>
              <w:jc w:val="left"/>
            </w:pPr>
            <w:r>
              <w:t xml:space="preserve">Any untoward medical occurrence in a subject to whom a</w:t>
            </w:r>
            <w:r>
              <w:t xml:space="preserve"> </w:t>
            </w:r>
            <w:r>
              <w:t xml:space="preserve">medicinal product is administered and which does not</w:t>
            </w:r>
            <w:r>
              <w:t xml:space="preserve"> </w:t>
            </w:r>
            <w:r>
              <w:t xml:space="preserve">necessarily have a causal relationship with this</w:t>
            </w:r>
            <w:r>
              <w:t xml:space="preserve"> </w:t>
            </w:r>
            <w:r>
              <w:t xml:space="preserve">treatment.</w:t>
            </w:r>
          </w:p>
        </w:tc>
      </w:tr>
      <w:tr>
        <w:tc>
          <w:tcPr/>
          <w:p>
            <w:pPr>
              <w:pStyle w:val="Compact"/>
              <w:jc w:val="left"/>
            </w:pPr>
            <w:r>
              <w:t xml:space="preserve">Serious Adverse</w:t>
            </w:r>
            <w:r>
              <w:t xml:space="preserve"> </w:t>
            </w:r>
            <w:r>
              <w:t xml:space="preserve">Event (SAE)</w:t>
            </w:r>
          </w:p>
        </w:tc>
        <w:tc>
          <w:tcPr/>
          <w:p>
            <w:pPr>
              <w:pStyle w:val="Compact"/>
              <w:jc w:val="left"/>
            </w:pPr>
            <w:r>
              <w:t xml:space="preserve">Any untoward medical occurrence that at any dose</w:t>
            </w:r>
            <w:r>
              <w:t xml:space="preserve"> </w:t>
            </w:r>
            <w:r>
              <w:t xml:space="preserve">requires inpatient hospitalisation or prolongation of</w:t>
            </w:r>
            <w:r>
              <w:t xml:space="preserve"> </w:t>
            </w:r>
            <w:r>
              <w:t xml:space="preserve">existing hospitalisation, results in persistent or</w:t>
            </w:r>
            <w:r>
              <w:t xml:space="preserve"> </w:t>
            </w:r>
            <w:r>
              <w:t xml:space="preserve">significant disability or incapacity, results in a</w:t>
            </w:r>
            <w:r>
              <w:t xml:space="preserve"> </w:t>
            </w:r>
            <w:r>
              <w:t xml:space="preserve">congenital anomaly or birth defect, is</w:t>
            </w:r>
            <w:r>
              <w:t xml:space="preserve"> </w:t>
            </w:r>
            <w:r>
              <w:t xml:space="preserve">life-threatening, or results in death</w:t>
            </w:r>
          </w:p>
        </w:tc>
      </w:tr>
      <w:tr>
        <w:tc>
          <w:tcPr/>
          <w:p>
            <w:pPr>
              <w:pStyle w:val="Compact"/>
              <w:jc w:val="left"/>
            </w:pPr>
            <w:r>
              <w:t xml:space="preserve">AR</w:t>
            </w:r>
          </w:p>
        </w:tc>
        <w:tc>
          <w:tcPr/>
          <w:p>
            <w:pPr>
              <w:pStyle w:val="Compact"/>
              <w:jc w:val="left"/>
            </w:pPr>
            <w:r>
              <w:t xml:space="preserve">Adverse Reaction = any unfavorable and unexpected</w:t>
            </w:r>
            <w:r>
              <w:t xml:space="preserve"> </w:t>
            </w:r>
            <w:r>
              <w:t xml:space="preserve">reaction to an investigational medicinal product,</w:t>
            </w:r>
            <w:r>
              <w:t xml:space="preserve"> </w:t>
            </w:r>
            <w:r>
              <w:t xml:space="preserve">regardless of dose</w:t>
            </w:r>
          </w:p>
        </w:tc>
      </w:tr>
      <w:tr>
        <w:tc>
          <w:tcPr/>
          <w:p>
            <w:pPr>
              <w:pStyle w:val="Compact"/>
              <w:jc w:val="left"/>
            </w:pPr>
            <w:r>
              <w:t xml:space="preserve">ASR</w:t>
            </w:r>
          </w:p>
        </w:tc>
        <w:tc>
          <w:tcPr/>
          <w:p>
            <w:pPr>
              <w:pStyle w:val="Compact"/>
              <w:jc w:val="left"/>
            </w:pPr>
            <w:r>
              <w:t xml:space="preserve">Annual Safety Report = the annual safety report for</w:t>
            </w:r>
            <w:r>
              <w:t xml:space="preserve"> </w:t>
            </w:r>
            <w:r>
              <w:t xml:space="preserve">reporting to authorities. In Sweden this is the Swedish</w:t>
            </w:r>
            <w:r>
              <w:t xml:space="preserve"> </w:t>
            </w:r>
            <w:r>
              <w:t xml:space="preserve">Medical Products Agency.</w:t>
            </w:r>
          </w:p>
        </w:tc>
      </w:tr>
      <w:tr>
        <w:tc>
          <w:tcPr/>
          <w:p>
            <w:pPr>
              <w:pStyle w:val="Compact"/>
              <w:jc w:val="left"/>
            </w:pPr>
            <w:r>
              <w:t xml:space="preserve">CRF</w:t>
            </w:r>
          </w:p>
        </w:tc>
        <w:tc>
          <w:tcPr/>
          <w:p>
            <w:pPr>
              <w:pStyle w:val="Compact"/>
              <w:jc w:val="left"/>
            </w:pPr>
            <w:r>
              <w:t xml:space="preserve">Case Report Form</w:t>
            </w:r>
          </w:p>
        </w:tc>
      </w:tr>
      <w:tr>
        <w:tc>
          <w:tcPr/>
          <w:p>
            <w:pPr>
              <w:pStyle w:val="Compact"/>
              <w:jc w:val="left"/>
            </w:pPr>
            <w:r>
              <w:t xml:space="preserve">CTIS</w:t>
            </w:r>
          </w:p>
        </w:tc>
        <w:tc>
          <w:tcPr/>
          <w:p>
            <w:pPr>
              <w:pStyle w:val="Compact"/>
              <w:jc w:val="left"/>
            </w:pPr>
            <w:r>
              <w:t xml:space="preserve">Clinical Trial Information System = Centralized EU</w:t>
            </w:r>
            <w:r>
              <w:t xml:space="preserve"> </w:t>
            </w:r>
            <w:r>
              <w:t xml:space="preserve">database/portal for application and communication with</w:t>
            </w:r>
            <w:r>
              <w:t xml:space="preserve"> </w:t>
            </w:r>
            <w:r>
              <w:t xml:space="preserve">authorities concerning clinical trials. In Sweden this</w:t>
            </w:r>
            <w:r>
              <w:t xml:space="preserve"> </w:t>
            </w:r>
            <w:r>
              <w:t xml:space="preserve">includes the Swedish Medical Products Agency and the</w:t>
            </w:r>
            <w:r>
              <w:t xml:space="preserve"> </w:t>
            </w:r>
            <w:r>
              <w:t xml:space="preserve">Swedish Ethical Review Authority.</w:t>
            </w:r>
          </w:p>
        </w:tc>
      </w:tr>
      <w:tr>
        <w:tc>
          <w:tcPr/>
          <w:p>
            <w:pPr>
              <w:pStyle w:val="Compact"/>
              <w:jc w:val="left"/>
            </w:pPr>
            <w:r>
              <w:t xml:space="preserve">CTR</w:t>
            </w:r>
          </w:p>
        </w:tc>
        <w:tc>
          <w:tcPr/>
          <w:p>
            <w:pPr>
              <w:pStyle w:val="Compact"/>
              <w:jc w:val="left"/>
            </w:pPr>
            <w:r>
              <w:t xml:space="preserve">EU Regulation 536/2014, also called CTR, Clinical</w:t>
            </w:r>
            <w:r>
              <w:t xml:space="preserve"> </w:t>
            </w:r>
            <w:r>
              <w:t xml:space="preserve">Trials Regulation</w:t>
            </w:r>
          </w:p>
        </w:tc>
      </w:tr>
      <w:tr>
        <w:tc>
          <w:tcPr/>
          <w:p>
            <w:pPr>
              <w:pStyle w:val="Compact"/>
              <w:jc w:val="left"/>
            </w:pPr>
            <w:r>
              <w:t xml:space="preserve">DSUR</w:t>
            </w:r>
          </w:p>
        </w:tc>
        <w:tc>
          <w:tcPr/>
          <w:p>
            <w:pPr>
              <w:pStyle w:val="Compact"/>
              <w:jc w:val="left"/>
            </w:pPr>
            <w:r>
              <w:t xml:space="preserve">Development Safety Update Report = the standard which</w:t>
            </w:r>
            <w:r>
              <w:t xml:space="preserve"> </w:t>
            </w:r>
            <w:r>
              <w:t xml:space="preserve">should be used for annual safety reporting to</w:t>
            </w:r>
            <w:r>
              <w:t xml:space="preserve"> </w:t>
            </w:r>
            <w:r>
              <w:t xml:space="preserve">authorities</w:t>
            </w:r>
          </w:p>
        </w:tc>
      </w:tr>
      <w:tr>
        <w:tc>
          <w:tcPr/>
          <w:p>
            <w:pPr>
              <w:pStyle w:val="Compact"/>
              <w:jc w:val="left"/>
            </w:pPr>
            <w:r>
              <w:t xml:space="preserve">EPM</w:t>
            </w:r>
          </w:p>
        </w:tc>
        <w:tc>
          <w:tcPr/>
          <w:p>
            <w:pPr>
              <w:pStyle w:val="Compact"/>
              <w:jc w:val="left"/>
            </w:pPr>
            <w:r>
              <w:t xml:space="preserve">Etikprövningsmyndigheten (English: Swedish Ethical</w:t>
            </w:r>
            <w:r>
              <w:t xml:space="preserve"> </w:t>
            </w:r>
            <w:r>
              <w:t xml:space="preserve">Review Authority)</w:t>
            </w:r>
          </w:p>
        </w:tc>
      </w:tr>
      <w:tr>
        <w:tc>
          <w:tcPr/>
          <w:p>
            <w:pPr>
              <w:pStyle w:val="Compact"/>
              <w:jc w:val="left"/>
            </w:pPr>
            <w:r>
              <w:t xml:space="preserve">GCP</w:t>
            </w:r>
          </w:p>
        </w:tc>
        <w:tc>
          <w:tcPr/>
          <w:p>
            <w:pPr>
              <w:pStyle w:val="Compact"/>
              <w:jc w:val="left"/>
            </w:pPr>
            <w:r>
              <w:t xml:space="preserve">Good Clinical Practice</w:t>
            </w:r>
          </w:p>
        </w:tc>
      </w:tr>
      <w:tr>
        <w:tc>
          <w:tcPr/>
          <w:p>
            <w:pPr>
              <w:pStyle w:val="Compact"/>
              <w:jc w:val="left"/>
            </w:pPr>
            <w:r>
              <w:t xml:space="preserve">IB</w:t>
            </w:r>
          </w:p>
        </w:tc>
        <w:tc>
          <w:tcPr/>
          <w:p>
            <w:pPr>
              <w:pStyle w:val="Compact"/>
              <w:jc w:val="left"/>
            </w:pPr>
            <w:r>
              <w:t xml:space="preserve">Investigator’s Brochure</w:t>
            </w:r>
          </w:p>
        </w:tc>
      </w:tr>
      <w:tr>
        <w:tc>
          <w:tcPr/>
          <w:p>
            <w:pPr>
              <w:pStyle w:val="Compact"/>
              <w:jc w:val="left"/>
            </w:pPr>
            <w:r>
              <w:t xml:space="preserve">ICH</w:t>
            </w:r>
          </w:p>
        </w:tc>
        <w:tc>
          <w:tcPr/>
          <w:p>
            <w:pPr>
              <w:pStyle w:val="Compact"/>
              <w:jc w:val="left"/>
            </w:pPr>
            <w:r>
              <w:t xml:space="preserve">International Council for Harmonization</w:t>
            </w:r>
          </w:p>
        </w:tc>
      </w:tr>
      <w:tr>
        <w:tc>
          <w:tcPr/>
          <w:p>
            <w:pPr>
              <w:pStyle w:val="Compact"/>
              <w:jc w:val="left"/>
            </w:pPr>
            <w:r>
              <w:t xml:space="preserve">ITT</w:t>
            </w:r>
          </w:p>
        </w:tc>
        <w:tc>
          <w:tcPr/>
          <w:p>
            <w:pPr>
              <w:pStyle w:val="Compact"/>
              <w:jc w:val="left"/>
            </w:pPr>
            <w:r>
              <w:t xml:space="preserve">Intention-to-treat = including all data from all</w:t>
            </w:r>
            <w:r>
              <w:t xml:space="preserve"> </w:t>
            </w:r>
            <w:r>
              <w:t xml:space="preserve">subjects who have participated in the trial</w:t>
            </w:r>
          </w:p>
        </w:tc>
      </w:tr>
      <w:tr>
        <w:tc>
          <w:tcPr/>
          <w:p>
            <w:pPr>
              <w:pStyle w:val="Compact"/>
              <w:jc w:val="left"/>
            </w:pPr>
            <w:r>
              <w:t xml:space="preserve">PP</w:t>
            </w:r>
          </w:p>
        </w:tc>
        <w:tc>
          <w:tcPr/>
          <w:p>
            <w:pPr>
              <w:pStyle w:val="Compact"/>
              <w:jc w:val="left"/>
            </w:pPr>
            <w:r>
              <w:t xml:space="preserve">Per Protocol analysis = including only data from</w:t>
            </w:r>
            <w:r>
              <w:t xml:space="preserve"> </w:t>
            </w:r>
            <w:r>
              <w:t xml:space="preserve">subjects who have completed the trial completely in</w:t>
            </w:r>
            <w:r>
              <w:t xml:space="preserve"> </w:t>
            </w:r>
            <w:r>
              <w:t xml:space="preserve">accordance with the protocol, with no deviations from</w:t>
            </w:r>
            <w:r>
              <w:t xml:space="preserve"> </w:t>
            </w:r>
            <w:r>
              <w:t xml:space="preserve">the protocol</w:t>
            </w:r>
          </w:p>
        </w:tc>
      </w:tr>
      <w:tr>
        <w:tc>
          <w:tcPr/>
          <w:p>
            <w:pPr>
              <w:pStyle w:val="Compact"/>
              <w:jc w:val="left"/>
            </w:pPr>
            <w:r>
              <w:t xml:space="preserve">RSI</w:t>
            </w:r>
          </w:p>
        </w:tc>
        <w:tc>
          <w:tcPr/>
          <w:p>
            <w:pPr>
              <w:pStyle w:val="Compact"/>
              <w:jc w:val="left"/>
            </w:pPr>
            <w:r>
              <w:t xml:space="preserve">Reference safety information. A list of all known</w:t>
            </w:r>
            <w:r>
              <w:t xml:space="preserve"> </w:t>
            </w:r>
            <w:r>
              <w:t xml:space="preserve">adverse reactions for the investigational medicinal</w:t>
            </w:r>
            <w:r>
              <w:t xml:space="preserve"> </w:t>
            </w:r>
            <w:r>
              <w:t xml:space="preserve">product, including severity and frequency of the</w:t>
            </w:r>
            <w:r>
              <w:t xml:space="preserve"> </w:t>
            </w:r>
            <w:r>
              <w:t xml:space="preserve">adverse reaction. The RSI is contained in the Summary</w:t>
            </w:r>
            <w:r>
              <w:t xml:space="preserve"> </w:t>
            </w:r>
            <w:r>
              <w:t xml:space="preserve">of Product Characteristics or IB and is used to</w:t>
            </w:r>
            <w:r>
              <w:t xml:space="preserve"> </w:t>
            </w:r>
            <w:r>
              <w:t xml:space="preserve">determine which new adverse reactions should be</w:t>
            </w:r>
            <w:r>
              <w:t xml:space="preserve"> </w:t>
            </w:r>
            <w:r>
              <w:t xml:space="preserve">reported as suspected unexpected serious adverse</w:t>
            </w:r>
            <w:r>
              <w:t xml:space="preserve"> </w:t>
            </w:r>
            <w:r>
              <w:t xml:space="preserve">reactions (SUSARs).</w:t>
            </w:r>
          </w:p>
        </w:tc>
      </w:tr>
      <w:tr>
        <w:tc>
          <w:tcPr/>
          <w:p>
            <w:pPr>
              <w:pStyle w:val="Compact"/>
              <w:jc w:val="left"/>
            </w:pPr>
            <w:r>
              <w:t xml:space="preserve">SPC or SmPC</w:t>
            </w:r>
          </w:p>
        </w:tc>
        <w:tc>
          <w:tcPr/>
          <w:p>
            <w:pPr>
              <w:pStyle w:val="Compact"/>
              <w:jc w:val="left"/>
            </w:pPr>
            <w:r>
              <w:t xml:space="preserve">Summary of Product Characteristics</w:t>
            </w:r>
          </w:p>
        </w:tc>
      </w:tr>
      <w:tr>
        <w:tc>
          <w:tcPr/>
          <w:p>
            <w:pPr>
              <w:pStyle w:val="Compact"/>
              <w:jc w:val="left"/>
            </w:pPr>
            <w:r>
              <w:t xml:space="preserve">SUSAR</w:t>
            </w:r>
          </w:p>
        </w:tc>
        <w:tc>
          <w:tcPr/>
          <w:p>
            <w:pPr>
              <w:pStyle w:val="Compact"/>
              <w:jc w:val="left"/>
            </w:pPr>
            <w:r>
              <w:t xml:space="preserve">Suspected Unexpected Serious Adverse Reaction. This is</w:t>
            </w:r>
            <w:r>
              <w:t xml:space="preserve"> </w:t>
            </w:r>
            <w:r>
              <w:t xml:space="preserve">an event that is likely related to the investigational</w:t>
            </w:r>
            <w:r>
              <w:t xml:space="preserve"> </w:t>
            </w:r>
            <w:r>
              <w:t xml:space="preserve">medicinal product but with unexpected occurrence. An</w:t>
            </w:r>
            <w:r>
              <w:t xml:space="preserve"> </w:t>
            </w:r>
            <w:r>
              <w:t xml:space="preserve">adverse reaction is unexpected if its nature or</w:t>
            </w:r>
            <w:r>
              <w:t xml:space="preserve"> </w:t>
            </w:r>
            <w:r>
              <w:t xml:space="preserve">seriousness is not consistent with the information on</w:t>
            </w:r>
            <w:r>
              <w:t xml:space="preserve"> </w:t>
            </w:r>
            <w:r>
              <w:t xml:space="preserve">the product in the RSI.</w:t>
            </w:r>
          </w:p>
        </w:tc>
      </w:tr>
    </w:tbl>
    <w:p>
      <w:r>
        <w:br w:type="page"/>
      </w:r>
    </w:p>
    <w:bookmarkEnd w:id="21"/>
    <w:bookmarkStart w:id="22" w:name="synopsis"/>
    <w:p>
      <w:pPr>
        <w:pStyle w:val="Heading1"/>
      </w:pPr>
      <w:r>
        <w:t xml:space="preserve">3.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w:t>
      </w:r>
      <w:r>
        <w:rPr>
          <w:vertAlign w:val="superscript"/>
        </w:rPr>
        <w:t xml:space="preserve">1,2</w:t>
      </w:r>
      <w:r>
        <w:t xml:space="preserve">. Many training programmes have been developed to help physicians in the initial management of trauma patients</w:t>
      </w:r>
      <w:r>
        <w:rPr>
          <w:vertAlign w:val="superscript"/>
        </w:rPr>
        <w:t xml:space="preserve">3–6</w:t>
      </w:r>
      <w:r>
        <w:t xml:space="preserve">.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w:t>
      </w:r>
      <w:r>
        <w:rPr>
          <w:vertAlign w:val="superscript"/>
        </w:rPr>
        <w:t xml:space="preserve">7</w:t>
      </w:r>
      <w:r>
        <w:t xml:space="preserve">. Despite its widespread use, there are no controlled trials showing that ATLS</w:t>
      </w:r>
      <w:r>
        <w:rPr>
          <w:vertAlign w:val="superscript"/>
        </w:rPr>
        <w:t xml:space="preserve">®</w:t>
      </w:r>
      <w:r>
        <w:t xml:space="preserve"> </w:t>
      </w:r>
      <w:r>
        <w:t xml:space="preserve">improves patient outcomes</w:t>
      </w:r>
      <w:r>
        <w:rPr>
          <w:vertAlign w:val="superscript"/>
        </w:rPr>
        <w:t xml:space="preserve">3,4,6</w:t>
      </w:r>
      <w:r>
        <w:t xml:space="preserve">. Multiple systematic reviews emphasise the need for such trials</w:t>
      </w:r>
      <w:r>
        <w:rPr>
          <w:vertAlign w:val="superscript"/>
        </w:rPr>
        <w:t xml:space="preserve">3,4,6</w:t>
      </w:r>
      <w:r>
        <w:t xml:space="preserve">.</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w:t>
      </w:r>
      <w:r>
        <w:t xml:space="preserve"> </w:t>
      </w:r>
      <w:r>
        <w:t xml:space="preserve">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programme.</w:t>
      </w:r>
    </w:p>
    <w:p>
      <w:pPr>
        <w:pStyle w:val="BodyText"/>
      </w:pPr>
      <w:r>
        <w:rPr>
          <w:iCs/>
          <w:i/>
        </w:rPr>
        <w:t xml:space="preserve">Patients</w:t>
      </w:r>
      <w:r>
        <w:t xml:space="preserve"> </w:t>
      </w:r>
      <w:r>
        <w:t xml:space="preserve">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In-hospital data collection will be conducted under a waiver of informed consent. Patients will be informed about the trial and their right to opt out of data collection. Patients will be informed that they can withdraw their data from the trial at any time.</w:t>
      </w:r>
    </w:p>
    <w:p>
      <w:pPr>
        <w:pStyle w:val="BodyText"/>
      </w:pPr>
      <w:r>
        <w:rPr>
          <w:bCs/>
          <w:b/>
        </w:rPr>
        <w:t xml:space="preserve">Trial Period</w:t>
      </w:r>
      <w:r>
        <w:t xml:space="preserve"> </w:t>
      </w:r>
      <w:r>
        <w:t xml:space="preserve">2024-10-01 to 2029-10-01</w:t>
      </w:r>
    </w:p>
    <w:p>
      <w:r>
        <w:br w:type="page"/>
      </w:r>
    </w:p>
    <w:bookmarkEnd w:id="22"/>
    <w:bookmarkStart w:id="27" w:name="background-and-rationale"/>
    <w:p>
      <w:pPr>
        <w:pStyle w:val="Heading1"/>
      </w:pPr>
      <w:r>
        <w:t xml:space="preserve">4.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8</w:t>
      </w:r>
      <w:r>
        <w:t xml:space="preserve">. Traumatic brain injury and exsanguination are the most common causes of trauma deaths</w:t>
      </w:r>
      <w:r>
        <w:rPr>
          <w:vertAlign w:val="superscript"/>
        </w:rPr>
        <w:t xml:space="preserve">9,10</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9,11</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3–6</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7</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5</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3,4,6</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(Figure @ref(fig:forest-plot))</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recruitment rate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6" w:name="updated-systematic-review"/>
    <w:p>
      <w:pPr>
        <w:pStyle w:val="Heading2"/>
      </w:pPr>
      <w:r>
        <w:t xml:space="preserve">4.1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4" name="Picture"/>
                  <a:graphic>
                    <a:graphicData uri="http://schemas.openxmlformats.org/drawingml/2006/picture">
                      <pic:pic>
                        <pic:nvPicPr>
                          <pic:cNvPr descr="forest-plot.pdf"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tc>
      </w:tr>
    </w:tbl>
    <w:bookmarkEnd w:id="26"/>
    <w:bookmarkEnd w:id="27"/>
    <w:bookmarkStart w:id="28" w:name="benefit-risk-evaluation"/>
    <w:p>
      <w:pPr>
        <w:pStyle w:val="Heading1"/>
      </w:pPr>
      <w:r>
        <w:t xml:space="preserve">5.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8"/>
    <w:bookmarkStart w:id="29" w:name="trial-aim"/>
    <w:p>
      <w:pPr>
        <w:pStyle w:val="Heading1"/>
      </w:pPr>
      <w:r>
        <w:t xml:space="preserve">6.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9"/>
    <w:bookmarkStart w:id="103" w:name="trial-design-and-procedures"/>
    <w:p>
      <w:pPr>
        <w:pStyle w:val="Heading1"/>
      </w:pPr>
      <w:r>
        <w:t xml:space="preserve">7. Trial design and procedures</w:t>
      </w:r>
    </w:p>
    <w:bookmarkStart w:id="30" w:name="overall-trial-design"/>
    <w:p>
      <w:pPr>
        <w:pStyle w:val="Heading2"/>
      </w:pPr>
      <w:r>
        <w:t xml:space="preserve">7.1 Overall trial design</w:t>
      </w:r>
    </w:p>
    <w:p>
      <w:pPr>
        <w:pStyle w:val="FirstParagraph"/>
      </w:pPr>
      <w:r>
        <w:t xml:space="preserve">We will conduct a batched stepped-wedge cluster randomised controlled trial (see Figure @ref(fig:trial-design)). The stepped-wedge trial is a uni-directional cross-over trial but the time point when clusters cross-over from standard care to the intervention is randomised</w:t>
      </w:r>
      <w:r>
        <w:rPr>
          <w:vertAlign w:val="superscript"/>
        </w:rPr>
        <w:t xml:space="preserve">27</w:t>
      </w:r>
      <w:r>
        <w:t xml:space="preserve">. Each cluster will be a tertiary hospital in India. We will conduct this trial in India because physicians providing initial trauma care in India are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bookmarkEnd w:id="30"/>
    <w:bookmarkStart w:id="34" w:name="design-justification"/>
    <w:p>
      <w:pPr>
        <w:pStyle w:val="Heading2"/>
      </w:pPr>
      <w:r>
        <w:t xml:space="preserve">7.2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2" name="Picture"/>
                  <a:graphic>
                    <a:graphicData uri="http://schemas.openxmlformats.org/drawingml/2006/picture">
                      <pic:pic>
                        <pic:nvPicPr>
                          <pic:cNvPr descr="trial-design-figure-30-clusters-5-sequences-6-batches-6-batches-overlap-4-min-standard-care-4-min-intervention-1-transition-months-0-transition-overlap.pdf"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tr>
    </w:tbl>
    <w:bookmarkEnd w:id="34"/>
    <w:bookmarkStart w:id="36" w:name="procedures"/>
    <w:p>
      <w:pPr>
        <w:pStyle w:val="Heading2"/>
      </w:pPr>
      <w:r>
        <w:t xml:space="preserve">7.3 Procedures</w:t>
      </w:r>
    </w:p>
    <w:p>
      <w:pPr>
        <w:pStyle w:val="FirstParagraph"/>
      </w:pPr>
      <w:r>
        <w:rPr>
          <w:bCs/>
          <w:b/>
        </w:rPr>
        <w:t xml:space="preserve">?@tbl-procedures</w:t>
      </w:r>
      <w:r>
        <w:t xml:space="preserve"> </w:t>
      </w:r>
      <w:r>
        <w:t xml:space="preserve">shows an overview of trial procedures. 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35"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5"/>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35"/>
    <w:bookmarkEnd w:id="36"/>
    <w:bookmarkStart w:id="37" w:name="biological-sampling-procedures"/>
    <w:p>
      <w:pPr>
        <w:pStyle w:val="Heading2"/>
      </w:pPr>
      <w:r>
        <w:t xml:space="preserve">7.4 Biological sampling procedures</w:t>
      </w:r>
    </w:p>
    <w:p>
      <w:pPr>
        <w:pStyle w:val="FirstParagraph"/>
      </w:pPr>
      <w:r>
        <w:t xml:space="preserve">This trial does not include biological sampling.</w:t>
      </w:r>
    </w:p>
    <w:bookmarkEnd w:id="37"/>
    <w:bookmarkStart w:id="38" w:name="end-of-trial"/>
    <w:p>
      <w:pPr>
        <w:pStyle w:val="Heading2"/>
      </w:pPr>
      <w:r>
        <w:t xml:space="preserve">7.5 End of Trial</w:t>
      </w:r>
    </w:p>
    <w:p>
      <w:pPr>
        <w:pStyle w:val="FirstParagraph"/>
      </w:pPr>
      <w:r>
        <w:rPr>
          <w:iCs/>
          <w:i/>
        </w:rPr>
        <w:t xml:space="preserve">Provide a clear and unambiguous indication of what constitutes the end</w:t>
      </w:r>
      <w:r>
        <w:rPr>
          <w:iCs/>
          <w:i/>
        </w:rPr>
        <w:t xml:space="preserve"> </w:t>
      </w:r>
      <w:r>
        <w:rPr>
          <w:iCs/>
          <w:i/>
        </w:rPr>
        <w:t xml:space="preserve">of the trial and, if it is not the date of the last visit of the last</w:t>
      </w:r>
      <w:r>
        <w:rPr>
          <w:iCs/>
          <w:i/>
        </w:rPr>
        <w:t xml:space="preserve"> </w:t>
      </w:r>
      <w:r>
        <w:rPr>
          <w:iCs/>
          <w:i/>
        </w:rPr>
        <w:t xml:space="preserve">subject, a specification of the estimated end date of the trial.</w:t>
      </w:r>
    </w:p>
    <w:p>
      <w:pPr>
        <w:pStyle w:val="BodyText"/>
      </w:pPr>
      <w:r>
        <w:rPr>
          <w:iCs/>
          <w:i/>
        </w:rPr>
        <w:t xml:space="preserve">If treatment of the subjects who completed the trial differs from</w:t>
      </w:r>
      <w:r>
        <w:rPr>
          <w:iCs/>
          <w:i/>
        </w:rPr>
        <w:t xml:space="preserve"> </w:t>
      </w:r>
      <w:r>
        <w:rPr>
          <w:iCs/>
          <w:i/>
        </w:rPr>
        <w:t xml:space="preserve">normal clinical practice, this should be stated. This can, for example,</w:t>
      </w:r>
      <w:r>
        <w:rPr>
          <w:iCs/>
          <w:i/>
        </w:rPr>
        <w:t xml:space="preserve"> </w:t>
      </w:r>
      <w:r>
        <w:rPr>
          <w:iCs/>
          <w:i/>
        </w:rPr>
        <w:t xml:space="preserve">mean that the trial subjects should receive the investigational</w:t>
      </w:r>
      <w:r>
        <w:rPr>
          <w:iCs/>
          <w:i/>
        </w:rPr>
        <w:t xml:space="preserve"> </w:t>
      </w:r>
      <w:r>
        <w:rPr>
          <w:iCs/>
          <w:i/>
        </w:rPr>
        <w:t xml:space="preserve">medicinal product after the trial ends – if so, describe how this will</w:t>
      </w:r>
      <w:r>
        <w:rPr>
          <w:iCs/>
          <w:i/>
        </w:rPr>
        <w:t xml:space="preserve"> </w:t>
      </w:r>
      <w:r>
        <w:rPr>
          <w:iCs/>
          <w:i/>
        </w:rPr>
        <w:t xml:space="preserve">be done (see section 7.10, Treatment after trial end).</w:t>
      </w:r>
    </w:p>
    <w:p>
      <w:pPr>
        <w:pStyle w:val="BodyText"/>
      </w:pPr>
      <w:r>
        <w:rPr>
          <w:iCs/>
          <w:i/>
        </w:rPr>
        <w:t xml:space="preserve">See also section 6.4, Withdrawal criteria, and section 15, Notification</w:t>
      </w:r>
      <w:r>
        <w:rPr>
          <w:iCs/>
          <w:i/>
        </w:rPr>
        <w:t xml:space="preserve"> </w:t>
      </w:r>
      <w:r>
        <w:rPr>
          <w:iCs/>
          <w:i/>
        </w:rPr>
        <w:t xml:space="preserve">of trial completion, reporting, and publication.</w:t>
      </w:r>
    </w:p>
    <w:p>
      <w:pPr>
        <w:pStyle w:val="BodyText"/>
      </w:pPr>
      <w:r>
        <w:rPr>
          <w:iCs/>
          <w:i/>
        </w:rPr>
        <w:t xml:space="preserve">If a clinical trial is suspended or terminated prematurely due to a</w:t>
      </w:r>
      <w:r>
        <w:rPr>
          <w:iCs/>
          <w:i/>
        </w:rPr>
        <w:t xml:space="preserve"> </w:t>
      </w:r>
      <w:r>
        <w:rPr>
          <w:iCs/>
          <w:i/>
        </w:rPr>
        <w:t xml:space="preserve">change in the benefit/risk balance, for reasons of subject safety, this</w:t>
      </w:r>
      <w:r>
        <w:rPr>
          <w:iCs/>
          <w:i/>
        </w:rPr>
        <w:t xml:space="preserve"> </w:t>
      </w:r>
      <w:r>
        <w:rPr>
          <w:iCs/>
          <w:i/>
        </w:rPr>
        <w:t xml:space="preserve">should be notified to the concerned Member States via CTIS. The</w:t>
      </w:r>
      <w:r>
        <w:rPr>
          <w:iCs/>
          <w:i/>
        </w:rPr>
        <w:t xml:space="preserve"> </w:t>
      </w:r>
      <w:r>
        <w:rPr>
          <w:iCs/>
          <w:i/>
        </w:rPr>
        <w:t xml:space="preserve">notification should be made as soon as possible, but no later than 15</w:t>
      </w:r>
      <w:r>
        <w:rPr>
          <w:iCs/>
          <w:i/>
        </w:rPr>
        <w:t xml:space="preserve"> </w:t>
      </w:r>
      <w:r>
        <w:rPr>
          <w:iCs/>
          <w:i/>
        </w:rPr>
        <w:t xml:space="preserve">days after the clinical trial was suspended or terminated prematurely.</w:t>
      </w:r>
      <w:r>
        <w:rPr>
          <w:iCs/>
          <w:i/>
        </w:rPr>
        <w:t xml:space="preserve"> </w:t>
      </w:r>
      <w:r>
        <w:rPr>
          <w:iCs/>
          <w:i/>
        </w:rPr>
        <w:t xml:space="preserve">The reasons for such action and follow-up measures should be provided.</w:t>
      </w:r>
      <w:r>
        <w:rPr>
          <w:iCs/>
          <w:i/>
        </w:rPr>
        <w:t xml:space="preserve"> </w:t>
      </w:r>
      <w:r>
        <w:rPr>
          <w:iCs/>
          <w:i/>
        </w:rPr>
        <w:t xml:space="preserve">The resumption of a clinical trial after it has been temporarily</w:t>
      </w:r>
      <w:r>
        <w:rPr>
          <w:iCs/>
          <w:i/>
        </w:rPr>
        <w:t xml:space="preserve"> </w:t>
      </w:r>
      <w:r>
        <w:rPr>
          <w:iCs/>
          <w:i/>
        </w:rPr>
        <w:t xml:space="preserve">suspended due to a change in the benefit/risk balance is considered to</w:t>
      </w:r>
      <w:r>
        <w:rPr>
          <w:iCs/>
          <w:i/>
        </w:rPr>
        <w:t xml:space="preserve"> </w:t>
      </w:r>
      <w:r>
        <w:rPr>
          <w:iCs/>
          <w:i/>
        </w:rPr>
        <w:t xml:space="preserve">be a substantial modification.</w:t>
      </w:r>
    </w:p>
    <w:p>
      <w:pPr>
        <w:pStyle w:val="BodyText"/>
      </w:pPr>
      <w:r>
        <w:rPr>
          <w:iCs/>
          <w:i/>
        </w:rPr>
        <w:t xml:space="preserve">Text suggestion:</w:t>
      </w:r>
    </w:p>
    <w:p>
      <w:pPr>
        <w:pStyle w:val="BodyText"/>
      </w:pPr>
      <w:r>
        <w:t xml:space="preserve">The trial ends when the last subject has completed the last follow-up</w:t>
      </w:r>
      <w:r>
        <w:t xml:space="preserve"> </w:t>
      </w:r>
      <w:r>
        <w:t xml:space="preserve">(or if this is not relevant give the estimate completion date instead).</w:t>
      </w:r>
    </w:p>
    <w:p>
      <w:pPr>
        <w:pStyle w:val="BodyText"/>
      </w:pPr>
      <w:r>
        <w:t xml:space="preserve">The trial may be prematurely terminated if it this is necessary for</w:t>
      </w:r>
      <w:r>
        <w:t xml:space="preserve"> </w:t>
      </w:r>
      <w:r>
        <w:t xml:space="preserve">safety reasons affecting the risk-benefit balance or if the recruitment</w:t>
      </w:r>
      <w:r>
        <w:t xml:space="preserve"> </w:t>
      </w:r>
      <w:r>
        <w:t xml:space="preserve">of subjects cannot be met within reasonable time limits. If the trial is</w:t>
      </w:r>
      <w:r>
        <w:t xml:space="preserve"> </w:t>
      </w:r>
      <w:r>
        <w:t xml:space="preserve">prematurely terminated or suspended, the investigator should immediately</w:t>
      </w:r>
      <w:r>
        <w:t xml:space="preserve"> </w:t>
      </w:r>
      <w:r>
        <w:t xml:space="preserve">inform the subjects about this and ensure appropriate treatment and</w:t>
      </w:r>
      <w:r>
        <w:t xml:space="preserve"> </w:t>
      </w:r>
      <w:r>
        <w:t xml:space="preserve">follow-up. The Swedish Medical Products Agency should be informed as</w:t>
      </w:r>
      <w:r>
        <w:t xml:space="preserve"> </w:t>
      </w:r>
      <w:r>
        <w:t xml:space="preserve">soon as possible via CTIS, but no later than 15 days after trial</w:t>
      </w:r>
      <w:r>
        <w:t xml:space="preserve"> </w:t>
      </w:r>
      <w:r>
        <w:t xml:space="preserve">suspension.</w:t>
      </w:r>
    </w:p>
    <w:p>
      <w:pPr>
        <w:pStyle w:val="BodyText"/>
      </w:pPr>
      <w:r>
        <w:t xml:space="preserve">Decisions on premature termination are taken by the sponsor.</w:t>
      </w:r>
    </w:p>
    <w:bookmarkEnd w:id="38"/>
    <w:bookmarkStart w:id="44" w:name="subject-selection"/>
    <w:p>
      <w:pPr>
        <w:pStyle w:val="Heading2"/>
      </w:pPr>
      <w:r>
        <w:t xml:space="preserve">7.6 Subject selection</w:t>
      </w:r>
    </w:p>
    <w:p>
      <w:pPr>
        <w:pStyle w:val="FirstParagraph"/>
      </w:pPr>
      <w:r>
        <w:rPr>
          <w:iCs/>
          <w:i/>
        </w:rPr>
        <w:t xml:space="preserve">A description of the groups and subgroups of subjects to be enrolled in</w:t>
      </w:r>
      <w:r>
        <w:rPr>
          <w:iCs/>
          <w:i/>
        </w:rPr>
        <w:t xml:space="preserve"> </w:t>
      </w:r>
      <w:r>
        <w:rPr>
          <w:iCs/>
          <w:i/>
        </w:rPr>
        <w:t xml:space="preserve">the clinical trial, including, where applicable, groups of subjects with</w:t>
      </w:r>
      <w:r>
        <w:rPr>
          <w:iCs/>
          <w:i/>
        </w:rPr>
        <w:t xml:space="preserve"> </w:t>
      </w:r>
      <w:r>
        <w:rPr>
          <w:iCs/>
          <w:i/>
        </w:rPr>
        <w:t xml:space="preserve">special needs (e.g. age, gender, healthy volunteers, subjects with rare</w:t>
      </w:r>
      <w:r>
        <w:rPr>
          <w:iCs/>
          <w:i/>
        </w:rPr>
        <w:t xml:space="preserve"> </w:t>
      </w:r>
      <w:r>
        <w:rPr>
          <w:iCs/>
          <w:i/>
        </w:rPr>
        <w:t xml:space="preserve">or very rare diseases). A justification of the gender and age</w:t>
      </w:r>
      <w:r>
        <w:rPr>
          <w:iCs/>
          <w:i/>
        </w:rPr>
        <w:t xml:space="preserve"> </w:t>
      </w:r>
      <w:r>
        <w:rPr>
          <w:iCs/>
          <w:i/>
        </w:rPr>
        <w:t xml:space="preserve">distribution of the subjects if a certain gender or age group is not</w:t>
      </w:r>
      <w:r>
        <w:rPr>
          <w:iCs/>
          <w:i/>
        </w:rPr>
        <w:t xml:space="preserve"> </w:t>
      </w:r>
      <w:r>
        <w:rPr>
          <w:iCs/>
          <w:i/>
        </w:rPr>
        <w:t xml:space="preserve">enrolled or is underrepresented in the clinical trial, an explanation of</w:t>
      </w:r>
      <w:r>
        <w:rPr>
          <w:iCs/>
          <w:i/>
        </w:rPr>
        <w:t xml:space="preserve"> </w:t>
      </w:r>
      <w:r>
        <w:rPr>
          <w:iCs/>
          <w:i/>
        </w:rPr>
        <w:t xml:space="preserve">the reasons and a justification of these exclusion criteria.</w:t>
      </w:r>
    </w:p>
    <w:bookmarkStart w:id="40" w:name="inclusion-criteria"/>
    <w:p>
      <w:pPr>
        <w:pStyle w:val="Heading3"/>
      </w:pPr>
      <w:r>
        <w:t xml:space="preserve">7.6.1 Inclusion criteria</w:t>
      </w:r>
    </w:p>
    <w:p>
      <w:pPr>
        <w:pStyle w:val="FirstParagraph"/>
      </w:pPr>
      <w:r>
        <w:rPr>
          <w:iCs/>
          <w:i/>
        </w:rPr>
        <w:t xml:space="preserve">Only pre-defined inclusion, exclusion, and withdrawal criteria can be</w:t>
      </w:r>
      <w:r>
        <w:rPr>
          <w:iCs/>
          <w:i/>
        </w:rPr>
        <w:t xml:space="preserve"> </w:t>
      </w:r>
      <w:r>
        <w:rPr>
          <w:iCs/>
          <w:i/>
        </w:rPr>
        <w:t xml:space="preserve">used in the trial. Inclusion criteria often include signed informed</w:t>
      </w:r>
      <w:r>
        <w:rPr>
          <w:iCs/>
          <w:i/>
        </w:rPr>
        <w:t xml:space="preserve"> </w:t>
      </w:r>
      <w:r>
        <w:rPr>
          <w:iCs/>
          <w:i/>
        </w:rPr>
        <w:t xml:space="preserve">consent, age, disease, symptoms, possibly requirements for negative</w:t>
      </w:r>
      <w:r>
        <w:rPr>
          <w:iCs/>
          <w:i/>
        </w:rPr>
        <w:t xml:space="preserve"> </w:t>
      </w:r>
      <w:r>
        <w:rPr>
          <w:iCs/>
          <w:i/>
        </w:rPr>
        <w:t xml:space="preserve">pregnancy test, contraception use during the trial. If fertile women are</w:t>
      </w:r>
      <w:r>
        <w:rPr>
          <w:iCs/>
          <w:i/>
        </w:rPr>
        <w:t xml:space="preserve"> </w:t>
      </w:r>
      <w:r>
        <w:rPr>
          <w:iCs/>
          <w:i/>
        </w:rPr>
        <w:t xml:space="preserve">to be included, see</w:t>
      </w:r>
      <w:r>
        <w:rPr>
          <w:iCs/>
          <w:i/>
        </w:rPr>
        <w:t xml:space="preserve"> </w:t>
      </w:r>
      <w:r>
        <w:rPr>
          <w:iCs/>
          <w:i/>
        </w:rPr>
        <w:t xml:space="preserve">document,</w:t>
      </w:r>
      <w:r>
        <w:rPr>
          <w:iCs/>
          <w:i/>
        </w:rPr>
        <w:t xml:space="preserve">“</w:t>
      </w:r>
      <w:hyperlink r:id="rId39">
        <w:r>
          <w:rPr>
            <w:rStyle w:val="Hyperlink"/>
            <w:iCs/>
            <w:i/>
          </w:rPr>
          <w:t xml:space="preserve">Antikonceptionsrekommendationer</w:t>
        </w:r>
      </w:hyperlink>
      <w:r>
        <w:rPr>
          <w:iCs/>
          <w:i/>
        </w:rPr>
        <w:t xml:space="preserve">”</w:t>
      </w:r>
      <w:r>
        <w:rPr>
          <w:iCs/>
          <w:i/>
        </w:rPr>
        <w:t xml:space="preserve"> </w:t>
      </w:r>
      <w:r>
        <w:rPr>
          <w:iCs/>
          <w:i/>
        </w:rPr>
        <w:t xml:space="preserve">(in Swedish), on the Swedish Medical Product Agency’s website.</w:t>
      </w:r>
    </w:p>
    <w:p>
      <w:pPr>
        <w:pStyle w:val="BodyText"/>
      </w:pPr>
      <w:r>
        <w:rPr>
          <w:iCs/>
          <w:i/>
        </w:rPr>
        <w:t xml:space="preserve">Note that all inclusion criteria are written so that they can be</w:t>
      </w:r>
      <w:r>
        <w:rPr>
          <w:iCs/>
          <w:i/>
        </w:rPr>
        <w:t xml:space="preserve"> </w:t>
      </w:r>
      <w:r>
        <w:rPr>
          <w:iCs/>
          <w:i/>
        </w:rPr>
        <w:t xml:space="preserve">answered with a” Yes”.</w:t>
      </w:r>
    </w:p>
    <w:p>
      <w:pPr>
        <w:pStyle w:val="BodyText"/>
      </w:pPr>
      <w:r>
        <w:rPr>
          <w:iCs/>
          <w:i/>
        </w:rPr>
        <w:t xml:space="preserve">Text suggestion:</w:t>
      </w:r>
      <w:r>
        <w:t xml:space="preserve"> </w:t>
      </w:r>
      <w:r>
        <w:t xml:space="preserve">To be included in the trial, subjects must meet the</w:t>
      </w:r>
      <w:r>
        <w:t xml:space="preserve"> </w:t>
      </w:r>
      <w:r>
        <w:t xml:space="preserve">following criteria:</w:t>
      </w:r>
    </w:p>
    <w:p>
      <w:pPr>
        <w:numPr>
          <w:ilvl w:val="0"/>
          <w:numId w:val="1004"/>
        </w:numPr>
      </w:pPr>
      <w:r>
        <w:t xml:space="preserve">The subject has given their written consent to participate in the</w:t>
      </w:r>
      <w:r>
        <w:t xml:space="preserve"> </w:t>
      </w:r>
      <w:r>
        <w:t xml:space="preserve">trial.</w:t>
      </w:r>
    </w:p>
    <w:p>
      <w:pPr>
        <w:numPr>
          <w:ilvl w:val="0"/>
          <w:numId w:val="1004"/>
        </w:numPr>
      </w:pPr>
      <w:r>
        <w:rPr>
          <w:iCs/>
          <w:i/>
        </w:rPr>
        <w:t xml:space="preserve">For female subjects of fertile age, adequate contraception should</w:t>
      </w:r>
      <w:r>
        <w:rPr>
          <w:iCs/>
          <w:i/>
        </w:rPr>
        <w:t xml:space="preserve"> </w:t>
      </w:r>
      <w:r>
        <w:rPr>
          <w:iCs/>
          <w:i/>
        </w:rPr>
        <w:t xml:space="preserve">be used, specify which methods. A negative pregnancy test can</w:t>
      </w:r>
      <w:r>
        <w:rPr>
          <w:iCs/>
          <w:i/>
        </w:rPr>
        <w:t xml:space="preserve"> </w:t>
      </w:r>
      <w:r>
        <w:rPr>
          <w:iCs/>
          <w:i/>
        </w:rPr>
        <w:t xml:space="preserve">eventually be a requirement, specify requirement/type of pregnancy</w:t>
      </w:r>
      <w:r>
        <w:rPr>
          <w:iCs/>
          <w:i/>
        </w:rPr>
        <w:t xml:space="preserve"> </w:t>
      </w:r>
      <w:r>
        <w:rPr>
          <w:iCs/>
          <w:i/>
        </w:rPr>
        <w:t xml:space="preserve">test. Contraceptive requirements may also apply to male subjects.</w:t>
      </w:r>
    </w:p>
    <w:bookmarkEnd w:id="40"/>
    <w:bookmarkStart w:id="41" w:name="exclusion-criteria"/>
    <w:p>
      <w:pPr>
        <w:pStyle w:val="Heading3"/>
      </w:pPr>
      <w:r>
        <w:t xml:space="preserve">7.6.2 Exclusion criteria</w:t>
      </w:r>
    </w:p>
    <w:p>
      <w:pPr>
        <w:pStyle w:val="FirstParagraph"/>
      </w:pPr>
      <w:r>
        <w:rPr>
          <w:iCs/>
          <w:i/>
        </w:rPr>
        <w:t xml:space="preserve">State the criteria that the subject cannot meet in order to be included</w:t>
      </w:r>
      <w:r>
        <w:rPr>
          <w:iCs/>
          <w:i/>
        </w:rPr>
        <w:t xml:space="preserve"> </w:t>
      </w:r>
      <w:r>
        <w:rPr>
          <w:iCs/>
          <w:i/>
        </w:rPr>
        <w:t xml:space="preserve">in the trial, with respect to the subject’s safety or something that may</w:t>
      </w:r>
      <w:r>
        <w:rPr>
          <w:iCs/>
          <w:i/>
        </w:rPr>
        <w:t xml:space="preserve"> </w:t>
      </w:r>
      <w:r>
        <w:rPr>
          <w:iCs/>
          <w:i/>
        </w:rPr>
        <w:t xml:space="preserve">interfere with the trial results.</w:t>
      </w:r>
    </w:p>
    <w:p>
      <w:pPr>
        <w:pStyle w:val="BodyText"/>
      </w:pPr>
      <w:r>
        <w:rPr>
          <w:iCs/>
          <w:i/>
        </w:rPr>
        <w:t xml:space="preserve">Check that all contraindications for the investigational medicinal</w:t>
      </w:r>
      <w:r>
        <w:rPr>
          <w:iCs/>
          <w:i/>
        </w:rPr>
        <w:t xml:space="preserve"> </w:t>
      </w:r>
      <w:r>
        <w:rPr>
          <w:iCs/>
          <w:i/>
        </w:rPr>
        <w:t xml:space="preserve">product in the SPC/IB are included.</w:t>
      </w:r>
    </w:p>
    <w:p>
      <w:pPr>
        <w:pStyle w:val="BodyText"/>
      </w:pPr>
      <w:r>
        <w:rPr>
          <w:iCs/>
          <w:i/>
        </w:rPr>
        <w:t xml:space="preserve">The following exclusion criteria are commonly included in trials:</w:t>
      </w:r>
    </w:p>
    <w:p>
      <w:pPr>
        <w:numPr>
          <w:ilvl w:val="0"/>
          <w:numId w:val="1005"/>
        </w:numPr>
      </w:pPr>
      <w:r>
        <w:rPr>
          <w:iCs/>
          <w:i/>
        </w:rPr>
        <w:t xml:space="preserve">Contraindications</w:t>
      </w:r>
    </w:p>
    <w:p>
      <w:pPr>
        <w:numPr>
          <w:ilvl w:val="0"/>
          <w:numId w:val="1005"/>
        </w:numPr>
      </w:pPr>
      <w:r>
        <w:rPr>
          <w:iCs/>
          <w:i/>
        </w:rPr>
        <w:t xml:space="preserve">Concomitant medications</w:t>
      </w:r>
    </w:p>
    <w:p>
      <w:pPr>
        <w:numPr>
          <w:ilvl w:val="0"/>
          <w:numId w:val="1005"/>
        </w:numPr>
      </w:pPr>
      <w:r>
        <w:rPr>
          <w:iCs/>
          <w:i/>
        </w:rPr>
        <w:t xml:space="preserve">Known or suspected allergies against any product included in the</w:t>
      </w:r>
      <w:r>
        <w:rPr>
          <w:iCs/>
          <w:i/>
        </w:rPr>
        <w:t xml:space="preserve"> </w:t>
      </w:r>
      <w:r>
        <w:rPr>
          <w:iCs/>
          <w:i/>
        </w:rPr>
        <w:t xml:space="preserve">trial</w:t>
      </w:r>
    </w:p>
    <w:p>
      <w:pPr>
        <w:numPr>
          <w:ilvl w:val="0"/>
          <w:numId w:val="1005"/>
        </w:numPr>
      </w:pPr>
      <w:r>
        <w:rPr>
          <w:iCs/>
          <w:i/>
        </w:rPr>
        <w:t xml:space="preserve">Pregnancy, breastfeeding, or planned pregnancy</w:t>
      </w:r>
    </w:p>
    <w:p>
      <w:pPr>
        <w:numPr>
          <w:ilvl w:val="0"/>
          <w:numId w:val="1005"/>
        </w:numPr>
      </w:pPr>
      <w:r>
        <w:rPr>
          <w:iCs/>
          <w:i/>
        </w:rPr>
        <w:t xml:space="preserve">Mental inability, reluctance or language difficulties that result</w:t>
      </w:r>
      <w:r>
        <w:rPr>
          <w:iCs/>
          <w:i/>
        </w:rPr>
        <w:t xml:space="preserve"> </w:t>
      </w:r>
      <w:r>
        <w:rPr>
          <w:iCs/>
          <w:i/>
        </w:rPr>
        <w:t xml:space="preserve">in difficulty understanding the meaning of participation in the</w:t>
      </w:r>
      <w:r>
        <w:rPr>
          <w:iCs/>
          <w:i/>
        </w:rPr>
        <w:t xml:space="preserve"> </w:t>
      </w:r>
      <w:r>
        <w:rPr>
          <w:iCs/>
          <w:i/>
        </w:rPr>
        <w:t xml:space="preserve">trial</w:t>
      </w:r>
    </w:p>
    <w:p>
      <w:pPr>
        <w:numPr>
          <w:ilvl w:val="0"/>
          <w:numId w:val="1005"/>
        </w:numPr>
      </w:pPr>
      <w:r>
        <w:rPr>
          <w:iCs/>
          <w:i/>
        </w:rPr>
        <w:t xml:space="preserve">Treatment or disease which, according to the investigator, can</w:t>
      </w:r>
      <w:r>
        <w:rPr>
          <w:iCs/>
          <w:i/>
        </w:rPr>
        <w:t xml:space="preserve"> </w:t>
      </w:r>
      <w:r>
        <w:rPr>
          <w:iCs/>
          <w:i/>
        </w:rPr>
        <w:t xml:space="preserve">affect treatment or trial results</w:t>
      </w:r>
    </w:p>
    <w:p>
      <w:pPr>
        <w:numPr>
          <w:ilvl w:val="0"/>
          <w:numId w:val="1005"/>
        </w:numPr>
      </w:pPr>
      <w:r>
        <w:rPr>
          <w:iCs/>
          <w:i/>
        </w:rPr>
        <w:t xml:space="preserve">Participation or recent participation in a clinical trial with a</w:t>
      </w:r>
      <w:r>
        <w:rPr>
          <w:iCs/>
          <w:i/>
        </w:rPr>
        <w:t xml:space="preserve"> </w:t>
      </w:r>
      <w:r>
        <w:rPr>
          <w:iCs/>
          <w:i/>
        </w:rPr>
        <w:t xml:space="preserve">investigational medicinal product (specify how recently, usually 30</w:t>
      </w:r>
      <w:r>
        <w:rPr>
          <w:iCs/>
          <w:i/>
        </w:rPr>
        <w:t xml:space="preserve"> </w:t>
      </w:r>
      <w:r>
        <w:rPr>
          <w:iCs/>
          <w:i/>
        </w:rPr>
        <w:t xml:space="preserve">days). Previous participation in this trial.</w:t>
      </w:r>
    </w:p>
    <w:p>
      <w:pPr>
        <w:pStyle w:val="FirstParagraph"/>
      </w:pPr>
      <w:r>
        <w:rPr>
          <w:iCs/>
          <w:i/>
        </w:rPr>
        <w:t xml:space="preserve">Text suggestion:</w:t>
      </w:r>
      <w:r>
        <w:t xml:space="preserve"> </w:t>
      </w:r>
      <w:r>
        <w:t xml:space="preserve">Subjects must not be included in this trial if any of</w:t>
      </w:r>
      <w:r>
        <w:t xml:space="preserve"> </w:t>
      </w:r>
      <w:r>
        <w:t xml:space="preserve">the following criteria are met:</w:t>
      </w:r>
    </w:p>
    <w:p>
      <w:pPr>
        <w:numPr>
          <w:ilvl w:val="0"/>
          <w:numId w:val="1006"/>
        </w:numPr>
      </w:pPr>
      <w:r>
        <w:t xml:space="preserve">.</w:t>
      </w:r>
    </w:p>
    <w:p>
      <w:pPr>
        <w:numPr>
          <w:ilvl w:val="0"/>
          <w:numId w:val="1006"/>
        </w:numPr>
      </w:pPr>
      <w:r>
        <w:t xml:space="preserve">.</w:t>
      </w:r>
    </w:p>
    <w:p>
      <w:pPr>
        <w:numPr>
          <w:ilvl w:val="0"/>
          <w:numId w:val="1006"/>
        </w:numPr>
      </w:pPr>
      <w:r>
        <w:t xml:space="preserve">.</w:t>
      </w:r>
    </w:p>
    <w:bookmarkEnd w:id="41"/>
    <w:bookmarkStart w:id="42" w:name="screening"/>
    <w:p>
      <w:pPr>
        <w:pStyle w:val="Heading3"/>
      </w:pPr>
      <w:r>
        <w:t xml:space="preserve">7.6.3 Screening</w:t>
      </w:r>
    </w:p>
    <w:p>
      <w:pPr>
        <w:pStyle w:val="FirstParagraph"/>
      </w:pPr>
      <w:r>
        <w:rPr>
          <w:iCs/>
          <w:i/>
        </w:rPr>
        <w:t xml:space="preserve">Describe the process for screening and inclusion. Also provide</w:t>
      </w:r>
      <w:r>
        <w:rPr>
          <w:iCs/>
          <w:i/>
        </w:rPr>
        <w:t xml:space="preserve"> </w:t>
      </w:r>
      <w:r>
        <w:rPr>
          <w:iCs/>
          <w:i/>
        </w:rPr>
        <w:t xml:space="preserve">information about whether and when re-screening is allowed.</w:t>
      </w:r>
    </w:p>
    <w:p>
      <w:pPr>
        <w:pStyle w:val="BodyText"/>
      </w:pPr>
      <w:r>
        <w:rPr>
          <w:iCs/>
          <w:i/>
        </w:rPr>
        <w:t xml:space="preserve">Text suggestion:</w:t>
      </w:r>
      <w:r>
        <w:t xml:space="preserve"> </w:t>
      </w:r>
      <w:r>
        <w:t xml:space="preserve">Subject eligibility (that subjects fulfill all</w:t>
      </w:r>
      <w:r>
        <w:t xml:space="preserve"> </w:t>
      </w:r>
      <w:r>
        <w:t xml:space="preserve">inclusion criteria and do not meet any exclusion criteria) is</w:t>
      </w:r>
      <w:r>
        <w:t xml:space="preserve"> </w:t>
      </w:r>
      <w:r>
        <w:t xml:space="preserve">established before inclusion, treatment, or randomization.</w:t>
      </w:r>
    </w:p>
    <w:bookmarkEnd w:id="42"/>
    <w:bookmarkStart w:id="43" w:name="withdrawal-criteria"/>
    <w:p>
      <w:pPr>
        <w:pStyle w:val="Heading3"/>
      </w:pPr>
      <w:r>
        <w:t xml:space="preserve">7.6.4 Withdrawal criteria</w:t>
      </w:r>
    </w:p>
    <w:p>
      <w:pPr>
        <w:pStyle w:val="FirstParagraph"/>
      </w:pPr>
      <w:r>
        <w:rPr>
          <w:iCs/>
          <w:i/>
        </w:rPr>
        <w:t xml:space="preserve">Specify criteria for when and how subjects can/must be prematurely</w:t>
      </w:r>
      <w:r>
        <w:rPr>
          <w:iCs/>
          <w:i/>
        </w:rPr>
        <w:t xml:space="preserve"> </w:t>
      </w:r>
      <w:r>
        <w:rPr>
          <w:iCs/>
          <w:i/>
        </w:rPr>
        <w:t xml:space="preserve">taken out of the trial.</w:t>
      </w:r>
    </w:p>
    <w:p>
      <w:pPr>
        <w:numPr>
          <w:ilvl w:val="0"/>
          <w:numId w:val="1007"/>
        </w:numPr>
      </w:pPr>
      <w:r>
        <w:rPr>
          <w:iCs/>
          <w:i/>
        </w:rPr>
        <w:t xml:space="preserve">The subject may choose to discontinue the trial at any time</w:t>
      </w:r>
    </w:p>
    <w:p>
      <w:pPr>
        <w:numPr>
          <w:ilvl w:val="0"/>
          <w:numId w:val="1007"/>
        </w:numPr>
      </w:pPr>
      <w:r>
        <w:rPr>
          <w:iCs/>
          <w:i/>
        </w:rPr>
        <w:t xml:space="preserve">The principal investigator or safety committee can terminate a</w:t>
      </w:r>
      <w:r>
        <w:rPr>
          <w:iCs/>
          <w:i/>
        </w:rPr>
        <w:t xml:space="preserve"> </w:t>
      </w:r>
      <w:r>
        <w:rPr>
          <w:iCs/>
          <w:i/>
        </w:rPr>
        <w:t xml:space="preserve">subject’s participation (due to, e.g., non-tolerable adverse</w:t>
      </w:r>
      <w:r>
        <w:rPr>
          <w:iCs/>
          <w:i/>
        </w:rPr>
        <w:t xml:space="preserve"> </w:t>
      </w:r>
      <w:r>
        <w:rPr>
          <w:iCs/>
          <w:i/>
        </w:rPr>
        <w:t xml:space="preserve">events/adverse reactions, pregnancy, etc.)</w:t>
      </w:r>
    </w:p>
    <w:p>
      <w:pPr>
        <w:numPr>
          <w:ilvl w:val="0"/>
          <w:numId w:val="1007"/>
        </w:numPr>
      </w:pPr>
      <w:r>
        <w:rPr>
          <w:iCs/>
          <w:i/>
        </w:rPr>
        <w:t xml:space="preserve">A concerned Competent Authority can terminate the trial.</w:t>
      </w:r>
    </w:p>
    <w:p>
      <w:pPr>
        <w:pStyle w:val="FirstParagraph"/>
      </w:pPr>
      <w:r>
        <w:rPr>
          <w:iCs/>
          <w:i/>
        </w:rPr>
        <w:t xml:space="preserve">Describe the care of trial subjects who prematurely discontinue the</w:t>
      </w:r>
      <w:r>
        <w:rPr>
          <w:iCs/>
          <w:i/>
        </w:rPr>
        <w:t xml:space="preserve"> </w:t>
      </w:r>
      <w:r>
        <w:rPr>
          <w:iCs/>
          <w:i/>
        </w:rPr>
        <w:t xml:space="preserve">trial (e.g., continued treatment, examinations).</w:t>
      </w:r>
    </w:p>
    <w:p>
      <w:pPr>
        <w:pStyle w:val="BodyText"/>
      </w:pPr>
      <w:r>
        <w:rPr>
          <w:iCs/>
          <w:i/>
        </w:rPr>
        <w:t xml:space="preserve">Describe how data will be handled for subjects who discontinue the</w:t>
      </w:r>
      <w:r>
        <w:rPr>
          <w:iCs/>
          <w:i/>
        </w:rPr>
        <w:t xml:space="preserve"> </w:t>
      </w:r>
      <w:r>
        <w:rPr>
          <w:iCs/>
          <w:i/>
        </w:rPr>
        <w:t xml:space="preserve">trial prematurely. Specify if a closing visit will be performed or if</w:t>
      </w:r>
      <w:r>
        <w:rPr>
          <w:iCs/>
          <w:i/>
        </w:rPr>
        <w:t xml:space="preserve"> </w:t>
      </w:r>
      <w:r>
        <w:rPr>
          <w:iCs/>
          <w:i/>
        </w:rPr>
        <w:t xml:space="preserve">other follow-up is planned (e.g., overall survival).</w:t>
      </w:r>
    </w:p>
    <w:p>
      <w:pPr>
        <w:pStyle w:val="BodyText"/>
      </w:pPr>
      <w:r>
        <w:rPr>
          <w:iCs/>
          <w:i/>
        </w:rPr>
        <w:t xml:space="preserve">It should also be clarified whether a subject who has discontinued the</w:t>
      </w:r>
      <w:r>
        <w:rPr>
          <w:iCs/>
          <w:i/>
        </w:rPr>
        <w:t xml:space="preserve"> </w:t>
      </w:r>
      <w:r>
        <w:rPr>
          <w:iCs/>
          <w:i/>
        </w:rPr>
        <w:t xml:space="preserve">trial will/can be replaced to achieve the desired number of included</w:t>
      </w:r>
      <w:r>
        <w:rPr>
          <w:iCs/>
          <w:i/>
        </w:rPr>
        <w:t xml:space="preserve"> </w:t>
      </w:r>
      <w:r>
        <w:rPr>
          <w:iCs/>
          <w:i/>
        </w:rPr>
        <w:t xml:space="preserve">subjects and, if so, in which case/how this will be done.</w:t>
      </w:r>
    </w:p>
    <w:p>
      <w:pPr>
        <w:pStyle w:val="BodyText"/>
      </w:pPr>
      <w:r>
        <w:rPr>
          <w:iCs/>
          <w:i/>
        </w:rPr>
        <w:t xml:space="preserve">If an exclusion criterion applies throughout the trial, this should</w:t>
      </w:r>
      <w:r>
        <w:rPr>
          <w:iCs/>
          <w:i/>
        </w:rPr>
        <w:t xml:space="preserve"> </w:t>
      </w:r>
      <w:r>
        <w:rPr>
          <w:iCs/>
          <w:i/>
        </w:rPr>
        <w:t xml:space="preserve">also be stated.</w:t>
      </w:r>
    </w:p>
    <w:p>
      <w:pPr>
        <w:pStyle w:val="BodyText"/>
      </w:pPr>
      <w:r>
        <w:rPr>
          <w:iCs/>
          <w:i/>
        </w:rPr>
        <w:t xml:space="preserve">See also section 5.4, End of Trial, and section 15, Notification of</w:t>
      </w:r>
      <w:r>
        <w:rPr>
          <w:iCs/>
          <w:i/>
        </w:rPr>
        <w:t xml:space="preserve"> </w:t>
      </w:r>
      <w:r>
        <w:rPr>
          <w:iCs/>
          <w:i/>
        </w:rPr>
        <w:t xml:space="preserve">trial completion, reporting, and publication.</w:t>
      </w:r>
    </w:p>
    <w:p>
      <w:pPr>
        <w:pStyle w:val="BodyText"/>
      </w:pPr>
      <w:r>
        <w:rPr>
          <w:iCs/>
          <w:i/>
        </w:rPr>
        <w:t xml:space="preserve">Example text:</w:t>
      </w:r>
      <w:r>
        <w:br/>
      </w:r>
      <w:r>
        <w:t xml:space="preserve">Subjects can discontinue their participation in the trial at any time</w:t>
      </w:r>
      <w:r>
        <w:t xml:space="preserve"> </w:t>
      </w:r>
      <w:r>
        <w:t xml:space="preserve">without any consequence to his/her continued treatment. The</w:t>
      </w:r>
      <w:r>
        <w:t xml:space="preserve"> </w:t>
      </w:r>
      <w:r>
        <w:t xml:space="preserve">investigator/sponsor can at any time terminate the trial for a subject</w:t>
      </w:r>
      <w:r>
        <w:t xml:space="preserve"> </w:t>
      </w:r>
      <w:r>
        <w:t xml:space="preserve">due to, e.g., unacceptable adverse events/adverse reactions or because</w:t>
      </w:r>
      <w:r>
        <w:t xml:space="preserve"> </w:t>
      </w:r>
      <w:r>
        <w:t xml:space="preserve">the subject does not follow procedures in the clinical trial protocol.</w:t>
      </w:r>
      <w:r>
        <w:t xml:space="preserve"> </w:t>
      </w:r>
      <w:r>
        <w:t xml:space="preserve">If the subject discontinues the trial, follow-up of this subject will be</w:t>
      </w:r>
      <w:r>
        <w:t xml:space="preserve"> </w:t>
      </w:r>
      <w:r>
        <w:t xml:space="preserve">performed according to the clinic’s routine.</w:t>
      </w:r>
    </w:p>
    <w:bookmarkEnd w:id="43"/>
    <w:bookmarkEnd w:id="44"/>
    <w:bookmarkStart w:id="45" w:name="trial-treatments"/>
    <w:p>
      <w:pPr>
        <w:pStyle w:val="Heading2"/>
      </w:pPr>
      <w:r>
        <w:t xml:space="preserve">7.7 Trial treatments</w:t>
      </w:r>
    </w:p>
    <w:p>
      <w:pPr>
        <w:pStyle w:val="FirstParagraph"/>
      </w:pPr>
      <w:r>
        <w:rPr>
          <w:iCs/>
          <w:i/>
        </w:rPr>
        <w:t xml:space="preserve">The term investigational medicinal product includes medicinal products</w:t>
      </w:r>
      <w:r>
        <w:rPr>
          <w:iCs/>
          <w:i/>
        </w:rPr>
        <w:t xml:space="preserve"> </w:t>
      </w:r>
      <w:r>
        <w:rPr>
          <w:iCs/>
          <w:i/>
        </w:rPr>
        <w:t xml:space="preserve">used as comparators (placebo or active medicinal product). The same</w:t>
      </w:r>
      <w:r>
        <w:rPr>
          <w:iCs/>
          <w:i/>
        </w:rPr>
        <w:t xml:space="preserve"> </w:t>
      </w:r>
      <w:r>
        <w:rPr>
          <w:iCs/>
          <w:i/>
        </w:rPr>
        <w:t xml:space="preserve">requirements apply to comparator medicinal products as to the medicinal</w:t>
      </w:r>
      <w:r>
        <w:rPr>
          <w:iCs/>
          <w:i/>
        </w:rPr>
        <w:t xml:space="preserve"> </w:t>
      </w:r>
      <w:r>
        <w:rPr>
          <w:iCs/>
          <w:i/>
        </w:rPr>
        <w:t xml:space="preserve">products under investigation. Comparator medicinal products should</w:t>
      </w:r>
      <w:r>
        <w:rPr>
          <w:iCs/>
          <w:i/>
        </w:rPr>
        <w:t xml:space="preserve"> </w:t>
      </w:r>
      <w:r>
        <w:rPr>
          <w:iCs/>
          <w:i/>
        </w:rPr>
        <w:t xml:space="preserve">therefore be described in a similar way in this section, i.e. when the</w:t>
      </w:r>
      <w:r>
        <w:rPr>
          <w:iCs/>
          <w:i/>
        </w:rPr>
        <w:t xml:space="preserve"> </w:t>
      </w:r>
      <w:r>
        <w:rPr>
          <w:iCs/>
          <w:i/>
        </w:rPr>
        <w:t xml:space="preserve">instruction text below states investigational medicinal products, the</w:t>
      </w:r>
      <w:r>
        <w:rPr>
          <w:iCs/>
          <w:i/>
        </w:rPr>
        <w:t xml:space="preserve"> </w:t>
      </w:r>
      <w:r>
        <w:rPr>
          <w:iCs/>
          <w:i/>
        </w:rPr>
        <w:t xml:space="preserve">corresponding information also needs to be provided for any comparator</w:t>
      </w:r>
      <w:r>
        <w:rPr>
          <w:iCs/>
          <w:i/>
        </w:rPr>
        <w:t xml:space="preserve"> </w:t>
      </w:r>
      <w:r>
        <w:rPr>
          <w:iCs/>
          <w:i/>
        </w:rPr>
        <w:t xml:space="preserve">medicinal products.</w:t>
      </w:r>
    </w:p>
    <w:bookmarkEnd w:id="45"/>
    <w:bookmarkStart w:id="46" w:name="Xf02b29e15f63d0cbcdfc4516a30aea727e4ce25"/>
    <w:p>
      <w:pPr>
        <w:pStyle w:val="Heading2"/>
      </w:pPr>
      <w:r>
        <w:t xml:space="preserve">7.8 Description of investigational medicinal product(s)</w:t>
      </w:r>
    </w:p>
    <w:p>
      <w:pPr>
        <w:pStyle w:val="FirstParagraph"/>
      </w:pPr>
      <w:r>
        <w:t xml:space="preserve">This trial does not include any investigational medicinal products.</w:t>
      </w:r>
    </w:p>
    <w:bookmarkEnd w:id="46"/>
    <w:bookmarkStart w:id="47" w:name="randomization"/>
    <w:p>
      <w:pPr>
        <w:pStyle w:val="Heading2"/>
      </w:pPr>
      <w:r>
        <w:t xml:space="preserve">7.9 Randomization</w:t>
      </w:r>
    </w:p>
    <w:p>
      <w:pPr>
        <w:pStyle w:val="FirstParagraph"/>
      </w:pPr>
      <w:r>
        <w:rPr>
          <w:iCs/>
          <w:i/>
        </w:rPr>
        <w:t xml:space="preserve">Describe in detail how randomization will be performed and how subjects</w:t>
      </w:r>
      <w:r>
        <w:rPr>
          <w:iCs/>
          <w:i/>
        </w:rPr>
        <w:t xml:space="preserve"> </w:t>
      </w:r>
      <w:r>
        <w:rPr>
          <w:iCs/>
          <w:i/>
        </w:rPr>
        <w:t xml:space="preserve">receive a randomization number. Also include information according to</w:t>
      </w:r>
      <w:r>
        <w:rPr>
          <w:iCs/>
          <w:i/>
        </w:rPr>
        <w:t xml:space="preserve"> </w:t>
      </w:r>
      <w:r>
        <w:rPr>
          <w:iCs/>
          <w:i/>
        </w:rPr>
        <w:t xml:space="preserve">the example text below.</w:t>
      </w:r>
    </w:p>
    <w:p>
      <w:pPr>
        <w:pStyle w:val="BodyText"/>
      </w:pPr>
      <w:r>
        <w:rPr>
          <w:iCs/>
          <w:i/>
        </w:rPr>
        <w:t xml:space="preserve">Text suggestion:</w:t>
      </w:r>
      <w:r>
        <w:t xml:space="preserve"> </w:t>
      </w:r>
      <w:r>
        <w:t xml:space="preserve">Subjects are included/randomized consecutively as</w:t>
      </w:r>
      <w:r>
        <w:t xml:space="preserve"> </w:t>
      </w:r>
      <w:r>
        <w:t xml:space="preserve">they are found to be eligible for inclusion in the trial. If a subject</w:t>
      </w:r>
      <w:r>
        <w:t xml:space="preserve"> </w:t>
      </w:r>
      <w:r>
        <w:t xml:space="preserve">discontinues their participation, the subject’s trial-specific code will</w:t>
      </w:r>
      <w:r>
        <w:t xml:space="preserve"> </w:t>
      </w:r>
      <w:r>
        <w:t xml:space="preserve">not be reused and the subject will not be allowed to re-enter the trial</w:t>
      </w:r>
      <w:r>
        <w:t xml:space="preserve"> </w:t>
      </w:r>
      <w:r>
        <w:t xml:space="preserve">again.</w:t>
      </w:r>
    </w:p>
    <w:bookmarkEnd w:id="47"/>
    <w:bookmarkStart w:id="48" w:name="blinding"/>
    <w:p>
      <w:pPr>
        <w:pStyle w:val="Heading2"/>
      </w:pPr>
      <w:r>
        <w:t xml:space="preserve">7.10 Blinding</w:t>
      </w:r>
    </w:p>
    <w:p>
      <w:pPr>
        <w:pStyle w:val="FirstParagraph"/>
      </w:pPr>
      <w:r>
        <w:rPr>
          <w:iCs/>
          <w:i/>
        </w:rPr>
        <w:t xml:space="preserve">Describe the process for blinding. If this is not a blinded trial, this</w:t>
      </w:r>
      <w:r>
        <w:rPr>
          <w:iCs/>
          <w:i/>
        </w:rPr>
        <w:t xml:space="preserve"> </w:t>
      </w:r>
      <w:r>
        <w:rPr>
          <w:iCs/>
          <w:i/>
        </w:rPr>
        <w:t xml:space="preserve">section can be removed.</w:t>
      </w:r>
    </w:p>
    <w:bookmarkEnd w:id="48"/>
    <w:bookmarkStart w:id="49" w:name="code-breaking"/>
    <w:p>
      <w:pPr>
        <w:pStyle w:val="Heading2"/>
      </w:pPr>
      <w:r>
        <w:t xml:space="preserve">7.11 Code breaking</w:t>
      </w:r>
    </w:p>
    <w:p>
      <w:pPr>
        <w:pStyle w:val="FirstParagraph"/>
      </w:pPr>
      <w:r>
        <w:rPr>
          <w:iCs/>
          <w:i/>
        </w:rPr>
        <w:t xml:space="preserve">The protocol must describe how the code is broken in emergency</w:t>
      </w:r>
      <w:r>
        <w:rPr>
          <w:iCs/>
          <w:i/>
        </w:rPr>
        <w:t xml:space="preserve"> </w:t>
      </w:r>
      <w:r>
        <w:rPr>
          <w:iCs/>
          <w:i/>
        </w:rPr>
        <w:t xml:space="preserve">situations and who should be informed in connection with this. A clear</w:t>
      </w:r>
      <w:r>
        <w:rPr>
          <w:iCs/>
          <w:i/>
        </w:rPr>
        <w:t xml:space="preserve"> </w:t>
      </w:r>
      <w:r>
        <w:rPr>
          <w:iCs/>
          <w:i/>
        </w:rPr>
        <w:t xml:space="preserve">definition of situations where the code may need to be broken helps</w:t>
      </w:r>
      <w:r>
        <w:rPr>
          <w:iCs/>
          <w:i/>
        </w:rPr>
        <w:t xml:space="preserve"> </w:t>
      </w:r>
      <w:r>
        <w:rPr>
          <w:iCs/>
          <w:i/>
        </w:rPr>
        <w:t xml:space="preserve">prevent unnecessary unblinding. It is important that the code in</w:t>
      </w:r>
      <w:r>
        <w:rPr>
          <w:iCs/>
          <w:i/>
        </w:rPr>
        <w:t xml:space="preserve"> </w:t>
      </w:r>
      <w:r>
        <w:rPr>
          <w:iCs/>
          <w:i/>
        </w:rPr>
        <w:t xml:space="preserve">emergency situations can be broken by the investigator, without the</w:t>
      </w:r>
      <w:r>
        <w:rPr>
          <w:iCs/>
          <w:i/>
        </w:rPr>
        <w:t xml:space="preserve"> </w:t>
      </w:r>
      <w:r>
        <w:rPr>
          <w:iCs/>
          <w:i/>
        </w:rPr>
        <w:t xml:space="preserve">involvement of the sponsor. Describe how possible code break envelopes</w:t>
      </w:r>
      <w:r>
        <w:rPr>
          <w:iCs/>
          <w:i/>
        </w:rPr>
        <w:t xml:space="preserve"> </w:t>
      </w:r>
      <w:r>
        <w:rPr>
          <w:iCs/>
          <w:i/>
        </w:rPr>
        <w:t xml:space="preserve">are stored and who will have access to this as well as how these persons</w:t>
      </w:r>
      <w:r>
        <w:rPr>
          <w:iCs/>
          <w:i/>
        </w:rPr>
        <w:t xml:space="preserve"> </w:t>
      </w:r>
      <w:r>
        <w:rPr>
          <w:iCs/>
          <w:i/>
        </w:rPr>
        <w:t xml:space="preserve">can be reached in case of an emergency.</w:t>
      </w:r>
    </w:p>
    <w:p>
      <w:pPr>
        <w:pStyle w:val="BodyText"/>
      </w:pPr>
      <w:r>
        <w:rPr>
          <w:iCs/>
          <w:i/>
        </w:rPr>
        <w:t xml:space="preserve">If an electronic system is used, it must be clear how to break the code</w:t>
      </w:r>
      <w:r>
        <w:rPr>
          <w:iCs/>
          <w:i/>
        </w:rPr>
        <w:t xml:space="preserve"> </w:t>
      </w:r>
      <w:r>
        <w:rPr>
          <w:iCs/>
          <w:i/>
        </w:rPr>
        <w:t xml:space="preserve">if the system does not work.</w:t>
      </w:r>
    </w:p>
    <w:p>
      <w:pPr>
        <w:pStyle w:val="BodyText"/>
      </w:pPr>
      <w:r>
        <w:rPr>
          <w:iCs/>
          <w:i/>
        </w:rPr>
        <w:t xml:space="preserve">If this is not relevant, remove this section.</w:t>
      </w:r>
    </w:p>
    <w:p>
      <w:pPr>
        <w:pStyle w:val="BodyText"/>
      </w:pPr>
      <w:r>
        <w:rPr>
          <w:iCs/>
          <w:i/>
        </w:rPr>
        <w:t xml:space="preserve">Text suggestion:</w:t>
      </w:r>
      <w:r>
        <w:t xml:space="preserve"> </w:t>
      </w:r>
      <w:r>
        <w:t xml:space="preserve">The list for breaking the code can be found at…</w:t>
      </w:r>
    </w:p>
    <w:bookmarkEnd w:id="49"/>
    <w:bookmarkStart w:id="50" w:name="auxiliary-medicinal-products"/>
    <w:p>
      <w:pPr>
        <w:pStyle w:val="Heading2"/>
      </w:pPr>
      <w:r>
        <w:t xml:space="preserve">7.12 Auxiliary medicinal products</w:t>
      </w:r>
    </w:p>
    <w:p>
      <w:pPr>
        <w:pStyle w:val="FirstParagraph"/>
      </w:pPr>
      <w:r>
        <w:t xml:space="preserve">This trial does not include any auxiliary medicinal products.</w:t>
      </w:r>
    </w:p>
    <w:bookmarkEnd w:id="50"/>
    <w:bookmarkStart w:id="51" w:name="X98391e3eaf24dd38d0d03b1d70c33f28432caae"/>
    <w:p>
      <w:pPr>
        <w:pStyle w:val="Heading2"/>
      </w:pPr>
      <w:r>
        <w:t xml:space="preserve">7.13 Concomitant use of other medicinal products and treatments</w:t>
      </w:r>
    </w:p>
    <w:p>
      <w:pPr>
        <w:pStyle w:val="FirstParagraph"/>
      </w:pPr>
      <w:r>
        <w:rPr>
          <w:iCs/>
          <w:i/>
        </w:rPr>
        <w:t xml:space="preserve">For other concomitant medications (non-investigational medicinal</w:t>
      </w:r>
      <w:r>
        <w:rPr>
          <w:iCs/>
          <w:i/>
        </w:rPr>
        <w:t xml:space="preserve"> </w:t>
      </w:r>
      <w:r>
        <w:rPr>
          <w:iCs/>
          <w:i/>
        </w:rPr>
        <w:t xml:space="preserve">products or auxiliary medicinal products and other treatments), justify</w:t>
      </w:r>
      <w:r>
        <w:rPr>
          <w:iCs/>
          <w:i/>
        </w:rPr>
        <w:t xml:space="preserve"> </w:t>
      </w:r>
      <w:r>
        <w:rPr>
          <w:iCs/>
          <w:i/>
        </w:rPr>
        <w:t xml:space="preserve">and describe permitted and unauthorised treatments and medicinal product</w:t>
      </w:r>
      <w:r>
        <w:rPr>
          <w:iCs/>
          <w:i/>
        </w:rPr>
        <w:t xml:space="preserve"> </w:t>
      </w:r>
      <w:r>
        <w:rPr>
          <w:iCs/>
          <w:i/>
        </w:rPr>
        <w:t xml:space="preserve">use before starting the trial, during the trial and after the end of the</w:t>
      </w:r>
      <w:r>
        <w:rPr>
          <w:iCs/>
          <w:i/>
        </w:rPr>
        <w:t xml:space="preserve"> </w:t>
      </w:r>
      <w:r>
        <w:rPr>
          <w:iCs/>
          <w:i/>
        </w:rPr>
        <w:t xml:space="preserve">trial. Assess whether anything should be listed as an exclusion</w:t>
      </w:r>
      <w:r>
        <w:rPr>
          <w:iCs/>
          <w:i/>
        </w:rPr>
        <w:t xml:space="preserve"> </w:t>
      </w:r>
      <w:r>
        <w:rPr>
          <w:iCs/>
          <w:i/>
        </w:rPr>
        <w:t xml:space="preserve">criterion and add this to section 6.2, Exclusion criteria.</w:t>
      </w:r>
    </w:p>
    <w:p>
      <w:pPr>
        <w:pStyle w:val="BodyText"/>
      </w:pPr>
      <w:r>
        <w:rPr>
          <w:iCs/>
          <w:i/>
        </w:rPr>
        <w:t xml:space="preserve">Indicate what should be documented in the CRF regarding other</w:t>
      </w:r>
      <w:r>
        <w:rPr>
          <w:iCs/>
          <w:i/>
        </w:rPr>
        <w:t xml:space="preserve"> </w:t>
      </w:r>
      <w:r>
        <w:rPr>
          <w:iCs/>
          <w:i/>
        </w:rPr>
        <w:t xml:space="preserve">concomitant medications (name, dose, start and stop dates, indication,</w:t>
      </w:r>
      <w:r>
        <w:rPr>
          <w:iCs/>
          <w:i/>
        </w:rPr>
        <w:t xml:space="preserve"> </w:t>
      </w:r>
      <w:r>
        <w:rPr>
          <w:iCs/>
          <w:i/>
        </w:rPr>
        <w:t xml:space="preserve">etc.) The following text suggestion can be a part of the text under this</w:t>
      </w:r>
      <w:r>
        <w:rPr>
          <w:iCs/>
          <w:i/>
        </w:rPr>
        <w:t xml:space="preserve"> </w:t>
      </w:r>
      <w:r>
        <w:rPr>
          <w:iCs/>
          <w:i/>
        </w:rPr>
        <w:t xml:space="preserve">heading.</w:t>
      </w:r>
    </w:p>
    <w:p>
      <w:pPr>
        <w:pStyle w:val="BodyText"/>
      </w:pPr>
      <w:r>
        <w:rPr>
          <w:iCs/>
          <w:i/>
        </w:rPr>
        <w:t xml:space="preserve">Text suggestion:</w:t>
      </w:r>
      <w:r>
        <w:t xml:space="preserve"> </w:t>
      </w:r>
      <w:r>
        <w:t xml:space="preserve">Medications considered necessary for the safety and</w:t>
      </w:r>
      <w:r>
        <w:t xml:space="preserve"> </w:t>
      </w:r>
      <w:r>
        <w:t xml:space="preserve">well-being of the subject may be provided at the discretion of the</w:t>
      </w:r>
      <w:r>
        <w:t xml:space="preserve"> </w:t>
      </w:r>
      <w:r>
        <w:t xml:space="preserve">investigators, unless otherwise specified in the exclusion criteria.</w:t>
      </w:r>
      <w:r>
        <w:t xml:space="preserve"> </w:t>
      </w:r>
      <w:r>
        <w:t xml:space="preserve">Concomitant medication should be recorded in the Case Report Form (CRF).</w:t>
      </w:r>
    </w:p>
    <w:bookmarkEnd w:id="51"/>
    <w:bookmarkStart w:id="52" w:name="treatment-after-trial-end"/>
    <w:p>
      <w:pPr>
        <w:pStyle w:val="Heading2"/>
      </w:pPr>
      <w:r>
        <w:t xml:space="preserve">7.14 Treatment after trial end</w:t>
      </w:r>
    </w:p>
    <w:p>
      <w:pPr>
        <w:pStyle w:val="FirstParagraph"/>
      </w:pPr>
      <w:r>
        <w:rPr>
          <w:iCs/>
          <w:i/>
        </w:rPr>
        <w:t xml:space="preserve">Describe any continued treatment of subjects after the trial end, e.g.,</w:t>
      </w:r>
      <w:r>
        <w:rPr>
          <w:iCs/>
          <w:i/>
        </w:rPr>
        <w:t xml:space="preserve"> </w:t>
      </w:r>
      <w:r>
        <w:rPr>
          <w:iCs/>
          <w:i/>
        </w:rPr>
        <w:t xml:space="preserve">if the subject returns to previous treatments, if the subject receives</w:t>
      </w:r>
      <w:r>
        <w:rPr>
          <w:iCs/>
          <w:i/>
        </w:rPr>
        <w:t xml:space="preserve"> </w:t>
      </w:r>
      <w:r>
        <w:rPr>
          <w:iCs/>
          <w:i/>
        </w:rPr>
        <w:t xml:space="preserve">no further treatment, if the subject continues treatment with the</w:t>
      </w:r>
      <w:r>
        <w:rPr>
          <w:iCs/>
          <w:i/>
        </w:rPr>
        <w:t xml:space="preserve"> </w:t>
      </w:r>
      <w:r>
        <w:rPr>
          <w:iCs/>
          <w:i/>
        </w:rPr>
        <w:t xml:space="preserve">investigational medicinal product (note that this may require approval</w:t>
      </w:r>
      <w:r>
        <w:rPr>
          <w:iCs/>
          <w:i/>
        </w:rPr>
        <w:t xml:space="preserve"> </w:t>
      </w:r>
      <w:r>
        <w:rPr>
          <w:iCs/>
          <w:i/>
        </w:rPr>
        <w:t xml:space="preserve">by the Swedish Medical Products Agency).</w:t>
      </w:r>
    </w:p>
    <w:bookmarkEnd w:id="52"/>
    <w:bookmarkStart w:id="57" w:name="X76b71c22fd0e4e3f7c66fac1b1dbb530e316122"/>
    <w:p>
      <w:pPr>
        <w:pStyle w:val="Heading2"/>
      </w:pPr>
      <w:r>
        <w:t xml:space="preserve">7.15 Methods for measurement of endpoints for clinical efficacy and safety</w:t>
      </w:r>
    </w:p>
    <w:bookmarkStart w:id="55" w:name="Xe309b578e50c7622370c8a07ab51e5ed9b26072"/>
    <w:p>
      <w:pPr>
        <w:pStyle w:val="Heading3"/>
      </w:pPr>
      <w:r>
        <w:t xml:space="preserve">7.15.1 Methods for measurement of endpoints for clinical efficacy</w:t>
      </w:r>
    </w:p>
    <w:p>
      <w:pPr>
        <w:pStyle w:val="FirstParagraph"/>
      </w:pPr>
      <w:r>
        <w:rPr>
          <w:iCs/>
          <w:i/>
        </w:rPr>
        <w:t xml:space="preserve">This section describes measurements and endpoints (variables)</w:t>
      </w:r>
      <w:r>
        <w:rPr>
          <w:iCs/>
          <w:i/>
        </w:rPr>
        <w:t xml:space="preserve"> </w:t>
      </w:r>
      <w:r>
        <w:rPr>
          <w:iCs/>
          <w:i/>
        </w:rPr>
        <w:t xml:space="preserve">associated with primary and secondary objectives to demonstrate the</w:t>
      </w:r>
      <w:r>
        <w:rPr>
          <w:iCs/>
          <w:i/>
        </w:rPr>
        <w:t xml:space="preserve"> </w:t>
      </w:r>
      <w:r>
        <w:rPr>
          <w:iCs/>
          <w:i/>
        </w:rPr>
        <w:t xml:space="preserve">effect of treatment through, e.g., different types of analyses and</w:t>
      </w:r>
      <w:r>
        <w:rPr>
          <w:iCs/>
          <w:i/>
        </w:rPr>
        <w:t xml:space="preserve"> </w:t>
      </w:r>
      <w:r>
        <w:rPr>
          <w:iCs/>
          <w:i/>
        </w:rPr>
        <w:t xml:space="preserve">measurements such as X-ray, analysis of blood samples, measurements of</w:t>
      </w:r>
      <w:r>
        <w:rPr>
          <w:iCs/>
          <w:i/>
        </w:rPr>
        <w:t xml:space="preserve"> </w:t>
      </w:r>
      <w:r>
        <w:rPr>
          <w:iCs/>
          <w:i/>
        </w:rPr>
        <w:t xml:space="preserve">tumor size, and questionnaires. Describe methods as well as approaches</w:t>
      </w:r>
      <w:r>
        <w:rPr>
          <w:iCs/>
          <w:i/>
        </w:rPr>
        <w:t xml:space="preserve"> </w:t>
      </w:r>
      <w:r>
        <w:rPr>
          <w:iCs/>
          <w:i/>
        </w:rPr>
        <w:t xml:space="preserve">to sample collection and when the different measurements will be</w:t>
      </w:r>
      <w:r>
        <w:rPr>
          <w:iCs/>
          <w:i/>
        </w:rPr>
        <w:t xml:space="preserve"> </w:t>
      </w:r>
      <w:r>
        <w:rPr>
          <w:iCs/>
          <w:i/>
        </w:rPr>
        <w:t xml:space="preserve">performed. State where any analyses will be performed. State whether</w:t>
      </w:r>
      <w:r>
        <w:rPr>
          <w:iCs/>
          <w:i/>
        </w:rPr>
        <w:t xml:space="preserve"> </w:t>
      </w:r>
      <w:r>
        <w:rPr>
          <w:iCs/>
          <w:i/>
        </w:rPr>
        <w:t xml:space="preserve">biological material will be stored in the biobank and routines for this.</w:t>
      </w:r>
      <w:r>
        <w:rPr>
          <w:iCs/>
          <w:i/>
        </w:rPr>
        <w:t xml:space="preserve"> </w:t>
      </w:r>
      <w:r>
        <w:rPr>
          <w:iCs/>
          <w:i/>
        </w:rPr>
        <w:t xml:space="preserve">See also section 5.3.3, Biobank.</w:t>
      </w:r>
    </w:p>
    <w:bookmarkStart w:id="53" w:name="primary-outcome"/>
    <w:p>
      <w:pPr>
        <w:pStyle w:val="Heading4"/>
      </w:pPr>
      <w:r>
        <w:t xml:space="preserve">7.15.1.1 Primary outcome</w:t>
      </w:r>
    </w:p>
    <w:p>
      <w:pPr>
        <w:pStyle w:val="FirstParagraph"/>
      </w:pPr>
      <w:r>
        <w:rPr>
          <w:iCs/>
          <w:i/>
        </w:rPr>
        <w:t xml:space="preserve">Describe the primary endpoint (variable) as precisely as possible.</w:t>
      </w:r>
      <w:r>
        <w:rPr>
          <w:iCs/>
          <w:i/>
        </w:rPr>
        <w:t xml:space="preserve"> </w:t>
      </w:r>
      <w:r>
        <w:rPr>
          <w:iCs/>
          <w:i/>
        </w:rPr>
        <w:t xml:space="preserve">Include information about how the primary variable will be measured:</w:t>
      </w:r>
      <w:r>
        <w:rPr>
          <w:iCs/>
          <w:i/>
        </w:rPr>
        <w:t xml:space="preserve"> </w:t>
      </w:r>
      <w:r>
        <w:rPr>
          <w:iCs/>
          <w:i/>
        </w:rPr>
        <w:t xml:space="preserve">e.g. type of sample, method used and eventual responsible laboratory.</w:t>
      </w:r>
      <w:r>
        <w:rPr>
          <w:iCs/>
          <w:i/>
        </w:rPr>
        <w:t xml:space="preserve"> </w:t>
      </w:r>
      <w:r>
        <w:rPr>
          <w:iCs/>
          <w:i/>
        </w:rPr>
        <w:t xml:space="preserve">State whether the analysis will be performed continuously during the</w:t>
      </w:r>
      <w:r>
        <w:rPr>
          <w:iCs/>
          <w:i/>
        </w:rPr>
        <w:t xml:space="preserve"> </w:t>
      </w:r>
      <w:r>
        <w:rPr>
          <w:iCs/>
          <w:i/>
        </w:rPr>
        <w:t xml:space="preserve">trial or after completion of subject enrollment.</w:t>
      </w:r>
    </w:p>
    <w:bookmarkEnd w:id="53"/>
    <w:bookmarkStart w:id="54" w:name="secondary-outcomes"/>
    <w:p>
      <w:pPr>
        <w:pStyle w:val="Heading4"/>
      </w:pPr>
      <w:r>
        <w:t xml:space="preserve">7.15.1.2 Secondary outcomes</w:t>
      </w:r>
    </w:p>
    <w:p>
      <w:pPr>
        <w:pStyle w:val="FirstParagraph"/>
      </w:pPr>
      <w:r>
        <w:rPr>
          <w:iCs/>
          <w:i/>
        </w:rPr>
        <w:t xml:space="preserve">- Should we measure functional outcome/disability with WHODAS instead?</w:t>
      </w:r>
      <w:r>
        <w:t xml:space="preserve"> </w:t>
      </w:r>
      <w:r>
        <w:rPr>
          <w:iCs/>
          <w:i/>
        </w:rPr>
        <w:t xml:space="preserve">- Should we remove complications because they are too difficult to measure?</w:t>
      </w:r>
    </w:p>
    <w:p>
      <w:pPr>
        <w:numPr>
          <w:ilvl w:val="0"/>
          <w:numId w:val="1008"/>
        </w:numPr>
        <w:pStyle w:val="Compact"/>
      </w:pPr>
      <w:r>
        <w:t xml:space="preserve">all cause mortality within 24 hours, 30 days, and three months of arrival at the emergency department;</w:t>
      </w:r>
    </w:p>
    <w:p>
      <w:pPr>
        <w:numPr>
          <w:ilvl w:val="0"/>
          <w:numId w:val="1008"/>
        </w:numPr>
        <w:pStyle w:val="Compact"/>
      </w:pPr>
      <w:r>
        <w:t xml:space="preserve">quality of life within seven days of discharge, and at 30 days and three months of arrival at the emergency department, measured by the official and validated translations of the EQ5D3L;</w:t>
      </w:r>
    </w:p>
    <w:p>
      <w:pPr>
        <w:numPr>
          <w:ilvl w:val="0"/>
          <w:numId w:val="1008"/>
        </w:numPr>
        <w:pStyle w:val="Compact"/>
      </w:pPr>
      <w:r>
        <w:t xml:space="preserve">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extreme pain or discomfort;</w:t>
      </w:r>
    </w:p>
    <w:p>
      <w:pPr>
        <w:numPr>
          <w:ilvl w:val="0"/>
          <w:numId w:val="1008"/>
        </w:numPr>
        <w:pStyle w:val="Compact"/>
      </w:pPr>
      <w:r>
        <w:t xml:space="preserve">return to work at 30 days and three months after arrival at the emergency department; and</w:t>
      </w:r>
    </w:p>
    <w:p>
      <w:pPr>
        <w:numPr>
          <w:ilvl w:val="0"/>
          <w:numId w:val="1008"/>
        </w:numPr>
        <w:pStyle w:val="Compact"/>
      </w:pPr>
      <w:r>
        <w:t xml:space="preserve">in-hospital pulmonary, septic, or renal complications.</w:t>
      </w:r>
    </w:p>
    <w:p>
      <w:pPr>
        <w:pStyle w:val="FirstParagraph"/>
      </w:pPr>
      <w:r>
        <w:rPr>
          <w:iCs/>
          <w:i/>
        </w:rPr>
        <w:t xml:space="preserve">Describe the secondary endpoints (variables) as precisely as possible.</w:t>
      </w:r>
      <w:r>
        <w:rPr>
          <w:iCs/>
          <w:i/>
        </w:rPr>
        <w:t xml:space="preserve"> </w:t>
      </w:r>
      <w:r>
        <w:rPr>
          <w:iCs/>
          <w:i/>
        </w:rPr>
        <w:t xml:space="preserve">Include information about how the secondary endpoints (variables) will</w:t>
      </w:r>
      <w:r>
        <w:rPr>
          <w:iCs/>
          <w:i/>
        </w:rPr>
        <w:t xml:space="preserve"> </w:t>
      </w:r>
      <w:r>
        <w:rPr>
          <w:iCs/>
          <w:i/>
        </w:rPr>
        <w:t xml:space="preserve">be measured: e.g. type of sample, method used and eventual responsible</w:t>
      </w:r>
      <w:r>
        <w:rPr>
          <w:iCs/>
          <w:i/>
        </w:rPr>
        <w:t xml:space="preserve"> </w:t>
      </w:r>
      <w:r>
        <w:rPr>
          <w:iCs/>
          <w:i/>
        </w:rPr>
        <w:t xml:space="preserve">laboratory. State whether the analysis will be performed continuously</w:t>
      </w:r>
      <w:r>
        <w:rPr>
          <w:iCs/>
          <w:i/>
        </w:rPr>
        <w:t xml:space="preserve"> </w:t>
      </w:r>
      <w:r>
        <w:rPr>
          <w:iCs/>
          <w:i/>
        </w:rPr>
        <w:t xml:space="preserve">during the trial or after completion of subject enrollment.</w:t>
      </w:r>
    </w:p>
    <w:bookmarkEnd w:id="54"/>
    <w:bookmarkEnd w:id="55"/>
    <w:bookmarkStart w:id="56" w:name="Xa683d866b223d9f8b040ab27422021b41122a71"/>
    <w:p>
      <w:pPr>
        <w:pStyle w:val="Heading3"/>
      </w:pPr>
      <w:r>
        <w:t xml:space="preserve">7.15.2 Methods for measurement of endpoints for clinical safety</w:t>
      </w:r>
    </w:p>
    <w:p>
      <w:pPr>
        <w:pStyle w:val="FirstParagraph"/>
      </w:pPr>
      <w:r>
        <w:rPr>
          <w:iCs/>
          <w:i/>
        </w:rPr>
        <w:t xml:space="preserve">This paragraph may be included as part of the other paragraphs under</w:t>
      </w:r>
      <w:r>
        <w:rPr>
          <w:iCs/>
          <w:i/>
        </w:rPr>
        <w:t xml:space="preserve"> </w:t>
      </w:r>
      <w:r>
        <w:rPr>
          <w:iCs/>
          <w:i/>
        </w:rPr>
        <w:t xml:space="preserve">8.1. Describe the endpoint(s) (variables) for clinical safety as</w:t>
      </w:r>
      <w:r>
        <w:rPr>
          <w:iCs/>
          <w:i/>
        </w:rPr>
        <w:t xml:space="preserve"> </w:t>
      </w:r>
      <w:r>
        <w:rPr>
          <w:iCs/>
          <w:i/>
        </w:rPr>
        <w:t xml:space="preserve">precisely as possible. Include information about how the endpoint(s)</w:t>
      </w:r>
      <w:r>
        <w:rPr>
          <w:iCs/>
          <w:i/>
        </w:rPr>
        <w:t xml:space="preserve"> </w:t>
      </w:r>
      <w:r>
        <w:rPr>
          <w:iCs/>
          <w:i/>
        </w:rPr>
        <w:t xml:space="preserve">will be measured: e.g. type of sample, method used and eventual</w:t>
      </w:r>
      <w:r>
        <w:rPr>
          <w:iCs/>
          <w:i/>
        </w:rPr>
        <w:t xml:space="preserve"> </w:t>
      </w:r>
      <w:r>
        <w:rPr>
          <w:iCs/>
          <w:i/>
        </w:rPr>
        <w:t xml:space="preserve">responsible laboratory. State whether the analysis will be performed</w:t>
      </w:r>
      <w:r>
        <w:rPr>
          <w:iCs/>
          <w:i/>
        </w:rPr>
        <w:t xml:space="preserve"> </w:t>
      </w:r>
      <w:r>
        <w:rPr>
          <w:iCs/>
          <w:i/>
        </w:rPr>
        <w:t xml:space="preserve">continuously during the trial or after completion of subject</w:t>
      </w:r>
      <w:r>
        <w:rPr>
          <w:iCs/>
          <w:i/>
        </w:rPr>
        <w:t xml:space="preserve"> </w:t>
      </w:r>
      <w:r>
        <w:rPr>
          <w:iCs/>
          <w:i/>
        </w:rPr>
        <w:t xml:space="preserve">enrollment.</w:t>
      </w:r>
    </w:p>
    <w:p>
      <w:pPr>
        <w:pStyle w:val="BodyText"/>
      </w:pPr>
      <w:r>
        <w:rPr>
          <w:iCs/>
          <w:i/>
        </w:rPr>
        <w:t xml:space="preserve">Describe any measures for handling deviations in section 9.3, Reporting</w:t>
      </w:r>
      <w:r>
        <w:rPr>
          <w:iCs/>
          <w:i/>
        </w:rPr>
        <w:t xml:space="preserve"> </w:t>
      </w:r>
      <w:r>
        <w:rPr>
          <w:iCs/>
          <w:i/>
        </w:rPr>
        <w:t xml:space="preserve">and registration of Adverse Events.</w:t>
      </w:r>
    </w:p>
    <w:bookmarkEnd w:id="56"/>
    <w:bookmarkEnd w:id="57"/>
    <w:bookmarkStart w:id="76" w:name="handling-of-adverse-events"/>
    <w:p>
      <w:pPr>
        <w:pStyle w:val="Heading2"/>
      </w:pPr>
      <w:r>
        <w:t xml:space="preserve">7.16 Handling of Adverse Events</w:t>
      </w:r>
    </w:p>
    <w:p>
      <w:pPr>
        <w:pStyle w:val="FirstParagraph"/>
      </w:pPr>
      <w:r>
        <w:rPr>
          <w:iCs/>
          <w:i/>
        </w:rPr>
        <w:t xml:space="preserve">Explain which adverse events (AE) and serious adverse events (SAE) will</w:t>
      </w:r>
      <w:r>
        <w:rPr>
          <w:iCs/>
          <w:i/>
        </w:rPr>
        <w:t xml:space="preserve"> </w:t>
      </w:r>
      <w:r>
        <w:rPr>
          <w:iCs/>
          <w:i/>
        </w:rPr>
        <w:t xml:space="preserve">be reported during the trial (compare with the Investigator’s Brochure</w:t>
      </w:r>
      <w:r>
        <w:rPr>
          <w:iCs/>
          <w:i/>
        </w:rPr>
        <w:t xml:space="preserve"> </w:t>
      </w:r>
      <w:r>
        <w:rPr>
          <w:iCs/>
          <w:i/>
        </w:rPr>
        <w:t xml:space="preserve">for non-approved investigational medicinal products or SPC for approved</w:t>
      </w:r>
      <w:r>
        <w:rPr>
          <w:iCs/>
          <w:i/>
        </w:rPr>
        <w:t xml:space="preserve"> </w:t>
      </w:r>
      <w:r>
        <w:rPr>
          <w:iCs/>
          <w:i/>
        </w:rPr>
        <w:t xml:space="preserve">medications used according to the approved indication). Carefully</w:t>
      </w:r>
      <w:r>
        <w:rPr>
          <w:iCs/>
          <w:i/>
        </w:rPr>
        <w:t xml:space="preserve"> </w:t>
      </w:r>
      <w:r>
        <w:rPr>
          <w:iCs/>
          <w:i/>
        </w:rPr>
        <w:t xml:space="preserve">consider what should and should not be reported, and under which time</w:t>
      </w:r>
      <w:r>
        <w:rPr>
          <w:iCs/>
          <w:i/>
        </w:rPr>
        <w:t xml:space="preserve"> </w:t>
      </w:r>
      <w:r>
        <w:rPr>
          <w:iCs/>
          <w:i/>
        </w:rPr>
        <w:t xml:space="preserve">period of the trial that AE/SAE shall be reported. If the disease itself</w:t>
      </w:r>
      <w:r>
        <w:rPr>
          <w:iCs/>
          <w:i/>
        </w:rPr>
        <w:t xml:space="preserve"> </w:t>
      </w:r>
      <w:r>
        <w:rPr>
          <w:iCs/>
          <w:i/>
        </w:rPr>
        <w:t xml:space="preserve">causes certain symptoms, hospitalization, etc., these conditions can be</w:t>
      </w:r>
      <w:r>
        <w:rPr>
          <w:iCs/>
          <w:i/>
        </w:rPr>
        <w:t xml:space="preserve"> </w:t>
      </w:r>
      <w:r>
        <w:rPr>
          <w:iCs/>
          <w:i/>
        </w:rPr>
        <w:t xml:space="preserve">given as exceptions for what shall</w:t>
      </w:r>
      <w:r>
        <w:rPr>
          <w:iCs/>
          <w:i/>
        </w:rPr>
        <w:t xml:space="preserve"> </w:t>
      </w:r>
      <w:r>
        <w:rPr>
          <w:u w:val="single"/>
          <w:bCs/>
          <w:b/>
          <w:iCs/>
          <w:i/>
        </w:rPr>
        <w:t xml:space="preserve">not</w:t>
      </w:r>
      <w:r>
        <w:rPr>
          <w:iCs/>
          <w:i/>
        </w:rPr>
        <w:t xml:space="preserve"> </w:t>
      </w:r>
      <w:r>
        <w:rPr>
          <w:iCs/>
          <w:i/>
        </w:rPr>
        <w:t xml:space="preserve">be reported as</w:t>
      </w:r>
      <w:r>
        <w:rPr>
          <w:iCs/>
          <w:i/>
        </w:rPr>
        <w:t xml:space="preserve"> </w:t>
      </w:r>
      <w:r>
        <w:rPr>
          <w:iCs/>
          <w:i/>
        </w:rPr>
        <w:t xml:space="preserve">an AE, SAE, or SUSAR.</w:t>
      </w:r>
    </w:p>
    <w:p>
      <w:pPr>
        <w:pStyle w:val="BodyText"/>
      </w:pPr>
      <w:r>
        <w:rPr>
          <w:iCs/>
          <w:i/>
        </w:rPr>
        <w:t xml:space="preserve">AE and SAE are followed up until they are fully evaluated or no longer</w:t>
      </w:r>
      <w:r>
        <w:rPr>
          <w:iCs/>
          <w:i/>
        </w:rPr>
        <w:t xml:space="preserve"> </w:t>
      </w:r>
      <w:r>
        <w:rPr>
          <w:iCs/>
          <w:i/>
        </w:rPr>
        <w:t xml:space="preserve">considered clinically non-significant by the principal investigator</w:t>
      </w:r>
      <w:r>
        <w:rPr>
          <w:iCs/>
          <w:i/>
        </w:rPr>
        <w:t xml:space="preserve"> </w:t>
      </w:r>
      <w:r>
        <w:rPr>
          <w:iCs/>
          <w:i/>
        </w:rPr>
        <w:t xml:space="preserve">(described in section 9.2.1, Assessment of causal relationship, and</w:t>
      </w:r>
      <w:r>
        <w:rPr>
          <w:iCs/>
          <w:i/>
        </w:rPr>
        <w:t xml:space="preserve"> </w:t>
      </w:r>
      <w:r>
        <w:rPr>
          <w:iCs/>
          <w:i/>
        </w:rPr>
        <w:t xml:space="preserve">section 9.4, Follow-up of Adverse Events). Note that persistent adverse</w:t>
      </w:r>
      <w:r>
        <w:rPr>
          <w:iCs/>
          <w:i/>
        </w:rPr>
        <w:t xml:space="preserve"> </w:t>
      </w:r>
      <w:r>
        <w:rPr>
          <w:iCs/>
          <w:i/>
        </w:rPr>
        <w:t xml:space="preserve">events are classified as serious.</w:t>
      </w:r>
    </w:p>
    <w:bookmarkStart w:id="62" w:name="definitions"/>
    <w:p>
      <w:pPr>
        <w:pStyle w:val="Heading3"/>
      </w:pPr>
      <w:r>
        <w:t xml:space="preserve">7.16.1 Definitions</w:t>
      </w:r>
    </w:p>
    <w:bookmarkStart w:id="58" w:name="adverse-event-ae"/>
    <w:p>
      <w:pPr>
        <w:pStyle w:val="Heading4"/>
      </w:pPr>
      <w:r>
        <w:t xml:space="preserve">7.16.1.1</w:t>
      </w:r>
      <w:r>
        <w:t xml:space="preserve"> </w:t>
      </w:r>
      <w:r>
        <w:rPr>
          <w:bCs/>
          <w:b/>
        </w:rPr>
        <w:t xml:space="preserve">Adverse Event (AE)</w:t>
      </w:r>
    </w:p>
    <w:p>
      <w:pPr>
        <w:pStyle w:val="FirstParagraph"/>
      </w:pPr>
      <w:r>
        <w:rPr>
          <w:iCs/>
          <w:i/>
        </w:rPr>
        <w:t xml:space="preserve">Text suggestion:</w:t>
      </w:r>
      <w:r>
        <w:t xml:space="preserve"> </w:t>
      </w:r>
      <w:r>
        <w:t xml:space="preserve">Adverse Event (AE): Any untoward medical occurrence</w:t>
      </w:r>
      <w:r>
        <w:t xml:space="preserve"> </w:t>
      </w:r>
      <w:r>
        <w:t xml:space="preserve">in a clinical trial subject administered a medicinal product and, which</w:t>
      </w:r>
      <w:r>
        <w:t xml:space="preserve"> </w:t>
      </w:r>
      <w:r>
        <w:t xml:space="preserve">does not necessarily have a causal relationship with the treatment, can</w:t>
      </w:r>
      <w:r>
        <w:t xml:space="preserve"> </w:t>
      </w:r>
      <w:r>
        <w:t xml:space="preserve">be an unfavorable and unintended sign (including an abnormal laboratory</w:t>
      </w:r>
      <w:r>
        <w:t xml:space="preserve"> </w:t>
      </w:r>
      <w:r>
        <w:t xml:space="preserve">discovery), symptom or disease temporally associated with the use of the</w:t>
      </w:r>
      <w:r>
        <w:t xml:space="preserve"> </w:t>
      </w:r>
      <w:r>
        <w:t xml:space="preserve">investigational medicinal product, whether or not related to the</w:t>
      </w:r>
      <w:r>
        <w:t xml:space="preserve"> </w:t>
      </w:r>
      <w:r>
        <w:t xml:space="preserve">investigational medicinal product.</w:t>
      </w:r>
    </w:p>
    <w:bookmarkEnd w:id="58"/>
    <w:bookmarkStart w:id="59" w:name="adverse-reaction-ar"/>
    <w:p>
      <w:pPr>
        <w:pStyle w:val="Heading4"/>
      </w:pPr>
      <w:r>
        <w:t xml:space="preserve">7.16.1.2</w:t>
      </w:r>
      <w:r>
        <w:t xml:space="preserve"> </w:t>
      </w:r>
      <w:r>
        <w:rPr>
          <w:bCs/>
          <w:b/>
        </w:rPr>
        <w:t xml:space="preserve">Adverse Reaction (AR)</w:t>
      </w:r>
    </w:p>
    <w:p>
      <w:pPr>
        <w:pStyle w:val="FirstParagraph"/>
      </w:pPr>
      <w:r>
        <w:rPr>
          <w:iCs/>
          <w:i/>
        </w:rPr>
        <w:t xml:space="preserve">Keep relevant selections and delete other sections.</w:t>
      </w:r>
    </w:p>
    <w:p>
      <w:pPr>
        <w:pStyle w:val="BodyText"/>
      </w:pPr>
      <w:r>
        <w:rPr>
          <w:iCs/>
          <w:i/>
        </w:rPr>
        <w:t xml:space="preserve">Text suggestion:</w:t>
      </w:r>
      <w:r>
        <w:t xml:space="preserve"> </w:t>
      </w:r>
      <w:r>
        <w:t xml:space="preserve">In the pre-approval clinical experience with a new</w:t>
      </w:r>
      <w:r>
        <w:t xml:space="preserve"> </w:t>
      </w:r>
      <w:r>
        <w:t xml:space="preserve">medicinal product or new use of a medicinal product, and particularly as</w:t>
      </w:r>
      <w:r>
        <w:t xml:space="preserve"> </w:t>
      </w:r>
      <w:r>
        <w:t xml:space="preserve">the therapeutic dose(s) may not be established, all noxious and</w:t>
      </w:r>
      <w:r>
        <w:t xml:space="preserve"> </w:t>
      </w:r>
      <w:r>
        <w:t xml:space="preserve">unintended reactions to the medicinal product related to any dose should</w:t>
      </w:r>
      <w:r>
        <w:t xml:space="preserve"> </w:t>
      </w:r>
      <w:r>
        <w:t xml:space="preserve">be considered an adverse reaction (AR). The phrase</w:t>
      </w:r>
      <w:r>
        <w:t xml:space="preserve"> </w:t>
      </w:r>
      <w:r>
        <w:t xml:space="preserve">“</w:t>
      </w:r>
      <w:r>
        <w:t xml:space="preserve">reaction</w:t>
      </w:r>
      <w:r>
        <w:t xml:space="preserve">”</w:t>
      </w:r>
      <w:r>
        <w:t xml:space="preserve"> </w:t>
      </w:r>
      <w:r>
        <w:t xml:space="preserve">to a</w:t>
      </w:r>
      <w:r>
        <w:t xml:space="preserve"> </w:t>
      </w:r>
      <w:r>
        <w:t xml:space="preserve">medicinal product means that the causal relationship between the medical</w:t>
      </w:r>
      <w:r>
        <w:t xml:space="preserve"> </w:t>
      </w:r>
      <w:r>
        <w:t xml:space="preserve">product and an adverse event is at least a reasonable possibility, that</w:t>
      </w:r>
      <w:r>
        <w:t xml:space="preserve"> </w:t>
      </w:r>
      <w:r>
        <w:t xml:space="preserve">is the relationship cannot be ruled out.</w:t>
      </w:r>
    </w:p>
    <w:bookmarkEnd w:id="59"/>
    <w:bookmarkStart w:id="60" w:name="serious-adverse-event-sae"/>
    <w:p>
      <w:pPr>
        <w:pStyle w:val="Heading4"/>
      </w:pPr>
      <w:r>
        <w:t xml:space="preserve">7.16.1.3</w:t>
      </w:r>
      <w:r>
        <w:t xml:space="preserve"> </w:t>
      </w:r>
      <w:r>
        <w:rPr>
          <w:bCs/>
          <w:b/>
        </w:rPr>
        <w:t xml:space="preserve">Serious Adverse Event (SAE)</w:t>
      </w:r>
    </w:p>
    <w:p>
      <w:pPr>
        <w:pStyle w:val="FirstParagraph"/>
      </w:pPr>
      <w:r>
        <w:t xml:space="preserve">Serious adverse event (SAE): Any untoward medical occurrence that at any</w:t>
      </w:r>
      <w:r>
        <w:t xml:space="preserve"> </w:t>
      </w:r>
      <w:r>
        <w:t xml:space="preserve">dose:</w:t>
      </w:r>
    </w:p>
    <w:p>
      <w:pPr>
        <w:numPr>
          <w:ilvl w:val="0"/>
          <w:numId w:val="1009"/>
        </w:numPr>
      </w:pPr>
      <w:r>
        <w:t xml:space="preserve">leads to death</w:t>
      </w:r>
    </w:p>
    <w:p>
      <w:pPr>
        <w:numPr>
          <w:ilvl w:val="0"/>
          <w:numId w:val="1009"/>
        </w:numPr>
      </w:pPr>
      <w:r>
        <w:t xml:space="preserve">is life-threatening</w:t>
      </w:r>
    </w:p>
    <w:p>
      <w:pPr>
        <w:numPr>
          <w:ilvl w:val="0"/>
          <w:numId w:val="1009"/>
        </w:numPr>
      </w:pPr>
      <w:r>
        <w:t xml:space="preserve">requires inpatient hospitalization or prolongation of existing</w:t>
      </w:r>
      <w:r>
        <w:t xml:space="preserve"> </w:t>
      </w:r>
      <w:r>
        <w:t xml:space="preserve">hospitalization</w:t>
      </w:r>
    </w:p>
    <w:p>
      <w:pPr>
        <w:numPr>
          <w:ilvl w:val="0"/>
          <w:numId w:val="1009"/>
        </w:numPr>
      </w:pPr>
      <w:r>
        <w:t xml:space="preserve">results in persistent or significant disability or incapacity</w:t>
      </w:r>
    </w:p>
    <w:p>
      <w:pPr>
        <w:numPr>
          <w:ilvl w:val="0"/>
          <w:numId w:val="1009"/>
        </w:numPr>
      </w:pPr>
      <w:r>
        <w:t xml:space="preserve">results in a congenital anomaly/malformation</w:t>
      </w:r>
    </w:p>
    <w:p>
      <w:pPr>
        <w:pStyle w:val="FirstParagraph"/>
      </w:pPr>
      <w:r>
        <w:t xml:space="preserve">Medical and scientific assessment will be made to determine if an event</w:t>
      </w:r>
      <w:r>
        <w:t xml:space="preserve"> </w:t>
      </w:r>
      <w:r>
        <w:t xml:space="preserve">is</w:t>
      </w:r>
      <w:r>
        <w:t xml:space="preserve"> </w:t>
      </w:r>
      <w:r>
        <w:t xml:space="preserve">“</w:t>
      </w:r>
      <w:r>
        <w:t xml:space="preserve">serious</w:t>
      </w:r>
      <w:r>
        <w:t xml:space="preserve">”</w:t>
      </w:r>
      <w:r>
        <w:t xml:space="preserve"> </w:t>
      </w:r>
      <w:r>
        <w:t xml:space="preserve">and whether it would prompt reporting in other situations,</w:t>
      </w:r>
      <w:r>
        <w:t xml:space="preserve"> </w:t>
      </w:r>
      <w:r>
        <w:t xml:space="preserve">for example important medical events that may not be directly</w:t>
      </w:r>
      <w:r>
        <w:t xml:space="preserve"> </w:t>
      </w:r>
      <w:r>
        <w:t xml:space="preserve">life-threatening or result in death or hospitalization but may</w:t>
      </w:r>
      <w:r>
        <w:t xml:space="preserve"> </w:t>
      </w:r>
      <w:r>
        <w:t xml:space="preserve">compromise the study subject or may require intervention to prevent one</w:t>
      </w:r>
      <w:r>
        <w:t xml:space="preserve"> </w:t>
      </w:r>
      <w:r>
        <w:t xml:space="preserve">of the other results set forth in the definitions above. These should</w:t>
      </w:r>
      <w:r>
        <w:t xml:space="preserve"> </w:t>
      </w:r>
      <w:r>
        <w:t xml:space="preserve">also normally be considered as SAEs.</w:t>
      </w:r>
    </w:p>
    <w:bookmarkEnd w:id="60"/>
    <w:bookmarkStart w:id="61" w:name="Xd3c6ebf94043cf38de26eb57b2d7fe43cbb984e"/>
    <w:p>
      <w:pPr>
        <w:pStyle w:val="Heading4"/>
      </w:pPr>
      <w:r>
        <w:t xml:space="preserve">7.16.1.4</w:t>
      </w:r>
      <w:r>
        <w:t xml:space="preserve"> </w:t>
      </w:r>
      <w:r>
        <w:rPr>
          <w:bCs/>
          <w:b/>
        </w:rPr>
        <w:t xml:space="preserve">Suspected Unexpected Serious Adverse Reaction (SUSAR)</w:t>
      </w:r>
    </w:p>
    <w:p>
      <w:pPr>
        <w:pStyle w:val="FirstParagraph"/>
      </w:pPr>
      <w:r>
        <w:t xml:space="preserve">SUSAR: A reaction/event that is unexpected, serious, and suspected to be</w:t>
      </w:r>
      <w:r>
        <w:t xml:space="preserve"> </w:t>
      </w:r>
      <w:r>
        <w:t xml:space="preserve">caused by the treatment, i.e. adverse reactions that are not included in</w:t>
      </w:r>
      <w:r>
        <w:t xml:space="preserve"> </w:t>
      </w:r>
      <w:r>
        <w:t xml:space="preserve">the Investigator’s Brochure (IB) or SPC.</w:t>
      </w:r>
    </w:p>
    <w:bookmarkEnd w:id="61"/>
    <w:bookmarkEnd w:id="62"/>
    <w:bookmarkStart w:id="66" w:name="assessment-of-adverse-events-ae"/>
    <w:p>
      <w:pPr>
        <w:pStyle w:val="Heading3"/>
      </w:pPr>
      <w:r>
        <w:t xml:space="preserve">7.16.2 Assessment of Adverse Events (AE)</w:t>
      </w:r>
    </w:p>
    <w:bookmarkStart w:id="63" w:name="assessment-of-causal-relationship"/>
    <w:p>
      <w:pPr>
        <w:pStyle w:val="Heading4"/>
      </w:pPr>
      <w:r>
        <w:t xml:space="preserve">7.16.2.1</w:t>
      </w:r>
      <w:r>
        <w:t xml:space="preserve"> </w:t>
      </w:r>
      <w:r>
        <w:rPr>
          <w:bCs/>
          <w:b/>
        </w:rPr>
        <w:t xml:space="preserve">Assessment of causal relationship</w:t>
      </w:r>
    </w:p>
    <w:p>
      <w:pPr>
        <w:pStyle w:val="FirstParagraph"/>
      </w:pPr>
      <w:r>
        <w:rPr>
          <w:iCs/>
          <w:i/>
        </w:rPr>
        <w:t xml:space="preserve">Text suggestion:</w:t>
      </w:r>
      <w:r>
        <w:t xml:space="preserve"> </w:t>
      </w:r>
      <w:r>
        <w:t xml:space="preserve">The investigator is responsible for determining</w:t>
      </w:r>
      <w:r>
        <w:t xml:space="preserve"> </w:t>
      </w:r>
      <w:r>
        <w:t xml:space="preserve">whether there is a causal relationship between the AE/SAE and use of the</w:t>
      </w:r>
      <w:r>
        <w:t xml:space="preserve"> </w:t>
      </w:r>
      <w:r>
        <w:t xml:space="preserve">investigational medicinal product.</w:t>
      </w:r>
    </w:p>
    <w:p>
      <w:pPr>
        <w:pStyle w:val="BodyText"/>
      </w:pPr>
      <w:r>
        <w:t xml:space="preserve">Consideration should be given to whether there is a reasonable</w:t>
      </w:r>
      <w:r>
        <w:t xml:space="preserve"> </w:t>
      </w:r>
      <w:r>
        <w:t xml:space="preserve">possibility of establishing a causal relationship between the adverse</w:t>
      </w:r>
      <w:r>
        <w:t xml:space="preserve"> </w:t>
      </w:r>
      <w:r>
        <w:t xml:space="preserve">event and the investigational medicinal product based on the analysis of</w:t>
      </w:r>
      <w:r>
        <w:t xml:space="preserve"> </w:t>
      </w:r>
      <w:r>
        <w:t xml:space="preserve">the available evidence.</w:t>
      </w:r>
    </w:p>
    <w:p>
      <w:pPr>
        <w:pStyle w:val="BodyText"/>
      </w:pPr>
      <w:r>
        <w:t xml:space="preserve">All AE can be categorized as either likely related, possibly related,</w:t>
      </w:r>
      <w:r>
        <w:t xml:space="preserve"> </w:t>
      </w:r>
      <w:r>
        <w:t xml:space="preserve">unlikely related or not related, in accordance with the definitions</w:t>
      </w:r>
      <w:r>
        <w:t xml:space="preserve"> </w:t>
      </w:r>
      <w:r>
        <w:t xml:space="preserve">below:</w:t>
      </w:r>
    </w:p>
    <w:p>
      <w:pPr>
        <w:pStyle w:val="BodyText"/>
      </w:pPr>
      <w:r>
        <w:rPr>
          <w:bCs/>
          <w:b/>
        </w:rPr>
        <w:t xml:space="preserve">Likely related</w:t>
      </w:r>
      <w:r>
        <w:t xml:space="preserve">: Clinical event, including abnormal results from</w:t>
      </w:r>
      <w:r>
        <w:t xml:space="preserve"> </w:t>
      </w:r>
      <w:r>
        <w:t xml:space="preserve">laboratory analyses, occurring within a reasonable time after</w:t>
      </w:r>
      <w:r>
        <w:t xml:space="preserve"> </w:t>
      </w:r>
      <w:r>
        <w:t xml:space="preserve">administration of the intervention/investigational medicinal product. It</w:t>
      </w:r>
      <w:r>
        <w:t xml:space="preserve"> </w:t>
      </w:r>
      <w:r>
        <w:t xml:space="preserve">is unlikely that the event can be attributed to underlying disease or</w:t>
      </w:r>
      <w:r>
        <w:t xml:space="preserve"> </w:t>
      </w:r>
      <w:r>
        <w:t xml:space="preserve">other medications but is most likely caused by the investigational</w:t>
      </w:r>
      <w:r>
        <w:t xml:space="preserve"> </w:t>
      </w:r>
      <w:r>
        <w:t xml:space="preserve">medicinal product and its emergence is reasonable in relationship with</w:t>
      </w:r>
      <w:r>
        <w:t xml:space="preserve"> </w:t>
      </w:r>
      <w:r>
        <w:t xml:space="preserve">use of the investigational medicinal product.</w:t>
      </w:r>
    </w:p>
    <w:p>
      <w:pPr>
        <w:pStyle w:val="BodyText"/>
      </w:pPr>
      <w:r>
        <w:rPr>
          <w:bCs/>
          <w:b/>
        </w:rPr>
        <w:t xml:space="preserve">Possibly related</w:t>
      </w:r>
      <w:r>
        <w:t xml:space="preserve">: Clinical event, including abnormal results from</w:t>
      </w:r>
      <w:r>
        <w:t xml:space="preserve"> </w:t>
      </w:r>
      <w:r>
        <w:t xml:space="preserve">laboratory analyses, occurring within a reasonable time after</w:t>
      </w:r>
      <w:r>
        <w:t xml:space="preserve"> </w:t>
      </w:r>
      <w:r>
        <w:t xml:space="preserve">administration of the intervention/investigational medicinal product.</w:t>
      </w:r>
      <w:r>
        <w:t xml:space="preserve"> </w:t>
      </w:r>
      <w:r>
        <w:t xml:space="preserve">The event could be explained by the investigational medicinal product</w:t>
      </w:r>
      <w:r>
        <w:t xml:space="preserve"> </w:t>
      </w:r>
      <w:r>
        <w:t xml:space="preserve">and its emergence is reasonable in relationship with use of the</w:t>
      </w:r>
      <w:r>
        <w:t xml:space="preserve"> </w:t>
      </w:r>
      <w:r>
        <w:t xml:space="preserve">investigational medicinal product, but there is insufficient information</w:t>
      </w:r>
      <w:r>
        <w:t xml:space="preserve"> </w:t>
      </w:r>
      <w:r>
        <w:t xml:space="preserve">to determine the relationship. The event could be explained by an</w:t>
      </w:r>
      <w:r>
        <w:t xml:space="preserve"> </w:t>
      </w:r>
      <w:r>
        <w:t xml:space="preserve">underlying disease or other medications.</w:t>
      </w:r>
    </w:p>
    <w:p>
      <w:pPr>
        <w:pStyle w:val="BodyText"/>
      </w:pPr>
      <w:r>
        <w:rPr>
          <w:bCs/>
          <w:b/>
        </w:rPr>
        <w:t xml:space="preserve">Unlikely related</w:t>
      </w:r>
      <w:r>
        <w:t xml:space="preserve">: Clinical event, including abnormal responses from</w:t>
      </w:r>
      <w:r>
        <w:t xml:space="preserve"> </w:t>
      </w:r>
      <w:r>
        <w:t xml:space="preserve">laboratory tests, unlikely to be related to the</w:t>
      </w:r>
      <w:r>
        <w:t xml:space="preserve"> </w:t>
      </w:r>
      <w:r>
        <w:t xml:space="preserve">intervention/investigational medicinal product and can be reasonably</w:t>
      </w:r>
      <w:r>
        <w:t xml:space="preserve"> </w:t>
      </w:r>
      <w:r>
        <w:t xml:space="preserve">explained by other medication or underlying disease.</w:t>
      </w:r>
    </w:p>
    <w:p>
      <w:pPr>
        <w:pStyle w:val="BodyText"/>
      </w:pPr>
      <w:r>
        <w:rPr>
          <w:bCs/>
          <w:b/>
        </w:rPr>
        <w:t xml:space="preserve">Not related</w:t>
      </w:r>
      <w:r>
        <w:t xml:space="preserve">: Clinical event, including abnormal results from</w:t>
      </w:r>
      <w:r>
        <w:t xml:space="preserve"> </w:t>
      </w:r>
      <w:r>
        <w:t xml:space="preserve">laboratory analyses, that is not reasonably related to the use of the</w:t>
      </w:r>
      <w:r>
        <w:t xml:space="preserve"> </w:t>
      </w:r>
      <w:r>
        <w:t xml:space="preserve">intervention/investigational medicinal product.</w:t>
      </w:r>
    </w:p>
    <w:p>
      <w:pPr>
        <w:pStyle w:val="BodyText"/>
      </w:pPr>
      <w:r>
        <w:t xml:space="preserve">Those AEs which are suspected of having a causal relationship to the</w:t>
      </w:r>
      <w:r>
        <w:t xml:space="preserve"> </w:t>
      </w:r>
      <w:r>
        <w:t xml:space="preserve">investigational medicinal product will be followed up until the subject</w:t>
      </w:r>
      <w:r>
        <w:t xml:space="preserve"> </w:t>
      </w:r>
      <w:r>
        <w:t xml:space="preserve">has recovered or is well taken care of and on the way to good recovery</w:t>
      </w:r>
      <w:r>
        <w:t xml:space="preserve"> </w:t>
      </w:r>
      <w:r>
        <w:t xml:space="preserve">(see also section 9.4, Follow-up of Adverse Events).</w:t>
      </w:r>
    </w:p>
    <w:p>
      <w:pPr>
        <w:pStyle w:val="BodyText"/>
      </w:pPr>
      <w:r>
        <w:t xml:space="preserve">If the reporting investigator does not provide any information on</w:t>
      </w:r>
      <w:r>
        <w:t xml:space="preserve"> </w:t>
      </w:r>
      <w:r>
        <w:t xml:space="preserve">causality, the sponsor should consult with the reporting investigator</w:t>
      </w:r>
      <w:r>
        <w:t xml:space="preserve"> </w:t>
      </w:r>
      <w:r>
        <w:t xml:space="preserve">and encourage the expression of a position on this issue. The sponsor</w:t>
      </w:r>
      <w:r>
        <w:t xml:space="preserve"> </w:t>
      </w:r>
      <w:r>
        <w:t xml:space="preserve">must take into account the assessment of causality provided by the</w:t>
      </w:r>
      <w:r>
        <w:t xml:space="preserve"> </w:t>
      </w:r>
      <w:r>
        <w:t xml:space="preserve">investigator. If the sponsor disagrees with the investigator's</w:t>
      </w:r>
      <w:r>
        <w:t xml:space="preserve"> </w:t>
      </w:r>
      <w:r>
        <w:t xml:space="preserve">assessment of causality, both the investigator's and the sponsor's</w:t>
      </w:r>
      <w:r>
        <w:t xml:space="preserve"> </w:t>
      </w:r>
      <w:r>
        <w:t xml:space="preserve">views should be included in the report.</w:t>
      </w:r>
    </w:p>
    <w:bookmarkEnd w:id="63"/>
    <w:bookmarkStart w:id="64" w:name="assessment-of-intensity"/>
    <w:p>
      <w:pPr>
        <w:pStyle w:val="Heading4"/>
      </w:pPr>
      <w:r>
        <w:t xml:space="preserve">7.16.2.2</w:t>
      </w:r>
      <w:r>
        <w:t xml:space="preserve"> </w:t>
      </w:r>
      <w:r>
        <w:rPr>
          <w:bCs/>
          <w:b/>
        </w:rPr>
        <w:t xml:space="preserve">Assessment of intensity</w:t>
      </w:r>
    </w:p>
    <w:p>
      <w:pPr>
        <w:pStyle w:val="FirstParagraph"/>
      </w:pPr>
      <w:r>
        <w:rPr>
          <w:iCs/>
          <w:i/>
        </w:rPr>
        <w:t xml:space="preserve">In addition to assessing the causal relationship between administration</w:t>
      </w:r>
      <w:r>
        <w:rPr>
          <w:iCs/>
          <w:i/>
        </w:rPr>
        <w:t xml:space="preserve"> </w:t>
      </w:r>
      <w:r>
        <w:rPr>
          <w:iCs/>
          <w:i/>
        </w:rPr>
        <w:t xml:space="preserve">of the investigational medicinal product and AE, an assessment of the</w:t>
      </w:r>
      <w:r>
        <w:rPr>
          <w:iCs/>
          <w:i/>
        </w:rPr>
        <w:t xml:space="preserve"> </w:t>
      </w:r>
      <w:r>
        <w:rPr>
          <w:iCs/>
          <w:i/>
        </w:rPr>
        <w:t xml:space="preserve">intensity of the event is required. The following classifications can be</w:t>
      </w:r>
      <w:r>
        <w:rPr>
          <w:iCs/>
          <w:i/>
        </w:rPr>
        <w:t xml:space="preserve"> </w:t>
      </w:r>
      <w:r>
        <w:rPr>
          <w:iCs/>
          <w:i/>
        </w:rPr>
        <w:t xml:space="preserve">used:</w:t>
      </w:r>
    </w:p>
    <w:p>
      <w:pPr>
        <w:pStyle w:val="BodyText"/>
      </w:pPr>
      <w:r>
        <w:t xml:space="preserve">Each adverse event shall be classified by an investigator as mild,</w:t>
      </w:r>
      <w:r>
        <w:t xml:space="preserve"> </w:t>
      </w:r>
      <w:r>
        <w:t xml:space="preserve">moderate or severe.</w:t>
      </w:r>
    </w:p>
    <w:p>
      <w:pPr>
        <w:pStyle w:val="BodyText"/>
      </w:pPr>
      <w:r>
        <w:rPr>
          <w:bCs/>
          <w:b/>
        </w:rPr>
        <w:t xml:space="preserve">Mild:</w:t>
      </w:r>
      <w:r>
        <w:t xml:space="preserve"> </w:t>
      </w:r>
      <w:r>
        <w:t xml:space="preserve">The adverse event is relatively tolerable and transient in</w:t>
      </w:r>
      <w:r>
        <w:t xml:space="preserve"> </w:t>
      </w:r>
      <w:r>
        <w:t xml:space="preserve">nature but does not affect the subject’s normal life.</w:t>
      </w:r>
    </w:p>
    <w:p>
      <w:pPr>
        <w:pStyle w:val="BodyText"/>
      </w:pPr>
      <w:r>
        <w:rPr>
          <w:bCs/>
          <w:b/>
        </w:rPr>
        <w:t xml:space="preserve">Moderate</w:t>
      </w:r>
      <w:r>
        <w:t xml:space="preserve">: The adverse event causes deterioration of function but</w:t>
      </w:r>
      <w:r>
        <w:t xml:space="preserve"> </w:t>
      </w:r>
      <w:r>
        <w:t xml:space="preserve">does not affect health. The event can be sufficiently unpleasant and</w:t>
      </w:r>
      <w:r>
        <w:t xml:space="preserve"> </w:t>
      </w:r>
      <w:r>
        <w:t xml:space="preserve">interferes with normal activities but does not completely obstruct them.</w:t>
      </w:r>
    </w:p>
    <w:p>
      <w:pPr>
        <w:pStyle w:val="BodyText"/>
      </w:pPr>
      <w:r>
        <w:rPr>
          <w:bCs/>
          <w:b/>
        </w:rPr>
        <w:t xml:space="preserve">Severe</w:t>
      </w:r>
      <w:r>
        <w:t xml:space="preserve">: The adverse event causes deterioration of function or work</w:t>
      </w:r>
      <w:r>
        <w:t xml:space="preserve"> </w:t>
      </w:r>
      <w:r>
        <w:t xml:space="preserve">ability or poses a health risk to the subject.</w:t>
      </w:r>
    </w:p>
    <w:p>
      <w:pPr>
        <w:pStyle w:val="BodyText"/>
      </w:pPr>
      <w:r>
        <w:rPr>
          <w:iCs/>
          <w:i/>
        </w:rPr>
        <w:t xml:space="preserve">Assessment of intensity is generally made by the reporting</w:t>
      </w:r>
      <w:r>
        <w:rPr>
          <w:iCs/>
          <w:i/>
        </w:rPr>
        <w:t xml:space="preserve"> </w:t>
      </w:r>
      <w:r>
        <w:rPr>
          <w:iCs/>
          <w:i/>
        </w:rPr>
        <w:t xml:space="preserve">investigator.</w:t>
      </w:r>
    </w:p>
    <w:p>
      <w:pPr>
        <w:pStyle w:val="BodyText"/>
      </w:pPr>
      <w:r>
        <w:rPr>
          <w:iCs/>
          <w:i/>
        </w:rPr>
        <w:t xml:space="preserve">Common Terminology Criteria for Adverse Event (CTCAE) is another way to</w:t>
      </w:r>
      <w:r>
        <w:rPr>
          <w:iCs/>
          <w:i/>
        </w:rPr>
        <w:t xml:space="preserve"> </w:t>
      </w:r>
      <w:r>
        <w:rPr>
          <w:iCs/>
          <w:i/>
        </w:rPr>
        <w:t xml:space="preserve">classify intensity according to a five-point scale.</w:t>
      </w:r>
    </w:p>
    <w:bookmarkEnd w:id="64"/>
    <w:bookmarkStart w:id="65" w:name="assessment-of-seriousness"/>
    <w:p>
      <w:pPr>
        <w:pStyle w:val="Heading4"/>
      </w:pPr>
      <w:r>
        <w:t xml:space="preserve">7.16.2.3</w:t>
      </w:r>
      <w:r>
        <w:t xml:space="preserve"> </w:t>
      </w:r>
      <w:r>
        <w:rPr>
          <w:bCs/>
          <w:b/>
        </w:rPr>
        <w:t xml:space="preserve">Assessment of seriousness</w:t>
      </w:r>
    </w:p>
    <w:p>
      <w:pPr>
        <w:pStyle w:val="FirstParagraph"/>
      </w:pPr>
      <w:r>
        <w:t xml:space="preserve">The investigator is responsible for assessing the seriousness (serious</w:t>
      </w:r>
      <w:r>
        <w:t xml:space="preserve"> </w:t>
      </w:r>
      <w:r>
        <w:t xml:space="preserve">or non-serious). If the adverse event is considered serious, this should</w:t>
      </w:r>
      <w:r>
        <w:t xml:space="preserve"> </w:t>
      </w:r>
      <w:r>
        <w:t xml:space="preserve">be reported as a serious adverse event (SAE) by the investigator to the</w:t>
      </w:r>
      <w:r>
        <w:t xml:space="preserve"> </w:t>
      </w:r>
      <w:r>
        <w:t xml:space="preserve">sponsor. See also section 9.3.2, Reporting of Serious Adverse Events</w:t>
      </w:r>
      <w:r>
        <w:t xml:space="preserve"> </w:t>
      </w:r>
      <w:r>
        <w:t xml:space="preserve">(SAE).</w:t>
      </w:r>
    </w:p>
    <w:bookmarkEnd w:id="65"/>
    <w:bookmarkEnd w:id="66"/>
    <w:bookmarkStart w:id="71" w:name="X54b87b0e4cb465b43b9bed4cadb1a58263b5141"/>
    <w:p>
      <w:pPr>
        <w:pStyle w:val="Heading3"/>
      </w:pPr>
      <w:r>
        <w:t xml:space="preserve">7.16.3 Reporting and registration of Adverse Events</w:t>
      </w:r>
    </w:p>
    <w:p>
      <w:pPr>
        <w:numPr>
          <w:ilvl w:val="0"/>
          <w:numId w:val="1010"/>
        </w:numPr>
      </w:pPr>
      <w:r>
        <w:rPr>
          <w:iCs/>
          <w:i/>
        </w:rPr>
        <w:t xml:space="preserve">The investigator should register and document adverse event or</w:t>
      </w:r>
      <w:r>
        <w:rPr>
          <w:iCs/>
          <w:i/>
        </w:rPr>
        <w:t xml:space="preserve"> </w:t>
      </w:r>
      <w:r>
        <w:rPr>
          <w:iCs/>
          <w:i/>
        </w:rPr>
        <w:t xml:space="preserve">abnormal laboratory responses identified in the protocol as critical</w:t>
      </w:r>
      <w:r>
        <w:rPr>
          <w:iCs/>
          <w:i/>
        </w:rPr>
        <w:t xml:space="preserve"> </w:t>
      </w:r>
      <w:r>
        <w:rPr>
          <w:iCs/>
          <w:i/>
        </w:rPr>
        <w:t xml:space="preserve">for safety assessment and report them to the sponsor according to</w:t>
      </w:r>
      <w:r>
        <w:rPr>
          <w:iCs/>
          <w:i/>
        </w:rPr>
        <w:t xml:space="preserve"> </w:t>
      </w:r>
      <w:r>
        <w:rPr>
          <w:iCs/>
          <w:i/>
        </w:rPr>
        <w:t xml:space="preserve">the reporting requirements and within the time periods specified in</w:t>
      </w:r>
      <w:r>
        <w:rPr>
          <w:iCs/>
          <w:i/>
        </w:rPr>
        <w:t xml:space="preserve"> </w:t>
      </w:r>
      <w:r>
        <w:rPr>
          <w:iCs/>
          <w:i/>
        </w:rPr>
        <w:t xml:space="preserve">the protocol.</w:t>
      </w:r>
    </w:p>
    <w:p>
      <w:pPr>
        <w:numPr>
          <w:ilvl w:val="0"/>
          <w:numId w:val="1010"/>
        </w:numPr>
      </w:pPr>
      <w:r>
        <w:rPr>
          <w:iCs/>
          <w:i/>
        </w:rPr>
        <w:t xml:space="preserve">Less stringent rules from registration and reporting requirements</w:t>
      </w:r>
      <w:r>
        <w:rPr>
          <w:iCs/>
          <w:i/>
        </w:rPr>
        <w:t xml:space="preserve"> </w:t>
      </w:r>
      <w:r>
        <w:rPr>
          <w:iCs/>
          <w:i/>
        </w:rPr>
        <w:t xml:space="preserve">may be granted in low-intervention clinical trials (for definition</w:t>
      </w:r>
      <w:r>
        <w:rPr>
          <w:iCs/>
          <w:i/>
        </w:rPr>
        <w:t xml:space="preserve"> </w:t>
      </w:r>
      <w:r>
        <w:rPr>
          <w:iCs/>
          <w:i/>
        </w:rPr>
        <w:t xml:space="preserve">see cover page) after a thorough risk analysis.</w:t>
      </w:r>
    </w:p>
    <w:p>
      <w:pPr>
        <w:numPr>
          <w:ilvl w:val="0"/>
          <w:numId w:val="1010"/>
        </w:numPr>
      </w:pPr>
      <w:r>
        <w:rPr>
          <w:iCs/>
          <w:i/>
        </w:rPr>
        <w:t xml:space="preserve">The sponsor should maintain a detailed register of all adverse</w:t>
      </w:r>
      <w:r>
        <w:rPr>
          <w:iCs/>
          <w:i/>
        </w:rPr>
        <w:t xml:space="preserve"> </w:t>
      </w:r>
      <w:r>
        <w:rPr>
          <w:iCs/>
          <w:i/>
        </w:rPr>
        <w:t xml:space="preserve">event reported by the investigator.</w:t>
      </w:r>
    </w:p>
    <w:p>
      <w:pPr>
        <w:numPr>
          <w:ilvl w:val="0"/>
          <w:numId w:val="1010"/>
        </w:numPr>
      </w:pPr>
      <w:r>
        <w:rPr>
          <w:iCs/>
          <w:i/>
        </w:rPr>
        <w:t xml:space="preserve">Describe how AE/SAE are captured, e.g., that trial subjects at each</w:t>
      </w:r>
      <w:r>
        <w:rPr>
          <w:iCs/>
          <w:i/>
        </w:rPr>
        <w:t xml:space="preserve"> </w:t>
      </w:r>
      <w:r>
        <w:rPr>
          <w:iCs/>
          <w:i/>
        </w:rPr>
        <w:t xml:space="preserve">contact with the investigator/nurse will be asked about how they</w:t>
      </w:r>
      <w:r>
        <w:rPr>
          <w:iCs/>
          <w:i/>
        </w:rPr>
        <w:t xml:space="preserve"> </w:t>
      </w:r>
      <w:r>
        <w:rPr>
          <w:iCs/>
          <w:i/>
        </w:rPr>
        <w:t xml:space="preserve">have been feeling since the previous visit or describe if another</w:t>
      </w:r>
      <w:r>
        <w:rPr>
          <w:iCs/>
          <w:i/>
        </w:rPr>
        <w:t xml:space="preserve"> </w:t>
      </w:r>
      <w:r>
        <w:rPr>
          <w:iCs/>
          <w:i/>
        </w:rPr>
        <w:t xml:space="preserve">way is used to capture adverse event in the trial.</w:t>
      </w:r>
    </w:p>
    <w:p>
      <w:pPr>
        <w:numPr>
          <w:ilvl w:val="0"/>
          <w:numId w:val="1010"/>
        </w:numPr>
      </w:pPr>
      <w:r>
        <w:rPr>
          <w:iCs/>
          <w:i/>
        </w:rPr>
        <w:t xml:space="preserve">Describe where AE/SAE are registered. Normally, they are registered</w:t>
      </w:r>
      <w:r>
        <w:rPr>
          <w:iCs/>
          <w:i/>
        </w:rPr>
        <w:t xml:space="preserve"> </w:t>
      </w:r>
      <w:r>
        <w:rPr>
          <w:iCs/>
          <w:i/>
        </w:rPr>
        <w:t xml:space="preserve">primarily in the subject’s medical records. Describe how these will</w:t>
      </w:r>
      <w:r>
        <w:rPr>
          <w:iCs/>
          <w:i/>
        </w:rPr>
        <w:t xml:space="preserve"> </w:t>
      </w:r>
      <w:r>
        <w:rPr>
          <w:iCs/>
          <w:i/>
        </w:rPr>
        <w:t xml:space="preserve">be registered in the trial’s CRF, reporting forms or worksheets, and</w:t>
      </w:r>
      <w:r>
        <w:rPr>
          <w:iCs/>
          <w:i/>
        </w:rPr>
        <w:t xml:space="preserve"> </w:t>
      </w:r>
      <w:r>
        <w:rPr>
          <w:iCs/>
          <w:i/>
        </w:rPr>
        <w:t xml:space="preserve">where registrations of severity and causality are made, since this</w:t>
      </w:r>
      <w:r>
        <w:rPr>
          <w:iCs/>
          <w:i/>
        </w:rPr>
        <w:t xml:space="preserve"> </w:t>
      </w:r>
      <w:r>
        <w:rPr>
          <w:iCs/>
          <w:i/>
        </w:rPr>
        <w:t xml:space="preserve">is not always done in the medical record.</w:t>
      </w:r>
    </w:p>
    <w:p>
      <w:pPr>
        <w:numPr>
          <w:ilvl w:val="0"/>
          <w:numId w:val="1010"/>
        </w:numPr>
      </w:pPr>
      <w:r>
        <w:rPr>
          <w:iCs/>
          <w:i/>
        </w:rPr>
        <w:t xml:space="preserve">Also describe AEs which do not need to be documented and reported</w:t>
      </w:r>
      <w:r>
        <w:rPr>
          <w:iCs/>
          <w:i/>
        </w:rPr>
        <w:t xml:space="preserve"> </w:t>
      </w:r>
      <w:r>
        <w:rPr>
          <w:iCs/>
          <w:i/>
        </w:rPr>
        <w:t xml:space="preserve">as AEs. If this is not indicated, all adverse medical events should</w:t>
      </w:r>
      <w:r>
        <w:rPr>
          <w:iCs/>
          <w:i/>
        </w:rPr>
        <w:t xml:space="preserve"> </w:t>
      </w:r>
      <w:r>
        <w:rPr>
          <w:iCs/>
          <w:i/>
        </w:rPr>
        <w:t xml:space="preserve">be collected as AEs in, e.g., a diary or otherwise.</w:t>
      </w:r>
    </w:p>
    <w:p>
      <w:pPr>
        <w:numPr>
          <w:ilvl w:val="0"/>
          <w:numId w:val="1010"/>
        </w:numPr>
      </w:pPr>
      <w:r>
        <w:rPr>
          <w:iCs/>
          <w:i/>
        </w:rPr>
        <w:t xml:space="preserve">Describe here during which time period adverse events are intended</w:t>
      </w:r>
      <w:r>
        <w:rPr>
          <w:iCs/>
          <w:i/>
        </w:rPr>
        <w:t xml:space="preserve"> </w:t>
      </w:r>
      <w:r>
        <w:rPr>
          <w:iCs/>
          <w:i/>
        </w:rPr>
        <w:t xml:space="preserve">to be followed, e.g., from trial start or from start of treatment</w:t>
      </w:r>
      <w:r>
        <w:rPr>
          <w:iCs/>
          <w:i/>
        </w:rPr>
        <w:t xml:space="preserve"> </w:t>
      </w:r>
      <w:r>
        <w:rPr>
          <w:iCs/>
          <w:i/>
        </w:rPr>
        <w:t xml:space="preserve">with the investigational medicinal product to XX weeks after the</w:t>
      </w:r>
      <w:r>
        <w:rPr>
          <w:iCs/>
          <w:i/>
        </w:rPr>
        <w:t xml:space="preserve"> </w:t>
      </w:r>
      <w:r>
        <w:rPr>
          <w:iCs/>
          <w:i/>
        </w:rPr>
        <w:t xml:space="preserve">last dose.</w:t>
      </w:r>
    </w:p>
    <w:p>
      <w:pPr>
        <w:numPr>
          <w:ilvl w:val="0"/>
          <w:numId w:val="1010"/>
        </w:numPr>
      </w:pPr>
      <w:r>
        <w:rPr>
          <w:iCs/>
          <w:i/>
        </w:rPr>
        <w:t xml:space="preserve">All reported adverse events that have not been resolved by the end</w:t>
      </w:r>
      <w:r>
        <w:rPr>
          <w:iCs/>
          <w:i/>
        </w:rPr>
        <w:t xml:space="preserve"> </w:t>
      </w:r>
      <w:r>
        <w:rPr>
          <w:iCs/>
          <w:i/>
        </w:rPr>
        <w:t xml:space="preserve">of the trial should be followed up. How, when, and for how long this</w:t>
      </w:r>
      <w:r>
        <w:rPr>
          <w:iCs/>
          <w:i/>
        </w:rPr>
        <w:t xml:space="preserve"> </w:t>
      </w:r>
      <w:r>
        <w:rPr>
          <w:iCs/>
          <w:i/>
        </w:rPr>
        <w:t xml:space="preserve">follow-up will last should be described, e.g., telephone contact or</w:t>
      </w:r>
      <w:r>
        <w:rPr>
          <w:iCs/>
          <w:i/>
        </w:rPr>
        <w:t xml:space="preserve"> </w:t>
      </w:r>
      <w:r>
        <w:rPr>
          <w:iCs/>
          <w:i/>
        </w:rPr>
        <w:t xml:space="preserve">visit to the study site approximately XX weeks after the last visit</w:t>
      </w:r>
      <w:r>
        <w:rPr>
          <w:iCs/>
          <w:i/>
        </w:rPr>
        <w:t xml:space="preserve"> </w:t>
      </w:r>
      <w:r>
        <w:rPr>
          <w:iCs/>
          <w:i/>
        </w:rPr>
        <w:t xml:space="preserve">in the trial. The follow-up and the time for the follow-up</w:t>
      </w:r>
      <w:r>
        <w:rPr>
          <w:iCs/>
          <w:i/>
        </w:rPr>
        <w:t xml:space="preserve"> </w:t>
      </w:r>
      <w:r>
        <w:rPr>
          <w:iCs/>
          <w:i/>
        </w:rPr>
        <w:t xml:space="preserve">visit/contact are adapted to each individual trial.</w:t>
      </w:r>
    </w:p>
    <w:p>
      <w:pPr>
        <w:numPr>
          <w:ilvl w:val="0"/>
          <w:numId w:val="1010"/>
        </w:numPr>
      </w:pPr>
      <w:r>
        <w:rPr>
          <w:iCs/>
          <w:i/>
          <w:bCs/>
          <w:b/>
        </w:rPr>
        <w:t xml:space="preserve">Assessment of causal relationship (between AE/SAE and</w:t>
      </w:r>
      <w:r>
        <w:rPr>
          <w:iCs/>
          <w:i/>
          <w:bCs/>
          <w:b/>
        </w:rPr>
        <w:t xml:space="preserve"> </w:t>
      </w:r>
      <w:r>
        <w:rPr>
          <w:iCs/>
          <w:i/>
          <w:bCs/>
          <w:b/>
        </w:rPr>
        <w:t xml:space="preserve">investigational medicinal product), whether the AE is considered to</w:t>
      </w:r>
      <w:r>
        <w:rPr>
          <w:iCs/>
          <w:i/>
          <w:bCs/>
          <w:b/>
        </w:rPr>
        <w:t xml:space="preserve"> </w:t>
      </w:r>
      <w:r>
        <w:rPr>
          <w:iCs/>
          <w:i/>
          <w:bCs/>
          <w:b/>
        </w:rPr>
        <w:t xml:space="preserve">be an SAE or not, shall be made by a licensed physician.</w:t>
      </w:r>
    </w:p>
    <w:p>
      <w:pPr>
        <w:pStyle w:val="FirstParagraph"/>
      </w:pPr>
      <w:r>
        <w:rPr>
          <w:iCs/>
          <w:i/>
        </w:rPr>
        <w:t xml:space="preserve">Text suggestion:</w:t>
      </w:r>
      <w:r>
        <w:t xml:space="preserve"> </w:t>
      </w:r>
      <w:r>
        <w:t xml:space="preserve">At each trial visit, adverse events (AE) are</w:t>
      </w:r>
      <w:r>
        <w:t xml:space="preserve"> </w:t>
      </w:r>
      <w:r>
        <w:t xml:space="preserve">registered, starting after</w:t>
      </w:r>
      <w:r>
        <w:t xml:space="preserve"> </w:t>
      </w:r>
      <w:r>
        <w:rPr>
          <w:iCs/>
          <w:i/>
        </w:rPr>
        <w:t xml:space="preserve">trial start/or from start of treatment with</w:t>
      </w:r>
      <w:r>
        <w:rPr>
          <w:iCs/>
          <w:i/>
        </w:rPr>
        <w:t xml:space="preserve"> </w:t>
      </w:r>
      <w:r>
        <w:rPr>
          <w:iCs/>
          <w:i/>
        </w:rPr>
        <w:t xml:space="preserve">the investigational medicinal product,</w:t>
      </w:r>
      <w:r>
        <w:t xml:space="preserve"> </w:t>
      </w:r>
      <w:r>
        <w:t xml:space="preserve">up to and including</w:t>
      </w:r>
      <w:r>
        <w:t xml:space="preserve"> </w:t>
      </w:r>
      <w:r>
        <w:rPr>
          <w:iCs/>
          <w:i/>
        </w:rPr>
        <w:t xml:space="preserve">X</w:t>
      </w:r>
      <w:r>
        <w:t xml:space="preserve"> </w:t>
      </w:r>
      <w:r>
        <w:rPr>
          <w:iCs/>
          <w:i/>
        </w:rPr>
        <w:t xml:space="preserve">weeks</w:t>
      </w:r>
      <w:r>
        <w:t xml:space="preserve"> </w:t>
      </w:r>
      <w:r>
        <w:t xml:space="preserve">after the subject has ended their treatment with the investigational</w:t>
      </w:r>
      <w:r>
        <w:t xml:space="preserve"> </w:t>
      </w:r>
      <w:r>
        <w:t xml:space="preserve">medicinal product. All AE that occurs during the trial and which are</w:t>
      </w:r>
      <w:r>
        <w:t xml:space="preserve"> </w:t>
      </w:r>
      <w:r>
        <w:t xml:space="preserve">observed by the investigator/trial nurse or reported by the subject will</w:t>
      </w:r>
      <w:r>
        <w:t xml:space="preserve"> </w:t>
      </w:r>
      <w:r>
        <w:t xml:space="preserve">be registered in the CRF regardless of whether they are related to the</w:t>
      </w:r>
      <w:r>
        <w:t xml:space="preserve"> </w:t>
      </w:r>
      <w:r>
        <w:t xml:space="preserve">investigational medicinal product or not. Assessment of causal</w:t>
      </w:r>
      <w:r>
        <w:t xml:space="preserve"> </w:t>
      </w:r>
      <w:r>
        <w:t xml:space="preserve">relationship, severity, and whether the AE is considered to be an SAE</w:t>
      </w:r>
      <w:r>
        <w:t xml:space="preserve"> </w:t>
      </w:r>
      <w:r>
        <w:t xml:space="preserve">will be made by the investigator directly in the</w:t>
      </w:r>
      <w:r>
        <w:t xml:space="preserve"> </w:t>
      </w:r>
      <w:r>
        <w:rPr>
          <w:iCs/>
          <w:i/>
        </w:rPr>
        <w:t xml:space="preserve">CRF/on a</w:t>
      </w:r>
      <w:r>
        <w:rPr>
          <w:iCs/>
          <w:i/>
        </w:rPr>
        <w:t xml:space="preserve"> </w:t>
      </w:r>
      <w:r>
        <w:rPr>
          <w:iCs/>
          <w:i/>
        </w:rPr>
        <w:t xml:space="preserve">trial-specific worksheet</w:t>
      </w:r>
      <w:r>
        <w:t xml:space="preserve">. At minimum for each AE/SAE, a description of</w:t>
      </w:r>
      <w:r>
        <w:t xml:space="preserve"> </w:t>
      </w:r>
      <w:r>
        <w:t xml:space="preserve">the event is recorded (diagnosis/symptom if diagnosis is missing), start</w:t>
      </w:r>
      <w:r>
        <w:t xml:space="preserve"> </w:t>
      </w:r>
      <w:r>
        <w:t xml:space="preserve">and stop dates, causal relationship, severity, if the AE is considered</w:t>
      </w:r>
      <w:r>
        <w:t xml:space="preserve"> </w:t>
      </w:r>
      <w:r>
        <w:t xml:space="preserve">to be an SAE, measures and outcome.</w:t>
      </w:r>
    </w:p>
    <w:p>
      <w:pPr>
        <w:pStyle w:val="BodyText"/>
      </w:pPr>
      <w:r>
        <w:t xml:space="preserve">The following symptoms are clearly related to the process and the</w:t>
      </w:r>
      <w:r>
        <w:t xml:space="preserve"> </w:t>
      </w:r>
      <w:r>
        <w:t xml:space="preserve">expected course of the condition and therefore will not be reported as</w:t>
      </w:r>
      <w:r>
        <w:t xml:space="preserve"> </w:t>
      </w:r>
      <w:r>
        <w:t xml:space="preserve">AE:</w:t>
      </w:r>
    </w:p>
    <w:p>
      <w:pPr>
        <w:pStyle w:val="BodyText"/>
      </w:pPr>
      <w:r>
        <w:t xml:space="preserve">Example:</w:t>
      </w:r>
    </w:p>
    <w:p>
      <w:pPr>
        <w:pStyle w:val="BodyText"/>
      </w:pPr>
      <w:r>
        <w:rPr>
          <w:iCs/>
          <w:i/>
        </w:rPr>
        <w:t xml:space="preserve">Expected adverse events based on knowledge of the disease in question</w:t>
      </w:r>
      <w:r>
        <w:rPr>
          <w:iCs/>
          <w:i/>
        </w:rPr>
        <w:t xml:space="preserve"> </w:t>
      </w:r>
      <w:r>
        <w:rPr>
          <w:iCs/>
          <w:i/>
        </w:rPr>
        <w:t xml:space="preserve">and expected clinical course.</w:t>
      </w:r>
    </w:p>
    <w:bookmarkStart w:id="67" w:name="reporting-of-adverse-events-ae"/>
    <w:p>
      <w:pPr>
        <w:pStyle w:val="Heading4"/>
      </w:pPr>
      <w:r>
        <w:t xml:space="preserve">7.16.3.1</w:t>
      </w:r>
      <w:r>
        <w:t xml:space="preserve"> </w:t>
      </w:r>
      <w:r>
        <w:rPr>
          <w:bCs/>
          <w:b/>
        </w:rPr>
        <w:t xml:space="preserve">Reporting of Adverse Events (AE)</w:t>
      </w:r>
    </w:p>
    <w:p>
      <w:pPr>
        <w:pStyle w:val="FirstParagraph"/>
      </w:pPr>
      <w:r>
        <w:rPr>
          <w:iCs/>
          <w:i/>
        </w:rPr>
        <w:t xml:space="preserve">Text suggestion:</w:t>
      </w:r>
      <w:r>
        <w:t xml:space="preserve"> </w:t>
      </w:r>
      <w:r>
        <w:t xml:space="preserve">All AE shall be registered in the CRF within</w:t>
      </w:r>
      <w:r>
        <w:t xml:space="preserve"> </w:t>
      </w:r>
      <w:r>
        <w:rPr>
          <w:iCs/>
          <w:i/>
        </w:rPr>
        <w:t xml:space="preserve">&lt;&lt;indicate time frame&gt;&gt; as indicated above (section 9.3, Reporting</w:t>
      </w:r>
      <w:r>
        <w:rPr>
          <w:iCs/>
          <w:i/>
        </w:rPr>
        <w:t xml:space="preserve"> </w:t>
      </w:r>
      <w:r>
        <w:rPr>
          <w:iCs/>
          <w:i/>
        </w:rPr>
        <w:t xml:space="preserve">and registration of Adverse Events)</w:t>
      </w:r>
      <w:r>
        <w:t xml:space="preserve">.</w:t>
      </w:r>
    </w:p>
    <w:bookmarkEnd w:id="67"/>
    <w:bookmarkStart w:id="68" w:name="reporting-of-serious-adverse-events-sae"/>
    <w:p>
      <w:pPr>
        <w:pStyle w:val="Heading4"/>
      </w:pPr>
      <w:r>
        <w:t xml:space="preserve">7.16.3.2</w:t>
      </w:r>
      <w:r>
        <w:t xml:space="preserve"> </w:t>
      </w:r>
      <w:r>
        <w:rPr>
          <w:bCs/>
          <w:b/>
        </w:rPr>
        <w:t xml:space="preserve">Reporting of Serious Adverse Events (SAE)</w:t>
      </w:r>
    </w:p>
    <w:p>
      <w:pPr>
        <w:pStyle w:val="FirstParagraph"/>
      </w:pPr>
      <w:r>
        <w:rPr>
          <w:iCs/>
          <w:i/>
        </w:rPr>
        <w:t xml:space="preserve">Text suggestion:</w:t>
      </w:r>
      <w:r>
        <w:t xml:space="preserve"> </w:t>
      </w:r>
      <w:r>
        <w:t xml:space="preserve">Serious adverse events (SAE) are reported to the</w:t>
      </w:r>
      <w:r>
        <w:t xml:space="preserve"> </w:t>
      </w:r>
      <w:r>
        <w:t xml:space="preserve">sponsor on a special SAE form within 24 hours of the investigator being</w:t>
      </w:r>
      <w:r>
        <w:t xml:space="preserve"> </w:t>
      </w:r>
      <w:r>
        <w:t xml:space="preserve">informed of the SAE.</w:t>
      </w:r>
    </w:p>
    <w:p>
      <w:pPr>
        <w:pStyle w:val="BodyText"/>
      </w:pPr>
      <w:r>
        <w:t xml:space="preserve">Follow-up information describing the outcome and handling of the SAE is</w:t>
      </w:r>
      <w:r>
        <w:t xml:space="preserve"> </w:t>
      </w:r>
      <w:r>
        <w:t xml:space="preserve">reported as soon as this information is available. The original should</w:t>
      </w:r>
      <w:r>
        <w:t xml:space="preserve"> </w:t>
      </w:r>
      <w:r>
        <w:t xml:space="preserve">be kept in the Investigator Site File.</w:t>
      </w:r>
    </w:p>
    <w:p>
      <w:pPr>
        <w:pStyle w:val="BodyText"/>
      </w:pPr>
      <w:r>
        <w:rPr>
          <w:iCs/>
          <w:i/>
        </w:rPr>
        <w:t xml:space="preserve">Provide details about the reporting procedure for SAE. Include</w:t>
      </w:r>
      <w:r>
        <w:rPr>
          <w:iCs/>
          <w:i/>
        </w:rPr>
        <w:t xml:space="preserve"> </w:t>
      </w:r>
      <w:r>
        <w:rPr>
          <w:iCs/>
          <w:i/>
        </w:rPr>
        <w:t xml:space="preserve">reporting times, what will happen upon receipt of an SAE, who will</w:t>
      </w:r>
      <w:r>
        <w:rPr>
          <w:iCs/>
          <w:i/>
        </w:rPr>
        <w:t xml:space="preserve"> </w:t>
      </w:r>
      <w:r>
        <w:rPr>
          <w:iCs/>
          <w:i/>
        </w:rPr>
        <w:t xml:space="preserve">review what is reported and who will assess whether the adverse event</w:t>
      </w:r>
      <w:r>
        <w:rPr>
          <w:iCs/>
          <w:i/>
        </w:rPr>
        <w:t xml:space="preserve"> </w:t>
      </w:r>
      <w:r>
        <w:rPr>
          <w:iCs/>
          <w:i/>
        </w:rPr>
        <w:t xml:space="preserve">was expected for the investigational medicinal product or not (this is</w:t>
      </w:r>
      <w:r>
        <w:rPr>
          <w:iCs/>
          <w:i/>
        </w:rPr>
        <w:t xml:space="preserve"> </w:t>
      </w:r>
      <w:r>
        <w:rPr>
          <w:iCs/>
          <w:i/>
        </w:rPr>
        <w:t xml:space="preserve">done using the reference safety information). The processes for</w:t>
      </w:r>
      <w:r>
        <w:rPr>
          <w:iCs/>
          <w:i/>
        </w:rPr>
        <w:t xml:space="preserve"> </w:t>
      </w:r>
      <w:r>
        <w:rPr>
          <w:iCs/>
          <w:i/>
        </w:rPr>
        <w:t xml:space="preserve">receiving, confirming, and reviewing of reported SAEs should be</w:t>
      </w:r>
      <w:r>
        <w:rPr>
          <w:iCs/>
          <w:i/>
        </w:rPr>
        <w:t xml:space="preserve"> </w:t>
      </w:r>
      <w:r>
        <w:rPr>
          <w:iCs/>
          <w:i/>
        </w:rPr>
        <w:t xml:space="preserve">described. Reviewing of SAEs must occur in due time, with consideration</w:t>
      </w:r>
      <w:r>
        <w:rPr>
          <w:iCs/>
          <w:i/>
        </w:rPr>
        <w:t xml:space="preserve"> </w:t>
      </w:r>
      <w:r>
        <w:rPr>
          <w:iCs/>
          <w:i/>
        </w:rPr>
        <w:t xml:space="preserve">of the reporting times for a potential SUSAR.</w:t>
      </w:r>
    </w:p>
    <w:p>
      <w:pPr>
        <w:pStyle w:val="BodyText"/>
      </w:pPr>
      <w:r>
        <w:rPr>
          <w:iCs/>
          <w:i/>
        </w:rPr>
        <w:t xml:space="preserve">Add information about SAEs that should not be reported.</w:t>
      </w:r>
    </w:p>
    <w:p>
      <w:pPr>
        <w:pStyle w:val="BodyText"/>
      </w:pPr>
      <w:r>
        <w:rPr>
          <w:iCs/>
          <w:i/>
        </w:rPr>
        <w:t xml:space="preserve">Text suggestion:</w:t>
      </w:r>
      <w:r>
        <w:t xml:space="preserve"> </w:t>
      </w:r>
      <w:r>
        <w:t xml:space="preserve">Based on knowledge of the disease in question and</w:t>
      </w:r>
      <w:r>
        <w:t xml:space="preserve"> </w:t>
      </w:r>
      <w:r>
        <w:t xml:space="preserve">expected clinical course, some events that are otherwise serious are not</w:t>
      </w:r>
      <w:r>
        <w:t xml:space="preserve"> </w:t>
      </w:r>
      <w:r>
        <w:t xml:space="preserve">considered as SAEs in this trial. The following is a list of SAEs that</w:t>
      </w:r>
      <w:r>
        <w:t xml:space="preserve"> </w:t>
      </w:r>
      <w:r>
        <w:t xml:space="preserve">shall not be reported as SAEs:</w:t>
      </w:r>
    </w:p>
    <w:p>
      <w:pPr>
        <w:pStyle w:val="BodyText"/>
      </w:pPr>
      <w:r>
        <w:rPr>
          <w:bCs/>
          <w:b/>
        </w:rPr>
        <w:t xml:space="preserve">Example:</w:t>
      </w:r>
    </w:p>
    <w:p>
      <w:pPr>
        <w:numPr>
          <w:ilvl w:val="0"/>
          <w:numId w:val="1011"/>
        </w:numPr>
      </w:pPr>
      <w:r>
        <w:rPr>
          <w:iCs/>
          <w:i/>
        </w:rPr>
        <w:t xml:space="preserve">Expected events based on the knowledge of the disease in question</w:t>
      </w:r>
      <w:r>
        <w:rPr>
          <w:iCs/>
          <w:i/>
        </w:rPr>
        <w:t xml:space="preserve"> </w:t>
      </w:r>
      <w:r>
        <w:rPr>
          <w:iCs/>
          <w:i/>
        </w:rPr>
        <w:t xml:space="preserve">and expected clinical course.</w:t>
      </w:r>
    </w:p>
    <w:p>
      <w:pPr>
        <w:numPr>
          <w:ilvl w:val="0"/>
          <w:numId w:val="1011"/>
        </w:numPr>
      </w:pPr>
      <w:r>
        <w:rPr>
          <w:iCs/>
          <w:i/>
        </w:rPr>
        <w:t xml:space="preserve">If a trial subject is hospitalized with a documented cancer-related</w:t>
      </w:r>
      <w:r>
        <w:rPr>
          <w:iCs/>
          <w:i/>
        </w:rPr>
        <w:t xml:space="preserve"> </w:t>
      </w:r>
      <w:r>
        <w:rPr>
          <w:iCs/>
          <w:i/>
        </w:rPr>
        <w:t xml:space="preserve">problem, this will not be reported as an SAE.</w:t>
      </w:r>
    </w:p>
    <w:bookmarkEnd w:id="68"/>
    <w:bookmarkStart w:id="70" w:name="X5bc4c303c0422c3a8df88760b7ff9c6c40705ed"/>
    <w:p>
      <w:pPr>
        <w:pStyle w:val="Heading4"/>
      </w:pPr>
      <w:r>
        <w:t xml:space="preserve">7.16.3.3</w:t>
      </w:r>
      <w:r>
        <w:t xml:space="preserve"> </w:t>
      </w:r>
      <w:r>
        <w:rPr>
          <w:bCs/>
          <w:b/>
        </w:rPr>
        <w:t xml:space="preserve">Reporting of Suspected Unexpected Serious Adverse Reactions (SUSAR)</w:t>
      </w:r>
    </w:p>
    <w:p>
      <w:pPr>
        <w:pStyle w:val="FirstParagraph"/>
      </w:pPr>
      <w:r>
        <w:rPr>
          <w:iCs/>
          <w:i/>
        </w:rPr>
        <w:t xml:space="preserve">In investigator-initiated trials where non-commercial sponsors lack the</w:t>
      </w:r>
      <w:r>
        <w:rPr>
          <w:iCs/>
          <w:i/>
        </w:rPr>
        <w:t xml:space="preserve"> </w:t>
      </w:r>
      <w:r>
        <w:rPr>
          <w:iCs/>
          <w:i/>
        </w:rPr>
        <w:t xml:space="preserve">possibility to report SUSAR directly in the EudraVigilance database, the</w:t>
      </w:r>
      <w:r>
        <w:rPr>
          <w:iCs/>
          <w:i/>
        </w:rPr>
        <w:t xml:space="preserve"> </w:t>
      </w:r>
      <w:r>
        <w:rPr>
          <w:iCs/>
          <w:i/>
        </w:rPr>
        <w:t xml:space="preserve">Swedish Medical Products Agency can help with this when a SUSAR occurs</w:t>
      </w:r>
      <w:r>
        <w:rPr>
          <w:iCs/>
          <w:i/>
        </w:rPr>
        <w:t xml:space="preserve"> </w:t>
      </w:r>
      <w:r>
        <w:rPr>
          <w:iCs/>
          <w:i/>
        </w:rPr>
        <w:t xml:space="preserve">in Sweden. However, this must be clearly justified in the cover letter</w:t>
      </w:r>
      <w:r>
        <w:rPr>
          <w:iCs/>
          <w:i/>
        </w:rPr>
        <w:t xml:space="preserve"> </w:t>
      </w:r>
      <w:r>
        <w:rPr>
          <w:iCs/>
          <w:i/>
        </w:rPr>
        <w:t xml:space="preserve">to the application. Reporting then takes place via the</w:t>
      </w:r>
      <w:r>
        <w:rPr>
          <w:iCs/>
          <w:i/>
        </w:rPr>
        <w:t xml:space="preserve"> </w:t>
      </w:r>
      <w:hyperlink r:id="rId69">
        <w:r>
          <w:rPr>
            <w:rStyle w:val="Hyperlink"/>
            <w:iCs/>
            <w:i/>
          </w:rPr>
          <w:t xml:space="preserve">CIOMS</w:t>
        </w:r>
        <w:r>
          <w:rPr>
            <w:rStyle w:val="Hyperlink"/>
            <w:iCs/>
            <w:i/>
          </w:rPr>
          <w:t xml:space="preserve"> </w:t>
        </w:r>
        <w:r>
          <w:rPr>
            <w:rStyle w:val="Hyperlink"/>
            <w:iCs/>
            <w:i/>
          </w:rPr>
          <w:t xml:space="preserve">form</w:t>
        </w:r>
      </w:hyperlink>
      <w:r>
        <w:rPr>
          <w:iCs/>
          <w:i/>
        </w:rPr>
        <w:t xml:space="preserve"> </w:t>
      </w:r>
      <w:r>
        <w:rPr>
          <w:iCs/>
          <w:i/>
        </w:rPr>
        <w:t xml:space="preserve">which</w:t>
      </w:r>
      <w:r>
        <w:rPr>
          <w:iCs/>
          <w:i/>
        </w:rPr>
        <w:t xml:space="preserve"> </w:t>
      </w:r>
      <w:r>
        <w:rPr>
          <w:iCs/>
          <w:i/>
        </w:rPr>
        <w:t xml:space="preserve">is sent to the Swedish Medical Products Agency via Eudralink. Since</w:t>
      </w:r>
      <w:r>
        <w:rPr>
          <w:iCs/>
          <w:i/>
        </w:rPr>
        <w:t xml:space="preserve"> </w:t>
      </w:r>
      <w:r>
        <w:rPr>
          <w:iCs/>
          <w:i/>
        </w:rPr>
        <w:t xml:space="preserve">these reports contain personal data, they should not be sent to the</w:t>
      </w:r>
      <w:r>
        <w:rPr>
          <w:iCs/>
          <w:i/>
        </w:rPr>
        <w:t xml:space="preserve"> </w:t>
      </w:r>
      <w:r>
        <w:rPr>
          <w:iCs/>
          <w:i/>
        </w:rPr>
        <w:t xml:space="preserve">Swedish Medical Products Agency via normal email.</w:t>
      </w:r>
    </w:p>
    <w:p>
      <w:pPr>
        <w:pStyle w:val="BodyText"/>
      </w:pPr>
      <w:r>
        <w:rPr>
          <w:iCs/>
          <w:i/>
        </w:rPr>
        <w:t xml:space="preserve">The reference safety information provides the basis for assessing</w:t>
      </w:r>
      <w:r>
        <w:rPr>
          <w:iCs/>
          <w:i/>
        </w:rPr>
        <w:t xml:space="preserve"> </w:t>
      </w:r>
      <w:r>
        <w:rPr>
          <w:iCs/>
          <w:i/>
        </w:rPr>
        <w:t xml:space="preserve">whether the adverse reaction is unexpected or not.</w:t>
      </w:r>
    </w:p>
    <w:p>
      <w:pPr>
        <w:pStyle w:val="BodyText"/>
      </w:pPr>
      <w:r>
        <w:rPr>
          <w:iCs/>
          <w:i/>
        </w:rPr>
        <w:t xml:space="preserve">SUSARs should, if possible, be reported unblinded, that is, should</w:t>
      </w:r>
      <w:r>
        <w:rPr>
          <w:iCs/>
          <w:i/>
        </w:rPr>
        <w:t xml:space="preserve"> </w:t>
      </w:r>
      <w:r>
        <w:rPr>
          <w:iCs/>
          <w:i/>
        </w:rPr>
        <w:t xml:space="preserve">state to which trial medicinal product the subject had a reaction. The</w:t>
      </w:r>
      <w:r>
        <w:rPr>
          <w:iCs/>
          <w:i/>
        </w:rPr>
        <w:t xml:space="preserve"> </w:t>
      </w:r>
      <w:r>
        <w:rPr>
          <w:iCs/>
          <w:i/>
        </w:rPr>
        <w:t xml:space="preserve">investigator should only unblind the treatment allocation for a subject</w:t>
      </w:r>
      <w:r>
        <w:rPr>
          <w:iCs/>
          <w:i/>
        </w:rPr>
        <w:t xml:space="preserve"> </w:t>
      </w:r>
      <w:r>
        <w:rPr>
          <w:iCs/>
          <w:i/>
        </w:rPr>
        <w:t xml:space="preserve">if unblinding is relevant to the subject's safety. Unblinded data</w:t>
      </w:r>
      <w:r>
        <w:rPr>
          <w:iCs/>
          <w:i/>
        </w:rPr>
        <w:t xml:space="preserve"> </w:t>
      </w:r>
      <w:r>
        <w:rPr>
          <w:iCs/>
          <w:i/>
        </w:rPr>
        <w:t xml:space="preserve">should only be available to persons who need to participate in safety</w:t>
      </w:r>
      <w:r>
        <w:rPr>
          <w:iCs/>
          <w:i/>
        </w:rPr>
        <w:t xml:space="preserve"> </w:t>
      </w:r>
      <w:r>
        <w:rPr>
          <w:iCs/>
          <w:i/>
        </w:rPr>
        <w:t xml:space="preserve">reporting to the regulatory authority and Data Safety Monitoring Boards</w:t>
      </w:r>
      <w:r>
        <w:rPr>
          <w:iCs/>
          <w:i/>
        </w:rPr>
        <w:t xml:space="preserve"> </w:t>
      </w:r>
      <w:r>
        <w:rPr>
          <w:iCs/>
          <w:i/>
        </w:rPr>
        <w:t xml:space="preserve">(DSMBs) or to persons performing ongoing safety evaluations during the</w:t>
      </w:r>
      <w:r>
        <w:rPr>
          <w:iCs/>
          <w:i/>
        </w:rPr>
        <w:t xml:space="preserve"> </w:t>
      </w:r>
      <w:r>
        <w:rPr>
          <w:iCs/>
          <w:i/>
        </w:rPr>
        <w:t xml:space="preserve">clinical trial. Placebo should only be reported if it is suspected that</w:t>
      </w:r>
      <w:r>
        <w:rPr>
          <w:iCs/>
          <w:i/>
        </w:rPr>
        <w:t xml:space="preserve"> </w:t>
      </w:r>
      <w:r>
        <w:rPr>
          <w:iCs/>
          <w:i/>
        </w:rPr>
        <w:t xml:space="preserve">any component of the placebo treatment has caused the reaction.</w:t>
      </w:r>
    </w:p>
    <w:p>
      <w:pPr>
        <w:pStyle w:val="BodyText"/>
      </w:pPr>
      <w:r>
        <w:rPr>
          <w:iCs/>
          <w:i/>
        </w:rPr>
        <w:t xml:space="preserve">Text suggestion:</w:t>
      </w:r>
      <w:r>
        <w:t xml:space="preserve"> </w:t>
      </w:r>
      <w:r>
        <w:t xml:space="preserve">Those SAE which are assessed by sponsor to be SUSAR</w:t>
      </w:r>
      <w:r>
        <w:t xml:space="preserve"> </w:t>
      </w:r>
      <w:r>
        <w:t xml:space="preserve">are reported via a</w:t>
      </w:r>
      <w:r>
        <w:t xml:space="preserve"> </w:t>
      </w:r>
      <w:hyperlink r:id="rId69">
        <w:r>
          <w:rPr>
            <w:rStyle w:val="Hyperlink"/>
          </w:rPr>
          <w:t xml:space="preserve">CIOMS</w:t>
        </w:r>
        <w:r>
          <w:rPr>
            <w:rStyle w:val="Hyperlink"/>
          </w:rPr>
          <w:t xml:space="preserve"> </w:t>
        </w:r>
        <w:r>
          <w:rPr>
            <w:rStyle w:val="Hyperlink"/>
          </w:rPr>
          <w:t xml:space="preserve">form</w:t>
        </w:r>
      </w:hyperlink>
      <w:r>
        <w:t xml:space="preserve"> </w:t>
      </w:r>
      <w:r>
        <w:t xml:space="preserve">to</w:t>
      </w:r>
      <w:r>
        <w:t xml:space="preserve"> </w:t>
      </w:r>
      <w:r>
        <w:t xml:space="preserve">the EudraVigilance database / Swedish Medical Products Agency according</w:t>
      </w:r>
      <w:r>
        <w:t xml:space="preserve"> </w:t>
      </w:r>
      <w:r>
        <w:t xml:space="preserve">to the specified time frames.</w:t>
      </w:r>
    </w:p>
    <w:p>
      <w:pPr>
        <w:pStyle w:val="BodyText"/>
      </w:pPr>
      <w:r>
        <w:t xml:space="preserve">SUSAR that are fatal or life-threatening are reported as soon as</w:t>
      </w:r>
      <w:r>
        <w:t xml:space="preserve"> </w:t>
      </w:r>
      <w:r>
        <w:t xml:space="preserve">possible and no later than 7 days after the serious adverse event has</w:t>
      </w:r>
      <w:r>
        <w:t xml:space="preserve"> </w:t>
      </w:r>
      <w:r>
        <w:t xml:space="preserve">become known to the sponsor. Relevant follow-up information is sent</w:t>
      </w:r>
      <w:r>
        <w:t xml:space="preserve"> </w:t>
      </w:r>
      <w:r>
        <w:t xml:space="preserve">thereafter within an additional 8 days. Other SUSAR are reported as soon</w:t>
      </w:r>
      <w:r>
        <w:t xml:space="preserve"> </w:t>
      </w:r>
      <w:r>
        <w:t xml:space="preserve">as possible and no later than 15 days after they have come to the</w:t>
      </w:r>
      <w:r>
        <w:t xml:space="preserve"> </w:t>
      </w:r>
      <w:r>
        <w:t xml:space="preserve">sponsor’s knowledge.</w:t>
      </w:r>
    </w:p>
    <w:p>
      <w:pPr>
        <w:pStyle w:val="BodyText"/>
      </w:pPr>
      <w:r>
        <w:rPr>
          <w:iCs/>
          <w:i/>
        </w:rPr>
        <w:t xml:space="preserve">Multicentre trials:</w:t>
      </w:r>
      <w:r>
        <w:t xml:space="preserve"> </w:t>
      </w:r>
      <w:r>
        <w:t xml:space="preserve">Information about SUSAR occurring during the trial</w:t>
      </w:r>
      <w:r>
        <w:t xml:space="preserve"> </w:t>
      </w:r>
      <w:r>
        <w:t xml:space="preserve">is compiled by the sponsor and sent to the principal investigators at</w:t>
      </w:r>
      <w:r>
        <w:t xml:space="preserve"> </w:t>
      </w:r>
      <w:r>
        <w:t xml:space="preserve">all participating sites.</w:t>
      </w:r>
      <w:r>
        <w:t xml:space="preserve"> </w:t>
      </w:r>
      <w:r>
        <w:rPr>
          <w:iCs/>
          <w:i/>
        </w:rPr>
        <w:t xml:space="preserve">In order to preserve the integrity of the</w:t>
      </w:r>
      <w:r>
        <w:rPr>
          <w:iCs/>
          <w:i/>
        </w:rPr>
        <w:t xml:space="preserve"> </w:t>
      </w:r>
      <w:r>
        <w:rPr>
          <w:iCs/>
          <w:i/>
        </w:rPr>
        <w:t xml:space="preserve">trial, it is recommended that reporting of SUSAR to investigators in a</w:t>
      </w:r>
      <w:r>
        <w:rPr>
          <w:iCs/>
          <w:i/>
        </w:rPr>
        <w:t xml:space="preserve"> </w:t>
      </w:r>
      <w:r>
        <w:rPr>
          <w:iCs/>
          <w:i/>
        </w:rPr>
        <w:t xml:space="preserve">blinded study is made without unblinding, that is, without specifying</w:t>
      </w:r>
      <w:r>
        <w:rPr>
          <w:iCs/>
          <w:i/>
        </w:rPr>
        <w:t xml:space="preserve"> </w:t>
      </w:r>
      <w:r>
        <w:rPr>
          <w:iCs/>
          <w:i/>
        </w:rPr>
        <w:t xml:space="preserve">which investigational medicinal product the subject received. Describe</w:t>
      </w:r>
      <w:r>
        <w:rPr>
          <w:iCs/>
          <w:i/>
        </w:rPr>
        <w:t xml:space="preserve"> </w:t>
      </w:r>
      <w:r>
        <w:rPr>
          <w:iCs/>
          <w:i/>
        </w:rPr>
        <w:t xml:space="preserve">how the reporting will be done.</w:t>
      </w:r>
    </w:p>
    <w:bookmarkEnd w:id="70"/>
    <w:bookmarkEnd w:id="71"/>
    <w:bookmarkStart w:id="72" w:name="follow-up-of-adverse-events"/>
    <w:p>
      <w:pPr>
        <w:pStyle w:val="Heading3"/>
      </w:pPr>
      <w:r>
        <w:t xml:space="preserve">7.16.4 Follow-up of Adverse Events</w:t>
      </w:r>
    </w:p>
    <w:p>
      <w:pPr>
        <w:pStyle w:val="FirstParagraph"/>
      </w:pPr>
      <w:r>
        <w:rPr>
          <w:iCs/>
          <w:i/>
        </w:rPr>
        <w:t xml:space="preserve">Describe the follow-up of trial subjects who have been affected by</w:t>
      </w:r>
      <w:r>
        <w:rPr>
          <w:iCs/>
          <w:i/>
        </w:rPr>
        <w:t xml:space="preserve"> </w:t>
      </w:r>
      <w:r>
        <w:rPr>
          <w:iCs/>
          <w:i/>
        </w:rPr>
        <w:t xml:space="preserve">adverse events (AE/SAE) (until the adverse event is</w:t>
      </w:r>
      <w:r>
        <w:rPr>
          <w:iCs/>
          <w:i/>
        </w:rPr>
        <w:t xml:space="preserve"> </w:t>
      </w:r>
      <w:r>
        <w:rPr>
          <w:iCs/>
          <w:i/>
        </w:rPr>
        <w:t xml:space="preserve">resolved/stable/persistent) and measures in case of unacceptable adverse</w:t>
      </w:r>
      <w:r>
        <w:rPr>
          <w:iCs/>
          <w:i/>
        </w:rPr>
        <w:t xml:space="preserve"> </w:t>
      </w:r>
      <w:r>
        <w:rPr>
          <w:iCs/>
          <w:i/>
        </w:rPr>
        <w:t xml:space="preserve">events (dose adjustment, treatment interruption, withdrawal of subject</w:t>
      </w:r>
      <w:r>
        <w:rPr>
          <w:iCs/>
          <w:i/>
        </w:rPr>
        <w:t xml:space="preserve"> </w:t>
      </w:r>
      <w:r>
        <w:rPr>
          <w:iCs/>
          <w:i/>
        </w:rPr>
        <w:t xml:space="preserve">from the trial). Describe follow-up of subjects with regards to safety</w:t>
      </w:r>
      <w:r>
        <w:rPr>
          <w:iCs/>
          <w:i/>
        </w:rPr>
        <w:t xml:space="preserve"> </w:t>
      </w:r>
      <w:r>
        <w:rPr>
          <w:iCs/>
          <w:i/>
        </w:rPr>
        <w:t xml:space="preserve">after the trial is completed.</w:t>
      </w:r>
    </w:p>
    <w:bookmarkEnd w:id="72"/>
    <w:bookmarkStart w:id="73" w:name="independent-data-monitoring-committee"/>
    <w:p>
      <w:pPr>
        <w:pStyle w:val="Heading3"/>
      </w:pPr>
      <w:r>
        <w:t xml:space="preserve">7.16.5 Independent Data Monitoring Committee</w:t>
      </w:r>
    </w:p>
    <w:p>
      <w:pPr>
        <w:pStyle w:val="FirstParagraph"/>
      </w:pPr>
      <w:r>
        <w:rPr>
          <w:iCs/>
          <w:i/>
        </w:rPr>
        <w:t xml:space="preserve">If the clinical trial involves an extended risk or if the trial is</w:t>
      </w:r>
      <w:r>
        <w:rPr>
          <w:iCs/>
          <w:i/>
        </w:rPr>
        <w:t xml:space="preserve"> </w:t>
      </w:r>
      <w:r>
        <w:rPr>
          <w:iCs/>
          <w:i/>
        </w:rPr>
        <w:t xml:space="preserve">performed over a long time period and is divided into different blinded</w:t>
      </w:r>
      <w:r>
        <w:rPr>
          <w:iCs/>
          <w:i/>
        </w:rPr>
        <w:t xml:space="preserve"> </w:t>
      </w:r>
      <w:r>
        <w:rPr>
          <w:iCs/>
          <w:i/>
        </w:rPr>
        <w:t xml:space="preserve">treatment groups, an external independent (of the sponsor and</w:t>
      </w:r>
      <w:r>
        <w:rPr>
          <w:iCs/>
          <w:i/>
        </w:rPr>
        <w:t xml:space="preserve"> </w:t>
      </w:r>
      <w:r>
        <w:rPr>
          <w:iCs/>
          <w:i/>
        </w:rPr>
        <w:t xml:space="preserve">investigator) data monitoring committee should evaluate the decoded</w:t>
      </w:r>
      <w:r>
        <w:rPr>
          <w:iCs/>
          <w:i/>
        </w:rPr>
        <w:t xml:space="preserve"> </w:t>
      </w:r>
      <w:r>
        <w:rPr>
          <w:iCs/>
          <w:i/>
        </w:rPr>
        <w:t xml:space="preserve">results.</w:t>
      </w:r>
    </w:p>
    <w:p>
      <w:pPr>
        <w:pStyle w:val="BodyText"/>
      </w:pPr>
      <w:r>
        <w:rPr>
          <w:iCs/>
          <w:i/>
        </w:rPr>
        <w:t xml:space="preserve">Remove this section if not applicable.</w:t>
      </w:r>
    </w:p>
    <w:bookmarkEnd w:id="73"/>
    <w:bookmarkStart w:id="74" w:name="annual-safety-report-asr"/>
    <w:p>
      <w:pPr>
        <w:pStyle w:val="Heading3"/>
      </w:pPr>
      <w:r>
        <w:t xml:space="preserve">7.16.6 Annual Safety Report (ASR)</w:t>
      </w:r>
    </w:p>
    <w:p>
      <w:pPr>
        <w:pStyle w:val="FirstParagraph"/>
      </w:pPr>
      <w:r>
        <w:rPr>
          <w:iCs/>
          <w:i/>
        </w:rPr>
        <w:t xml:space="preserve">For investigational medicinal products other than placebo, the sponsor</w:t>
      </w:r>
      <w:r>
        <w:rPr>
          <w:iCs/>
          <w:i/>
        </w:rPr>
        <w:t xml:space="preserve"> </w:t>
      </w:r>
      <w:r>
        <w:rPr>
          <w:iCs/>
          <w:i/>
        </w:rPr>
        <w:t xml:space="preserve">must submit an annual report on the safety of each investigational</w:t>
      </w:r>
      <w:r>
        <w:rPr>
          <w:iCs/>
          <w:i/>
        </w:rPr>
        <w:t xml:space="preserve"> </w:t>
      </w:r>
      <w:r>
        <w:rPr>
          <w:iCs/>
          <w:i/>
        </w:rPr>
        <w:t xml:space="preserve">medicinal product used in a clinical trial. This is done in the CTIS.</w:t>
      </w:r>
      <w:r>
        <w:rPr>
          <w:iCs/>
          <w:i/>
        </w:rPr>
        <w:t xml:space="preserve"> </w:t>
      </w:r>
      <w:r>
        <w:rPr>
          <w:iCs/>
          <w:i/>
        </w:rPr>
        <w:t xml:space="preserve">The safety report should be written according to the format Development</w:t>
      </w:r>
      <w:r>
        <w:rPr>
          <w:iCs/>
          <w:i/>
        </w:rPr>
        <w:t xml:space="preserve"> </w:t>
      </w:r>
      <w:r>
        <w:rPr>
          <w:iCs/>
          <w:i/>
        </w:rPr>
        <w:t xml:space="preserve">Safety Update Report, (DSUR).</w:t>
      </w:r>
    </w:p>
    <w:p>
      <w:pPr>
        <w:pStyle w:val="BodyText"/>
      </w:pPr>
      <w:r>
        <w:rPr>
          <w:iCs/>
          <w:i/>
        </w:rPr>
        <w:t xml:space="preserve">The safety report defines for which time period the report applies and</w:t>
      </w:r>
      <w:r>
        <w:rPr>
          <w:iCs/>
          <w:i/>
        </w:rPr>
        <w:t xml:space="preserve"> </w:t>
      </w:r>
      <w:r>
        <w:rPr>
          <w:iCs/>
          <w:i/>
        </w:rPr>
        <w:t xml:space="preserve">a list of all SAE that have occurred, as well as possible SUSAR. A</w:t>
      </w:r>
      <w:r>
        <w:rPr>
          <w:iCs/>
          <w:i/>
        </w:rPr>
        <w:t xml:space="preserve"> </w:t>
      </w:r>
      <w:r>
        <w:rPr>
          <w:iCs/>
          <w:i/>
        </w:rPr>
        <w:t xml:space="preserve">summary assessment of the safety situation for the subjects and a</w:t>
      </w:r>
      <w:r>
        <w:rPr>
          <w:iCs/>
          <w:i/>
        </w:rPr>
        <w:t xml:space="preserve"> </w:t>
      </w:r>
      <w:r>
        <w:rPr>
          <w:iCs/>
          <w:i/>
        </w:rPr>
        <w:t xml:space="preserve">benefit/risk evaluation for the trial must also be included. The ASR</w:t>
      </w:r>
      <w:r>
        <w:rPr>
          <w:iCs/>
          <w:i/>
        </w:rPr>
        <w:t xml:space="preserve"> </w:t>
      </w:r>
      <w:r>
        <w:rPr>
          <w:iCs/>
          <w:i/>
        </w:rPr>
        <w:t xml:space="preserve">should also be accompanied by the RSI in force at the start date of the</w:t>
      </w:r>
      <w:r>
        <w:rPr>
          <w:iCs/>
          <w:i/>
        </w:rPr>
        <w:t xml:space="preserve"> </w:t>
      </w:r>
      <w:r>
        <w:rPr>
          <w:iCs/>
          <w:i/>
        </w:rPr>
        <w:t xml:space="preserve">report. If significant changes in the RSI have occurred during the</w:t>
      </w:r>
      <w:r>
        <w:rPr>
          <w:iCs/>
          <w:i/>
        </w:rPr>
        <w:t xml:space="preserve"> </w:t>
      </w:r>
      <w:r>
        <w:rPr>
          <w:iCs/>
          <w:i/>
        </w:rPr>
        <w:t xml:space="preserve">reporting period, these should be listed in the ASR.</w:t>
      </w:r>
    </w:p>
    <w:p>
      <w:pPr>
        <w:pStyle w:val="BodyText"/>
      </w:pPr>
      <w:r>
        <w:rPr>
          <w:iCs/>
          <w:i/>
        </w:rPr>
        <w:t xml:space="preserve">The annual report should contain only aggregated and anonymised data.</w:t>
      </w:r>
    </w:p>
    <w:p>
      <w:pPr>
        <w:pStyle w:val="BodyText"/>
      </w:pPr>
      <w:r>
        <w:rPr>
          <w:iCs/>
          <w:i/>
        </w:rPr>
        <w:t xml:space="preserve">The obligation to submit a safety report starts when a clinical trial</w:t>
      </w:r>
      <w:r>
        <w:rPr>
          <w:iCs/>
          <w:i/>
        </w:rPr>
        <w:t xml:space="preserve"> </w:t>
      </w:r>
      <w:r>
        <w:rPr>
          <w:iCs/>
          <w:i/>
        </w:rPr>
        <w:t xml:space="preserve">is authorised and ends when the last clinical trial conducted by the</w:t>
      </w:r>
      <w:r>
        <w:rPr>
          <w:iCs/>
          <w:i/>
        </w:rPr>
        <w:t xml:space="preserve"> </w:t>
      </w:r>
      <w:r>
        <w:rPr>
          <w:iCs/>
          <w:i/>
        </w:rPr>
        <w:t xml:space="preserve">sponsor with the investigational medicinal product is completed.</w:t>
      </w:r>
    </w:p>
    <w:bookmarkEnd w:id="74"/>
    <w:bookmarkStart w:id="75" w:name="Xe3da5d96598cf60792b4d0e8d8a89bc379e309a"/>
    <w:p>
      <w:pPr>
        <w:pStyle w:val="Heading3"/>
      </w:pPr>
      <w:r>
        <w:t xml:space="preserve">7.16.7 Procedures in case of emergencies, overdose or pregnancy</w:t>
      </w:r>
    </w:p>
    <w:p>
      <w:pPr>
        <w:pStyle w:val="FirstParagraph"/>
      </w:pPr>
      <w:r>
        <w:rPr>
          <w:iCs/>
          <w:i/>
        </w:rPr>
        <w:t xml:space="preserve">Medication errors, pregnancy and uses other than those specified in the</w:t>
      </w:r>
      <w:r>
        <w:rPr>
          <w:iCs/>
          <w:i/>
        </w:rPr>
        <w:t xml:space="preserve"> </w:t>
      </w:r>
      <w:r>
        <w:rPr>
          <w:iCs/>
          <w:i/>
        </w:rPr>
        <w:t xml:space="preserve">CTP, including misuse and abuse of the investigational medicinal</w:t>
      </w:r>
      <w:r>
        <w:rPr>
          <w:iCs/>
          <w:i/>
        </w:rPr>
        <w:t xml:space="preserve"> </w:t>
      </w:r>
      <w:r>
        <w:rPr>
          <w:iCs/>
          <w:i/>
        </w:rPr>
        <w:t xml:space="preserve">product, shall be subject to the same reporting obligations as adverse</w:t>
      </w:r>
      <w:r>
        <w:rPr>
          <w:iCs/>
          <w:i/>
        </w:rPr>
        <w:t xml:space="preserve"> </w:t>
      </w:r>
      <w:r>
        <w:rPr>
          <w:iCs/>
          <w:i/>
        </w:rPr>
        <w:t xml:space="preserve">reactions.</w:t>
      </w:r>
    </w:p>
    <w:p>
      <w:pPr>
        <w:pStyle w:val="BodyText"/>
      </w:pPr>
      <w:r>
        <w:rPr>
          <w:iCs/>
          <w:i/>
        </w:rPr>
        <w:t xml:space="preserve">If an unforeseen event is likely to have a serious impact on the</w:t>
      </w:r>
      <w:r>
        <w:rPr>
          <w:iCs/>
          <w:i/>
        </w:rPr>
        <w:t xml:space="preserve"> </w:t>
      </w:r>
      <w:r>
        <w:rPr>
          <w:iCs/>
          <w:i/>
        </w:rPr>
        <w:t xml:space="preserve">benefit/risk relationship, the sponsor and investigator should take</w:t>
      </w:r>
      <w:r>
        <w:rPr>
          <w:iCs/>
          <w:i/>
        </w:rPr>
        <w:t xml:space="preserve"> </w:t>
      </w:r>
      <w:r>
        <w:rPr>
          <w:iCs/>
          <w:i/>
        </w:rPr>
        <w:t xml:space="preserve">appropriate Urgent Safety Measures (USM) necessary to protect the</w:t>
      </w:r>
      <w:r>
        <w:rPr>
          <w:iCs/>
          <w:i/>
        </w:rPr>
        <w:t xml:space="preserve"> </w:t>
      </w:r>
      <w:r>
        <w:rPr>
          <w:iCs/>
          <w:i/>
        </w:rPr>
        <w:t xml:space="preserve">subjects. Examples of such measures are to temporarily suspend the</w:t>
      </w:r>
      <w:r>
        <w:rPr>
          <w:iCs/>
          <w:i/>
        </w:rPr>
        <w:t xml:space="preserve"> </w:t>
      </w:r>
      <w:r>
        <w:rPr>
          <w:iCs/>
          <w:i/>
        </w:rPr>
        <w:t xml:space="preserve">clinical trial or to introduce supplementary monitoring measures. The</w:t>
      </w:r>
      <w:r>
        <w:rPr>
          <w:iCs/>
          <w:i/>
        </w:rPr>
        <w:t xml:space="preserve"> </w:t>
      </w:r>
      <w:r>
        <w:rPr>
          <w:iCs/>
          <w:i/>
        </w:rPr>
        <w:t xml:space="preserve">sponsor should, via CTIS, inform the concerned Member States about the</w:t>
      </w:r>
      <w:r>
        <w:rPr>
          <w:iCs/>
          <w:i/>
        </w:rPr>
        <w:t xml:space="preserve"> </w:t>
      </w:r>
      <w:r>
        <w:rPr>
          <w:iCs/>
          <w:i/>
        </w:rPr>
        <w:t xml:space="preserve">event and the measures taken. Notification must be made as soon as</w:t>
      </w:r>
      <w:r>
        <w:rPr>
          <w:iCs/>
          <w:i/>
        </w:rPr>
        <w:t xml:space="preserve"> </w:t>
      </w:r>
      <w:r>
        <w:rPr>
          <w:iCs/>
          <w:i/>
        </w:rPr>
        <w:t xml:space="preserve">possible, but no later than seven days after the measures have been</w:t>
      </w:r>
      <w:r>
        <w:rPr>
          <w:iCs/>
          <w:i/>
        </w:rPr>
        <w:t xml:space="preserve"> </w:t>
      </w:r>
      <w:r>
        <w:rPr>
          <w:iCs/>
          <w:i/>
        </w:rPr>
        <w:t xml:space="preserve">taken.</w:t>
      </w:r>
    </w:p>
    <w:p>
      <w:pPr>
        <w:pStyle w:val="BodyText"/>
      </w:pPr>
      <w:r>
        <w:rPr>
          <w:iCs/>
          <w:i/>
        </w:rPr>
        <w:t xml:space="preserve">If a subject who participates in a clinical trial becomes pregnant,</w:t>
      </w:r>
      <w:r>
        <w:rPr>
          <w:iCs/>
          <w:i/>
        </w:rPr>
        <w:t xml:space="preserve"> </w:t>
      </w:r>
      <w:r>
        <w:rPr>
          <w:iCs/>
          <w:i/>
        </w:rPr>
        <w:t xml:space="preserve">this person must be followed up until the birth has taken place. If the</w:t>
      </w:r>
      <w:r>
        <w:rPr>
          <w:iCs/>
          <w:i/>
        </w:rPr>
        <w:t xml:space="preserve"> </w:t>
      </w:r>
      <w:r>
        <w:rPr>
          <w:iCs/>
          <w:i/>
        </w:rPr>
        <w:t xml:space="preserve">fetus/child has any congenital malformation, this must be reported as a</w:t>
      </w:r>
      <w:r>
        <w:rPr>
          <w:iCs/>
          <w:i/>
        </w:rPr>
        <w:t xml:space="preserve"> </w:t>
      </w:r>
      <w:r>
        <w:rPr>
          <w:iCs/>
          <w:i/>
        </w:rPr>
        <w:t xml:space="preserve">serious adverse event (SAE).</w:t>
      </w:r>
    </w:p>
    <w:p>
      <w:pPr>
        <w:pStyle w:val="BodyText"/>
      </w:pPr>
      <w:r>
        <w:rPr>
          <w:iCs/>
          <w:i/>
        </w:rPr>
        <w:t xml:space="preserve">Information about pregnancy does not need to be included in the trial</w:t>
      </w:r>
      <w:r>
        <w:rPr>
          <w:iCs/>
          <w:i/>
        </w:rPr>
        <w:t xml:space="preserve"> </w:t>
      </w:r>
      <w:r>
        <w:rPr>
          <w:iCs/>
          <w:i/>
        </w:rPr>
        <w:t xml:space="preserve">if it is not applicable for the included subjects.</w:t>
      </w:r>
    </w:p>
    <w:bookmarkEnd w:id="75"/>
    <w:bookmarkEnd w:id="76"/>
    <w:bookmarkStart w:id="84" w:name="statistics"/>
    <w:p>
      <w:pPr>
        <w:pStyle w:val="Heading2"/>
      </w:pPr>
      <w:r>
        <w:t xml:space="preserve">7.17 Statistics</w:t>
      </w:r>
    </w:p>
    <w:p>
      <w:pPr>
        <w:pStyle w:val="FirstParagraph"/>
      </w:pPr>
      <w:r>
        <w:rPr>
          <w:iCs/>
          <w:i/>
        </w:rPr>
        <w:t xml:space="preserve">This statistics section provides general guidelines, i.e. not</w:t>
      </w:r>
      <w:r>
        <w:rPr>
          <w:iCs/>
          <w:i/>
        </w:rPr>
        <w:t xml:space="preserve"> </w:t>
      </w:r>
      <w:r>
        <w:rPr>
          <w:iCs/>
          <w:i/>
        </w:rPr>
        <w:t xml:space="preserve">everything is applicable to all trials. It is not necessary to use all</w:t>
      </w:r>
      <w:r>
        <w:rPr>
          <w:iCs/>
          <w:i/>
        </w:rPr>
        <w:t xml:space="preserve"> </w:t>
      </w:r>
      <w:r>
        <w:rPr>
          <w:iCs/>
          <w:i/>
        </w:rPr>
        <w:t xml:space="preserve">sub-sections and some sub-sections can be deleted and/or new ones</w:t>
      </w:r>
      <w:r>
        <w:rPr>
          <w:iCs/>
          <w:i/>
        </w:rPr>
        <w:t xml:space="preserve"> </w:t>
      </w:r>
      <w:r>
        <w:rPr>
          <w:iCs/>
          <w:i/>
        </w:rPr>
        <w:t xml:space="preserve">added.</w:t>
      </w:r>
    </w:p>
    <w:bookmarkStart w:id="77" w:name="analysis-population"/>
    <w:p>
      <w:pPr>
        <w:pStyle w:val="Heading3"/>
      </w:pPr>
      <w:r>
        <w:t xml:space="preserve">7.17.1 Analysis population</w:t>
      </w:r>
    </w:p>
    <w:p>
      <w:pPr>
        <w:numPr>
          <w:ilvl w:val="0"/>
          <w:numId w:val="1012"/>
        </w:numPr>
      </w:pPr>
      <w:r>
        <w:rPr>
          <w:iCs/>
          <w:i/>
        </w:rPr>
        <w:t xml:space="preserve">Define the subjects that will be included in the analyses, e.g.,</w:t>
      </w:r>
      <w:r>
        <w:rPr>
          <w:iCs/>
          <w:i/>
        </w:rPr>
        <w:t xml:space="preserve"> </w:t>
      </w:r>
      <w:r>
        <w:rPr>
          <w:iCs/>
          <w:i/>
        </w:rPr>
        <w:t xml:space="preserve">state if the analyses will apply intention-to-treat (ITT) or per</w:t>
      </w:r>
      <w:r>
        <w:rPr>
          <w:iCs/>
          <w:i/>
        </w:rPr>
        <w:t xml:space="preserve"> </w:t>
      </w:r>
      <w:r>
        <w:rPr>
          <w:iCs/>
          <w:i/>
        </w:rPr>
        <w:t xml:space="preserve">protocol (PP).</w:t>
      </w:r>
    </w:p>
    <w:p>
      <w:pPr>
        <w:numPr>
          <w:ilvl w:val="0"/>
          <w:numId w:val="1012"/>
        </w:numPr>
      </w:pPr>
      <w:r>
        <w:rPr>
          <w:iCs/>
          <w:i/>
        </w:rPr>
        <w:t xml:space="preserve">Specify whether sensitivity analyses of the main analyses will be</w:t>
      </w:r>
      <w:r>
        <w:rPr>
          <w:iCs/>
          <w:i/>
        </w:rPr>
        <w:t xml:space="preserve"> </w:t>
      </w:r>
      <w:r>
        <w:rPr>
          <w:iCs/>
          <w:i/>
        </w:rPr>
        <w:t xml:space="preserve">performed, i.e. examining the sensitivity of an ITT analysis with</w:t>
      </w:r>
      <w:r>
        <w:rPr>
          <w:iCs/>
          <w:i/>
        </w:rPr>
        <w:t xml:space="preserve"> </w:t>
      </w:r>
      <w:r>
        <w:rPr>
          <w:iCs/>
          <w:i/>
        </w:rPr>
        <w:t xml:space="preserve">help of a complementary PP analysis.</w:t>
      </w:r>
    </w:p>
    <w:bookmarkEnd w:id="77"/>
    <w:bookmarkStart w:id="80" w:name="statistical-analyses"/>
    <w:p>
      <w:pPr>
        <w:pStyle w:val="Heading3"/>
      </w:pPr>
      <w:r>
        <w:t xml:space="preserve">7.17.2 Statistical analyses</w:t>
      </w:r>
    </w:p>
    <w:bookmarkStart w:id="78" w:name="statistical-methods"/>
    <w:p>
      <w:pPr>
        <w:pStyle w:val="Heading4"/>
      </w:pPr>
      <w:r>
        <w:t xml:space="preserve">7.17.2.1</w:t>
      </w:r>
      <w:r>
        <w:t xml:space="preserve"> </w:t>
      </w:r>
      <w:r>
        <w:rPr>
          <w:bCs/>
          <w:b/>
        </w:rPr>
        <w:t xml:space="preserve">Statistical methods</w:t>
      </w:r>
    </w:p>
    <w:p>
      <w:pPr>
        <w:numPr>
          <w:ilvl w:val="0"/>
          <w:numId w:val="1013"/>
        </w:numPr>
      </w:pPr>
      <w:r>
        <w:rPr>
          <w:iCs/>
          <w:i/>
        </w:rPr>
        <w:t xml:space="preserve">Provide a general description of the descriptive/summary</w:t>
      </w:r>
      <w:r>
        <w:rPr>
          <w:iCs/>
          <w:i/>
        </w:rPr>
        <w:t xml:space="preserve"> </w:t>
      </w:r>
      <w:r>
        <w:rPr>
          <w:iCs/>
          <w:i/>
        </w:rPr>
        <w:t xml:space="preserve">statistics.</w:t>
      </w:r>
    </w:p>
    <w:p>
      <w:pPr>
        <w:numPr>
          <w:ilvl w:val="0"/>
          <w:numId w:val="1013"/>
        </w:numPr>
      </w:pPr>
      <w:r>
        <w:rPr>
          <w:iCs/>
          <w:i/>
        </w:rPr>
        <w:t xml:space="preserve">Describe the statistical methods that will be used to answer the</w:t>
      </w:r>
      <w:r>
        <w:rPr>
          <w:iCs/>
          <w:i/>
        </w:rPr>
        <w:t xml:space="preserve"> </w:t>
      </w:r>
      <w:r>
        <w:rPr>
          <w:iCs/>
          <w:i/>
        </w:rPr>
        <w:t xml:space="preserve">primary and secondary objectives and clarify the underlying</w:t>
      </w:r>
      <w:r>
        <w:rPr>
          <w:iCs/>
          <w:i/>
        </w:rPr>
        <w:t xml:space="preserve"> </w:t>
      </w:r>
      <w:r>
        <w:rPr>
          <w:iCs/>
          <w:i/>
        </w:rPr>
        <w:t xml:space="preserve">statistical models. State which covariates (and any stratifications)</w:t>
      </w:r>
      <w:r>
        <w:rPr>
          <w:iCs/>
          <w:i/>
        </w:rPr>
        <w:t xml:space="preserve"> </w:t>
      </w:r>
      <w:r>
        <w:rPr>
          <w:iCs/>
          <w:i/>
        </w:rPr>
        <w:t xml:space="preserve">will be adjusted for in the analyses. Any subgroup analyses must be</w:t>
      </w:r>
      <w:r>
        <w:rPr>
          <w:iCs/>
          <w:i/>
        </w:rPr>
        <w:t xml:space="preserve"> </w:t>
      </w:r>
      <w:r>
        <w:rPr>
          <w:iCs/>
          <w:i/>
        </w:rPr>
        <w:t xml:space="preserve">specified.</w:t>
      </w:r>
    </w:p>
    <w:p>
      <w:pPr>
        <w:numPr>
          <w:ilvl w:val="0"/>
          <w:numId w:val="1013"/>
        </w:numPr>
      </w:pPr>
      <w:r>
        <w:rPr>
          <w:iCs/>
          <w:i/>
        </w:rPr>
        <w:t xml:space="preserve">State any transformations of variables and justification for this.</w:t>
      </w:r>
    </w:p>
    <w:p>
      <w:pPr>
        <w:numPr>
          <w:ilvl w:val="0"/>
          <w:numId w:val="1013"/>
        </w:numPr>
      </w:pPr>
      <w:r>
        <w:rPr>
          <w:iCs/>
          <w:i/>
        </w:rPr>
        <w:t xml:space="preserve">State how the trial results will be reported, e.g., a relative</w:t>
      </w:r>
      <w:r>
        <w:rPr>
          <w:iCs/>
          <w:i/>
        </w:rPr>
        <w:t xml:space="preserve"> </w:t>
      </w:r>
      <w:r>
        <w:rPr>
          <w:iCs/>
          <w:i/>
        </w:rPr>
        <w:t xml:space="preserve">treatment effect with associated 95% confidence interval and</w:t>
      </w:r>
      <w:r>
        <w:rPr>
          <w:iCs/>
          <w:i/>
        </w:rPr>
        <w:t xml:space="preserve"> </w:t>
      </w:r>
      <w:r>
        <w:rPr>
          <w:iCs/>
          <w:i/>
        </w:rPr>
        <w:t xml:space="preserve">p-value.</w:t>
      </w:r>
    </w:p>
    <w:p>
      <w:pPr>
        <w:numPr>
          <w:ilvl w:val="0"/>
          <w:numId w:val="1013"/>
        </w:numPr>
      </w:pPr>
      <w:r>
        <w:rPr>
          <w:iCs/>
          <w:i/>
        </w:rPr>
        <w:t xml:space="preserve">State if one- or two-sided tests of statistical significance will</w:t>
      </w:r>
      <w:r>
        <w:rPr>
          <w:iCs/>
          <w:i/>
        </w:rPr>
        <w:t xml:space="preserve"> </w:t>
      </w:r>
      <w:r>
        <w:rPr>
          <w:iCs/>
          <w:i/>
        </w:rPr>
        <w:t xml:space="preserve">be used. Justify the use of one-sided tests in particular.</w:t>
      </w:r>
    </w:p>
    <w:p>
      <w:pPr>
        <w:numPr>
          <w:ilvl w:val="0"/>
          <w:numId w:val="1013"/>
        </w:numPr>
      </w:pPr>
      <w:r>
        <w:rPr>
          <w:iCs/>
          <w:i/>
        </w:rPr>
        <w:t xml:space="preserve">If hypothesis testing is not appropriate, an alternative process</w:t>
      </w:r>
      <w:r>
        <w:rPr>
          <w:iCs/>
          <w:i/>
        </w:rPr>
        <w:t xml:space="preserve"> </w:t>
      </w:r>
      <w:r>
        <w:rPr>
          <w:iCs/>
          <w:i/>
        </w:rPr>
        <w:t xml:space="preserve">for arriving at statistical conclusions should be provided.</w:t>
      </w:r>
    </w:p>
    <w:bookmarkEnd w:id="78"/>
    <w:bookmarkStart w:id="79" w:name="drop-outs"/>
    <w:p>
      <w:pPr>
        <w:pStyle w:val="Heading4"/>
      </w:pPr>
      <w:r>
        <w:t xml:space="preserve">7.17.2.2</w:t>
      </w:r>
      <w:r>
        <w:t xml:space="preserve"> </w:t>
      </w:r>
      <w:r>
        <w:rPr>
          <w:bCs/>
          <w:b/>
        </w:rPr>
        <w:t xml:space="preserve">Drop-outs</w:t>
      </w:r>
    </w:p>
    <w:p>
      <w:pPr>
        <w:numPr>
          <w:ilvl w:val="0"/>
          <w:numId w:val="1014"/>
        </w:numPr>
      </w:pPr>
      <w:r>
        <w:rPr>
          <w:iCs/>
          <w:i/>
        </w:rPr>
        <w:t xml:space="preserve">Specify how drop-outs and missing values will be handled. For</w:t>
      </w:r>
      <w:r>
        <w:rPr>
          <w:iCs/>
          <w:i/>
        </w:rPr>
        <w:t xml:space="preserve"> </w:t>
      </w:r>
      <w:r>
        <w:rPr>
          <w:iCs/>
          <w:i/>
        </w:rPr>
        <w:t xml:space="preserve">planned imputation of missing values, the method for this must be</w:t>
      </w:r>
      <w:r>
        <w:rPr>
          <w:iCs/>
          <w:i/>
        </w:rPr>
        <w:t xml:space="preserve"> </w:t>
      </w:r>
      <w:r>
        <w:rPr>
          <w:iCs/>
          <w:i/>
        </w:rPr>
        <w:t xml:space="preserve">stated.</w:t>
      </w:r>
    </w:p>
    <w:p>
      <w:pPr>
        <w:numPr>
          <w:ilvl w:val="0"/>
          <w:numId w:val="1014"/>
        </w:numPr>
      </w:pPr>
      <w:r>
        <w:rPr>
          <w:iCs/>
          <w:i/>
        </w:rPr>
        <w:t xml:space="preserve">State how any deviations from the original statistical analysis</w:t>
      </w:r>
      <w:r>
        <w:rPr>
          <w:iCs/>
          <w:i/>
        </w:rPr>
        <w:t xml:space="preserve"> </w:t>
      </w:r>
      <w:r>
        <w:rPr>
          <w:iCs/>
          <w:i/>
        </w:rPr>
        <w:t xml:space="preserve">plan will be reported.</w:t>
      </w:r>
    </w:p>
    <w:bookmarkEnd w:id="79"/>
    <w:bookmarkEnd w:id="80"/>
    <w:bookmarkStart w:id="81" w:name="X896bf6c42ae15110ac332d49639cc30532a3d51"/>
    <w:p>
      <w:pPr>
        <w:pStyle w:val="Heading3"/>
      </w:pPr>
      <w:r>
        <w:t xml:space="preserve">7.17.3 Adjustment of significance and confidence interval</w:t>
      </w:r>
    </w:p>
    <w:p>
      <w:pPr>
        <w:numPr>
          <w:ilvl w:val="0"/>
          <w:numId w:val="1015"/>
        </w:numPr>
        <w:pStyle w:val="Compact"/>
      </w:pPr>
      <w:r>
        <w:rPr>
          <w:iCs/>
          <w:i/>
        </w:rPr>
        <w:t xml:space="preserve">Indicate possible tests for multiple comparisons. Adjustment should</w:t>
      </w:r>
      <w:r>
        <w:rPr>
          <w:iCs/>
          <w:i/>
        </w:rPr>
        <w:t xml:space="preserve"> </w:t>
      </w:r>
      <w:r>
        <w:rPr>
          <w:iCs/>
          <w:i/>
        </w:rPr>
        <w:t xml:space="preserve">always be considered for multiple primary outcomes. Specify details</w:t>
      </w:r>
      <w:r>
        <w:rPr>
          <w:iCs/>
          <w:i/>
        </w:rPr>
        <w:t xml:space="preserve"> </w:t>
      </w:r>
      <w:r>
        <w:rPr>
          <w:iCs/>
          <w:i/>
        </w:rPr>
        <w:t xml:space="preserve">of any adjustment procedures or provide an explanation for why</w:t>
      </w:r>
      <w:r>
        <w:rPr>
          <w:iCs/>
          <w:i/>
        </w:rPr>
        <w:t xml:space="preserve"> </w:t>
      </w:r>
      <w:r>
        <w:rPr>
          <w:iCs/>
          <w:i/>
        </w:rPr>
        <w:t xml:space="preserve">adjustment is not considered necessary.</w:t>
      </w:r>
    </w:p>
    <w:bookmarkEnd w:id="81"/>
    <w:bookmarkStart w:id="82" w:name="sample-size-calculations"/>
    <w:p>
      <w:pPr>
        <w:pStyle w:val="Heading3"/>
      </w:pPr>
      <w:r>
        <w:t xml:space="preserve">7.17.4 Sample size calculations</w:t>
      </w:r>
    </w:p>
    <w:p>
      <w:pPr>
        <w:numPr>
          <w:ilvl w:val="0"/>
          <w:numId w:val="1016"/>
        </w:numPr>
      </w:pPr>
      <w:r>
        <w:rPr>
          <w:iCs/>
          <w:i/>
        </w:rPr>
        <w:t xml:space="preserve">State the total number of subjects needed for the trial. Sample</w:t>
      </w:r>
      <w:r>
        <w:rPr>
          <w:iCs/>
          <w:i/>
        </w:rPr>
        <w:t xml:space="preserve"> </w:t>
      </w:r>
      <w:r>
        <w:rPr>
          <w:iCs/>
          <w:i/>
        </w:rPr>
        <w:t xml:space="preserve">size calculations should be performed for all primary outcome</w:t>
      </w:r>
      <w:r>
        <w:rPr>
          <w:iCs/>
          <w:i/>
        </w:rPr>
        <w:t xml:space="preserve"> </w:t>
      </w:r>
      <w:r>
        <w:rPr>
          <w:iCs/>
          <w:i/>
        </w:rPr>
        <w:t xml:space="preserve">variables (in the case of several). In the case of multicentre</w:t>
      </w:r>
      <w:r>
        <w:rPr>
          <w:iCs/>
          <w:i/>
        </w:rPr>
        <w:t xml:space="preserve"> </w:t>
      </w:r>
      <w:r>
        <w:rPr>
          <w:iCs/>
          <w:i/>
        </w:rPr>
        <w:t xml:space="preserve">trials, the number of subjects at each site should be stated.</w:t>
      </w:r>
    </w:p>
    <w:p>
      <w:pPr>
        <w:numPr>
          <w:ilvl w:val="0"/>
          <w:numId w:val="1016"/>
        </w:numPr>
      </w:pPr>
      <w:r>
        <w:rPr>
          <w:iCs/>
          <w:i/>
        </w:rPr>
        <w:t xml:space="preserve">State and motivate the effect size (e.g., group differences,</w:t>
      </w:r>
      <w:r>
        <w:rPr>
          <w:iCs/>
          <w:i/>
        </w:rPr>
        <w:t xml:space="preserve"> </w:t>
      </w:r>
      <w:r>
        <w:rPr>
          <w:iCs/>
          <w:i/>
        </w:rPr>
        <w:t xml:space="preserve">standard deviations) that sample size calculation builds upon,</w:t>
      </w:r>
      <w:r>
        <w:rPr>
          <w:iCs/>
          <w:i/>
        </w:rPr>
        <w:t xml:space="preserve"> </w:t>
      </w:r>
      <w:r>
        <w:rPr>
          <w:iCs/>
          <w:i/>
        </w:rPr>
        <w:t xml:space="preserve">usually the smallest clinically relevant effect.</w:t>
      </w:r>
    </w:p>
    <w:p>
      <w:pPr>
        <w:numPr>
          <w:ilvl w:val="0"/>
          <w:numId w:val="1016"/>
        </w:numPr>
      </w:pPr>
      <w:r>
        <w:rPr>
          <w:iCs/>
          <w:i/>
        </w:rPr>
        <w:t xml:space="preserve">Specify in detail the assumptions on which the sample size is</w:t>
      </w:r>
      <w:r>
        <w:rPr>
          <w:iCs/>
          <w:i/>
        </w:rPr>
        <w:t xml:space="preserve"> </w:t>
      </w:r>
      <w:r>
        <w:rPr>
          <w:iCs/>
          <w:i/>
        </w:rPr>
        <w:t xml:space="preserve">based. Specify in particular:</w:t>
      </w:r>
    </w:p>
    <w:p>
      <w:pPr>
        <w:numPr>
          <w:ilvl w:val="1"/>
          <w:numId w:val="1017"/>
        </w:numPr>
      </w:pPr>
      <w:r>
        <w:rPr>
          <w:iCs/>
          <w:i/>
        </w:rPr>
        <w:t xml:space="preserve">method by which the sample size is calculated</w:t>
      </w:r>
    </w:p>
    <w:p>
      <w:pPr>
        <w:numPr>
          <w:ilvl w:val="1"/>
          <w:numId w:val="1017"/>
        </w:numPr>
      </w:pPr>
      <w:r>
        <w:rPr>
          <w:iCs/>
          <w:i/>
        </w:rPr>
        <w:t xml:space="preserve">significance level</w:t>
      </w:r>
    </w:p>
    <w:p>
      <w:pPr>
        <w:numPr>
          <w:ilvl w:val="1"/>
          <w:numId w:val="1017"/>
        </w:numPr>
      </w:pPr>
      <w:r>
        <w:rPr>
          <w:iCs/>
          <w:i/>
        </w:rPr>
        <w:t xml:space="preserve">desired power</w:t>
      </w:r>
    </w:p>
    <w:p>
      <w:pPr>
        <w:numPr>
          <w:ilvl w:val="1"/>
          <w:numId w:val="1017"/>
        </w:numPr>
      </w:pPr>
      <w:r>
        <w:rPr>
          <w:iCs/>
          <w:i/>
        </w:rPr>
        <w:t xml:space="preserve">compensation for expected drop-outs</w:t>
      </w:r>
    </w:p>
    <w:p>
      <w:pPr>
        <w:numPr>
          <w:ilvl w:val="1"/>
          <w:numId w:val="1017"/>
        </w:numPr>
      </w:pPr>
      <w:r>
        <w:rPr>
          <w:iCs/>
          <w:i/>
        </w:rPr>
        <w:t xml:space="preserve">handling of any corrections for multiple comparisons</w:t>
      </w:r>
    </w:p>
    <w:bookmarkEnd w:id="82"/>
    <w:bookmarkStart w:id="83" w:name="interim-analysis-if-relevant"/>
    <w:p>
      <w:pPr>
        <w:pStyle w:val="Heading3"/>
      </w:pPr>
      <w:r>
        <w:t xml:space="preserve">7.17.5 Interim analysis (if relevant)</w:t>
      </w:r>
    </w:p>
    <w:p>
      <w:pPr>
        <w:numPr>
          <w:ilvl w:val="0"/>
          <w:numId w:val="1018"/>
        </w:numPr>
      </w:pPr>
      <w:r>
        <w:rPr>
          <w:iCs/>
          <w:i/>
        </w:rPr>
        <w:t xml:space="preserve">A description of the statistical methods to be applied.</w:t>
      </w:r>
    </w:p>
    <w:p>
      <w:pPr>
        <w:numPr>
          <w:ilvl w:val="0"/>
          <w:numId w:val="1018"/>
        </w:numPr>
      </w:pPr>
      <w:r>
        <w:rPr>
          <w:iCs/>
          <w:i/>
        </w:rPr>
        <w:t xml:space="preserve">Time points for interim analyses.</w:t>
      </w:r>
    </w:p>
    <w:p>
      <w:pPr>
        <w:numPr>
          <w:ilvl w:val="0"/>
          <w:numId w:val="1018"/>
        </w:numPr>
      </w:pPr>
      <w:r>
        <w:rPr>
          <w:iCs/>
          <w:i/>
        </w:rPr>
        <w:t xml:space="preserve">Criteria for trial termination.</w:t>
      </w:r>
    </w:p>
    <w:p>
      <w:pPr>
        <w:numPr>
          <w:ilvl w:val="0"/>
          <w:numId w:val="1018"/>
        </w:numPr>
      </w:pPr>
      <w:r>
        <w:rPr>
          <w:iCs/>
          <w:i/>
        </w:rPr>
        <w:t xml:space="preserve">Potential need for recalculation of sample size.</w:t>
      </w:r>
    </w:p>
    <w:bookmarkEnd w:id="83"/>
    <w:bookmarkEnd w:id="84"/>
    <w:bookmarkStart w:id="85" w:name="quality-control-and-quality-assurance"/>
    <w:p>
      <w:pPr>
        <w:pStyle w:val="Heading2"/>
      </w:pPr>
      <w:r>
        <w:t xml:space="preserve">7.18 Quality Control and Quality Assurance</w:t>
      </w:r>
    </w:p>
    <w:p>
      <w:pPr>
        <w:pStyle w:val="FirstParagraph"/>
      </w:pPr>
      <w:r>
        <w:rPr>
          <w:iCs/>
          <w:i/>
        </w:rPr>
        <w:t xml:space="preserve">In a clinical trial for medicinal products the sponsor is responsible</w:t>
      </w:r>
      <w:r>
        <w:rPr>
          <w:iCs/>
          <w:i/>
        </w:rPr>
        <w:t xml:space="preserve"> </w:t>
      </w:r>
      <w:r>
        <w:rPr>
          <w:iCs/>
          <w:i/>
        </w:rPr>
        <w:t xml:space="preserve">for Quality Control (monitoring) and Quality Assurance (auditing). An</w:t>
      </w:r>
      <w:r>
        <w:rPr>
          <w:iCs/>
          <w:i/>
        </w:rPr>
        <w:t xml:space="preserve"> </w:t>
      </w:r>
      <w:r>
        <w:rPr>
          <w:iCs/>
          <w:i/>
        </w:rPr>
        <w:t xml:space="preserve">independent review (monitoring) should be carried out for all clinical</w:t>
      </w:r>
      <w:r>
        <w:rPr>
          <w:iCs/>
          <w:i/>
        </w:rPr>
        <w:t xml:space="preserve"> </w:t>
      </w:r>
      <w:r>
        <w:rPr>
          <w:iCs/>
          <w:i/>
        </w:rPr>
        <w:t xml:space="preserve">trials for medicinal products. The sponsor is responsible for appointing</w:t>
      </w:r>
      <w:r>
        <w:rPr>
          <w:iCs/>
          <w:i/>
        </w:rPr>
        <w:t xml:space="preserve"> </w:t>
      </w:r>
      <w:r>
        <w:rPr>
          <w:iCs/>
          <w:i/>
        </w:rPr>
        <w:t xml:space="preserve">a monitor and for the quality throughout the trial; design, conduct,</w:t>
      </w:r>
      <w:r>
        <w:rPr>
          <w:iCs/>
          <w:i/>
        </w:rPr>
        <w:t xml:space="preserve"> </w:t>
      </w:r>
      <w:r>
        <w:rPr>
          <w:iCs/>
          <w:i/>
        </w:rPr>
        <w:t xml:space="preserve">data collection, evaluation, reporting, and archiving. Methods used</w:t>
      </w:r>
      <w:r>
        <w:rPr>
          <w:iCs/>
          <w:i/>
        </w:rPr>
        <w:t xml:space="preserve"> </w:t>
      </w:r>
      <w:r>
        <w:rPr>
          <w:iCs/>
          <w:i/>
        </w:rPr>
        <w:t xml:space="preserve">should be proportionate in relation to the trial’s risks.</w:t>
      </w:r>
    </w:p>
    <w:p>
      <w:pPr>
        <w:pStyle w:val="BodyText"/>
      </w:pPr>
      <w:r>
        <w:rPr>
          <w:iCs/>
          <w:i/>
        </w:rPr>
        <w:t xml:space="preserve">There may be less stringent rules for low-intervention clinical trials</w:t>
      </w:r>
      <w:r>
        <w:rPr>
          <w:iCs/>
          <w:i/>
        </w:rPr>
        <w:t xml:space="preserve"> </w:t>
      </w:r>
      <w:r>
        <w:rPr>
          <w:iCs/>
          <w:i/>
        </w:rPr>
        <w:t xml:space="preserve">(see cover page), e.g. limited monitoring requirements.</w:t>
      </w:r>
    </w:p>
    <w:bookmarkEnd w:id="85"/>
    <w:bookmarkStart w:id="86" w:name="quality-assurance-and-sponsor-oversight"/>
    <w:p>
      <w:pPr>
        <w:pStyle w:val="Heading2"/>
      </w:pPr>
      <w:r>
        <w:t xml:space="preserve">7.19 Quality Assurance and Sponsor oversight</w:t>
      </w:r>
    </w:p>
    <w:p>
      <w:pPr>
        <w:pStyle w:val="FirstParagraph"/>
      </w:pPr>
      <w:r>
        <w:rPr>
          <w:iCs/>
          <w:i/>
        </w:rPr>
        <w:t xml:space="preserve">In this section, describe which quality assurance systems the trial</w:t>
      </w:r>
      <w:r>
        <w:rPr>
          <w:iCs/>
          <w:i/>
        </w:rPr>
        <w:t xml:space="preserve"> </w:t>
      </w:r>
      <w:r>
        <w:rPr>
          <w:iCs/>
          <w:i/>
        </w:rPr>
        <w:t xml:space="preserve">will have to ensure and control the quality as well as the sponsor’s</w:t>
      </w:r>
      <w:r>
        <w:rPr>
          <w:iCs/>
          <w:i/>
        </w:rPr>
        <w:t xml:space="preserve"> </w:t>
      </w:r>
      <w:r>
        <w:rPr>
          <w:iCs/>
          <w:i/>
        </w:rPr>
        <w:t xml:space="preserve">methods for having oversight of the trial’s quality. For example,</w:t>
      </w:r>
      <w:r>
        <w:rPr>
          <w:iCs/>
          <w:i/>
        </w:rPr>
        <w:t xml:space="preserve"> </w:t>
      </w:r>
      <w:r>
        <w:rPr>
          <w:iCs/>
          <w:i/>
        </w:rPr>
        <w:t xml:space="preserve">communication plan, training of trial personnel, working manuals,</w:t>
      </w:r>
      <w:r>
        <w:rPr>
          <w:iCs/>
          <w:i/>
        </w:rPr>
        <w:t xml:space="preserve"> </w:t>
      </w:r>
      <w:r>
        <w:rPr>
          <w:iCs/>
          <w:i/>
        </w:rPr>
        <w:t xml:space="preserve">meetings, central/local monitoring, audits, etc.</w:t>
      </w:r>
    </w:p>
    <w:p>
      <w:pPr>
        <w:pStyle w:val="BodyText"/>
      </w:pPr>
      <w:r>
        <w:rPr>
          <w:iCs/>
          <w:i/>
        </w:rPr>
        <w:t xml:space="preserve">The sponsor’s quality-related work must be based on a risk analysis of</w:t>
      </w:r>
      <w:r>
        <w:rPr>
          <w:iCs/>
          <w:i/>
        </w:rPr>
        <w:t xml:space="preserve"> </w:t>
      </w:r>
      <w:r>
        <w:rPr>
          <w:iCs/>
          <w:i/>
        </w:rPr>
        <w:t xml:space="preserve">the trial as a whole: design, conduct, data collection, evaluation,</w:t>
      </w:r>
      <w:r>
        <w:rPr>
          <w:iCs/>
          <w:i/>
        </w:rPr>
        <w:t xml:space="preserve"> </w:t>
      </w:r>
      <w:r>
        <w:rPr>
          <w:iCs/>
          <w:i/>
        </w:rPr>
        <w:t xml:space="preserve">reporting and archiving.</w:t>
      </w:r>
    </w:p>
    <w:p>
      <w:pPr>
        <w:pStyle w:val="BodyText"/>
      </w:pPr>
      <w:r>
        <w:rPr>
          <w:iCs/>
          <w:i/>
        </w:rPr>
        <w:t xml:space="preserve">To enable monitoring and auditing, the protocol or other written</w:t>
      </w:r>
      <w:r>
        <w:rPr>
          <w:iCs/>
          <w:i/>
        </w:rPr>
        <w:t xml:space="preserve"> </w:t>
      </w:r>
      <w:r>
        <w:rPr>
          <w:iCs/>
          <w:i/>
        </w:rPr>
        <w:t xml:space="preserve">agreement must specify that the investigators allow trial-related</w:t>
      </w:r>
      <w:r>
        <w:rPr>
          <w:iCs/>
          <w:i/>
        </w:rPr>
        <w:t xml:space="preserve"> </w:t>
      </w:r>
      <w:r>
        <w:rPr>
          <w:iCs/>
          <w:i/>
        </w:rPr>
        <w:t xml:space="preserve">monitoring, auditing, and regulatory inspections by providing direct</w:t>
      </w:r>
      <w:r>
        <w:rPr>
          <w:iCs/>
          <w:i/>
        </w:rPr>
        <w:t xml:space="preserve"> </w:t>
      </w:r>
      <w:r>
        <w:rPr>
          <w:iCs/>
          <w:i/>
        </w:rPr>
        <w:t xml:space="preserve">access to the CRF, subject’s medical record and other source data and</w:t>
      </w:r>
      <w:r>
        <w:rPr>
          <w:iCs/>
          <w:i/>
        </w:rPr>
        <w:t xml:space="preserve"> </w:t>
      </w:r>
      <w:r>
        <w:rPr>
          <w:iCs/>
          <w:i/>
        </w:rPr>
        <w:t xml:space="preserve">other trial-specific documentation. Similarly, this also must be</w:t>
      </w:r>
      <w:r>
        <w:rPr>
          <w:iCs/>
          <w:i/>
        </w:rPr>
        <w:t xml:space="preserve"> </w:t>
      </w:r>
      <w:r>
        <w:rPr>
          <w:iCs/>
          <w:i/>
        </w:rPr>
        <w:t xml:space="preserve">apparent to the subjects in the Subject Information and Informed Consent</w:t>
      </w:r>
      <w:r>
        <w:rPr>
          <w:iCs/>
          <w:i/>
        </w:rPr>
        <w:t xml:space="preserve"> </w:t>
      </w:r>
      <w:r>
        <w:rPr>
          <w:iCs/>
          <w:i/>
        </w:rPr>
        <w:t xml:space="preserve">Form.</w:t>
      </w:r>
    </w:p>
    <w:p>
      <w:pPr>
        <w:pStyle w:val="BodyText"/>
      </w:pPr>
      <w:r>
        <w:rPr>
          <w:iCs/>
          <w:i/>
        </w:rPr>
        <w:t xml:space="preserve">The sponsor is responsible for the trial’s monitoring plan, which</w:t>
      </w:r>
      <w:r>
        <w:rPr>
          <w:iCs/>
          <w:i/>
        </w:rPr>
        <w:t xml:space="preserve"> </w:t>
      </w:r>
      <w:r>
        <w:rPr>
          <w:iCs/>
          <w:i/>
        </w:rPr>
        <w:t xml:space="preserve">should be based on the identified risks, follow-up of risks during the</w:t>
      </w:r>
      <w:r>
        <w:rPr>
          <w:iCs/>
          <w:i/>
        </w:rPr>
        <w:t xml:space="preserve"> </w:t>
      </w:r>
      <w:r>
        <w:rPr>
          <w:iCs/>
          <w:i/>
        </w:rPr>
        <w:t xml:space="preserve">trial and timeliness of the monitoring plan.</w:t>
      </w:r>
    </w:p>
    <w:bookmarkEnd w:id="86"/>
    <w:bookmarkStart w:id="88" w:name="monitoring"/>
    <w:p>
      <w:pPr>
        <w:pStyle w:val="Heading2"/>
      </w:pPr>
      <w:r>
        <w:t xml:space="preserve">7.20 Monitoring</w:t>
      </w:r>
    </w:p>
    <w:p>
      <w:pPr>
        <w:pStyle w:val="FirstParagraph"/>
      </w:pPr>
      <w:r>
        <w:rPr>
          <w:iCs/>
          <w:i/>
        </w:rPr>
        <w:t xml:space="preserve">In order to fulfill the EU regulation on clinical trials on medicinal</w:t>
      </w:r>
      <w:r>
        <w:rPr>
          <w:iCs/>
          <w:i/>
        </w:rPr>
        <w:t xml:space="preserve"> </w:t>
      </w:r>
      <w:r>
        <w:rPr>
          <w:iCs/>
          <w:i/>
        </w:rPr>
        <w:t xml:space="preserve">products for human use, 536/2014 and ICH-GCP, an independent monitor</w:t>
      </w:r>
      <w:r>
        <w:rPr>
          <w:iCs/>
          <w:i/>
        </w:rPr>
        <w:t xml:space="preserve"> </w:t>
      </w:r>
      <w:r>
        <w:rPr>
          <w:iCs/>
          <w:i/>
        </w:rPr>
        <w:t xml:space="preserve">should be appointed to, via monitoring, ensure the subjects’ safety and</w:t>
      </w:r>
      <w:r>
        <w:rPr>
          <w:iCs/>
          <w:i/>
        </w:rPr>
        <w:t xml:space="preserve"> </w:t>
      </w:r>
      <w:r>
        <w:rPr>
          <w:iCs/>
          <w:i/>
        </w:rPr>
        <w:t xml:space="preserve">integrity are satisfied and check that reported personal data is</w:t>
      </w:r>
      <w:r>
        <w:rPr>
          <w:iCs/>
          <w:i/>
        </w:rPr>
        <w:t xml:space="preserve"> </w:t>
      </w:r>
      <w:r>
        <w:rPr>
          <w:iCs/>
          <w:i/>
        </w:rPr>
        <w:t xml:space="preserve">reliable and of high quality.</w:t>
      </w:r>
    </w:p>
    <w:p>
      <w:pPr>
        <w:pStyle w:val="BodyText"/>
      </w:pPr>
      <w:r>
        <w:rPr>
          <w:iCs/>
          <w:i/>
        </w:rPr>
        <w:t xml:space="preserve">Briefly describe how the independent review (monitoring) will be</w:t>
      </w:r>
      <w:r>
        <w:rPr>
          <w:iCs/>
          <w:i/>
        </w:rPr>
        <w:t xml:space="preserve"> </w:t>
      </w:r>
      <w:r>
        <w:rPr>
          <w:iCs/>
          <w:i/>
        </w:rPr>
        <w:t xml:space="preserve">performed before, during, and after the trial. Details are</w:t>
      </w:r>
      <w:r>
        <w:rPr>
          <w:iCs/>
          <w:i/>
        </w:rPr>
        <w:t xml:space="preserve"> </w:t>
      </w:r>
      <w:r>
        <w:rPr>
          <w:iCs/>
          <w:i/>
        </w:rPr>
        <w:t xml:space="preserve">advantageously described in a separate monitoring plan.</w:t>
      </w:r>
    </w:p>
    <w:p>
      <w:pPr>
        <w:pStyle w:val="BodyText"/>
      </w:pPr>
      <w:r>
        <w:rPr>
          <w:iCs/>
          <w:i/>
        </w:rPr>
        <w:t xml:space="preserve">Describe which levels of quality control can be applied, e.g., what is</w:t>
      </w:r>
      <w:r>
        <w:rPr>
          <w:iCs/>
          <w:i/>
        </w:rPr>
        <w:t xml:space="preserve"> </w:t>
      </w:r>
      <w:r>
        <w:rPr>
          <w:iCs/>
          <w:i/>
        </w:rPr>
        <w:t xml:space="preserve">monitored centrally and what is monitored on site. See above.</w:t>
      </w:r>
    </w:p>
    <w:p>
      <w:pPr>
        <w:pStyle w:val="BodyText"/>
      </w:pPr>
      <w:r>
        <w:rPr>
          <w:iCs/>
          <w:i/>
        </w:rPr>
        <w:t xml:space="preserve">Describe generally here how deviations from the protocol or regulations</w:t>
      </w:r>
      <w:r>
        <w:rPr>
          <w:iCs/>
          <w:i/>
        </w:rPr>
        <w:t xml:space="preserve"> </w:t>
      </w:r>
      <w:r>
        <w:rPr>
          <w:iCs/>
          <w:i/>
        </w:rPr>
        <w:t xml:space="preserve">that occur at the site will be documented and handled (significant</w:t>
      </w:r>
      <w:r>
        <w:rPr>
          <w:iCs/>
          <w:i/>
        </w:rPr>
        <w:t xml:space="preserve"> </w:t>
      </w:r>
      <w:r>
        <w:rPr>
          <w:iCs/>
          <w:i/>
        </w:rPr>
        <w:t xml:space="preserve">deviations should be reported in the final report to the authorities).</w:t>
      </w:r>
      <w:r>
        <w:rPr>
          <w:iCs/>
          <w:i/>
        </w:rPr>
        <w:t xml:space="preserve"> </w:t>
      </w:r>
      <w:r>
        <w:rPr>
          <w:iCs/>
          <w:i/>
        </w:rPr>
        <w:t xml:space="preserve">Details shall be described in a separate monitoring plan. See also</w:t>
      </w:r>
      <w:r>
        <w:rPr>
          <w:iCs/>
          <w:i/>
        </w:rPr>
        <w:t xml:space="preserve"> </w:t>
      </w:r>
      <w:r>
        <w:rPr>
          <w:iCs/>
          <w:i/>
        </w:rPr>
        <w:t xml:space="preserve">section</w:t>
      </w:r>
      <w:r>
        <w:t xml:space="preserve"> </w:t>
      </w:r>
      <w:hyperlink r:id="rId87">
        <w:r>
          <w:rPr>
            <w:rStyle w:val="Hyperlink"/>
          </w:rPr>
          <w:t xml:space="preserve">11.4</w:t>
        </w:r>
      </w:hyperlink>
      <w:r>
        <w:rPr>
          <w:iCs/>
          <w:i/>
        </w:rPr>
        <w:t xml:space="preserve">.</w:t>
      </w:r>
    </w:p>
    <w:p>
      <w:pPr>
        <w:pStyle w:val="BodyText"/>
      </w:pPr>
      <w:r>
        <w:rPr>
          <w:iCs/>
          <w:i/>
        </w:rPr>
        <w:t xml:space="preserve">The minimum level for quality control is that the following can be</w:t>
      </w:r>
      <w:r>
        <w:rPr>
          <w:iCs/>
          <w:i/>
        </w:rPr>
        <w:t xml:space="preserve"> </w:t>
      </w:r>
      <w:r>
        <w:rPr>
          <w:iCs/>
          <w:i/>
        </w:rPr>
        <w:t xml:space="preserve">verified:</w:t>
      </w:r>
    </w:p>
    <w:p>
      <w:pPr>
        <w:numPr>
          <w:ilvl w:val="0"/>
          <w:numId w:val="1019"/>
        </w:numPr>
      </w:pPr>
      <w:r>
        <w:rPr>
          <w:iCs/>
          <w:i/>
        </w:rPr>
        <w:t xml:space="preserve">that subjects exist</w:t>
      </w:r>
    </w:p>
    <w:p>
      <w:pPr>
        <w:numPr>
          <w:ilvl w:val="0"/>
          <w:numId w:val="1019"/>
        </w:numPr>
      </w:pPr>
      <w:r>
        <w:rPr>
          <w:iCs/>
          <w:i/>
        </w:rPr>
        <w:t xml:space="preserve">that informed consent has been signed prior to execution of any</w:t>
      </w:r>
      <w:r>
        <w:rPr>
          <w:iCs/>
          <w:i/>
        </w:rPr>
        <w:t xml:space="preserve"> </w:t>
      </w:r>
      <w:r>
        <w:rPr>
          <w:iCs/>
          <w:i/>
        </w:rPr>
        <w:t xml:space="preserve">trial-specific actions</w:t>
      </w:r>
    </w:p>
    <w:p>
      <w:pPr>
        <w:numPr>
          <w:ilvl w:val="0"/>
          <w:numId w:val="1019"/>
        </w:numPr>
      </w:pPr>
      <w:r>
        <w:rPr>
          <w:iCs/>
          <w:i/>
        </w:rPr>
        <w:t xml:space="preserve">that subjects are included according to the protocol’s inclusion</w:t>
      </w:r>
      <w:r>
        <w:rPr>
          <w:iCs/>
          <w:i/>
        </w:rPr>
        <w:t xml:space="preserve"> </w:t>
      </w:r>
      <w:r>
        <w:rPr>
          <w:iCs/>
          <w:i/>
        </w:rPr>
        <w:t xml:space="preserve">and exclusion criteria</w:t>
      </w:r>
    </w:p>
    <w:p>
      <w:pPr>
        <w:numPr>
          <w:ilvl w:val="0"/>
          <w:numId w:val="1019"/>
        </w:numPr>
      </w:pPr>
      <w:r>
        <w:rPr>
          <w:iCs/>
          <w:i/>
        </w:rPr>
        <w:t xml:space="preserve">that the trial’s main parameters and safety reporting are handled</w:t>
      </w:r>
      <w:r>
        <w:rPr>
          <w:iCs/>
          <w:i/>
        </w:rPr>
        <w:t xml:space="preserve"> </w:t>
      </w:r>
      <w:r>
        <w:rPr>
          <w:iCs/>
          <w:i/>
        </w:rPr>
        <w:t xml:space="preserve">correctly</w:t>
      </w:r>
    </w:p>
    <w:p>
      <w:pPr>
        <w:pStyle w:val="FirstParagraph"/>
      </w:pPr>
      <w:r>
        <w:rPr>
          <w:iCs/>
          <w:i/>
        </w:rPr>
        <w:t xml:space="preserve">Other tasks for a monitor include verifying that the trial’s essential</w:t>
      </w:r>
      <w:r>
        <w:rPr>
          <w:iCs/>
          <w:i/>
        </w:rPr>
        <w:t xml:space="preserve"> </w:t>
      </w:r>
      <w:r>
        <w:rPr>
          <w:iCs/>
          <w:i/>
        </w:rPr>
        <w:t xml:space="preserve">documents are complete (according to chapter 8, ICH-GCP (E6(R2)).</w:t>
      </w:r>
    </w:p>
    <w:p>
      <w:pPr>
        <w:pStyle w:val="BodyText"/>
      </w:pPr>
      <w:r>
        <w:rPr>
          <w:iCs/>
          <w:i/>
        </w:rPr>
        <w:t xml:space="preserve">Text suggestion:</w:t>
      </w:r>
      <w:r>
        <w:t xml:space="preserve"> </w:t>
      </w:r>
      <w:r>
        <w:t xml:space="preserve">The trial will be monitored by an independent monitor</w:t>
      </w:r>
      <w:r>
        <w:t xml:space="preserve"> </w:t>
      </w:r>
      <w:r>
        <w:t xml:space="preserve">before the trial begins, during conducting the trial, and after the</w:t>
      </w:r>
      <w:r>
        <w:t xml:space="preserve"> </w:t>
      </w:r>
      <w:r>
        <w:t xml:space="preserve">trial has been completed. This is to ensure that the trial is carried</w:t>
      </w:r>
      <w:r>
        <w:t xml:space="preserve"> </w:t>
      </w:r>
      <w:r>
        <w:t xml:space="preserve">out according to the protocol and that data is collected, documented,</w:t>
      </w:r>
      <w:r>
        <w:t xml:space="preserve"> </w:t>
      </w:r>
      <w:r>
        <w:t xml:space="preserve">and reported according to ICH-GCP and applicable ethical and regulatory</w:t>
      </w:r>
      <w:r>
        <w:t xml:space="preserve"> </w:t>
      </w:r>
      <w:r>
        <w:t xml:space="preserve">requirements. Monitoring is performed as per the trial’s monitoring plan</w:t>
      </w:r>
      <w:r>
        <w:t xml:space="preserve"> </w:t>
      </w:r>
      <w:r>
        <w:t xml:space="preserve">and is intended to ensure that the subject’s rights, safety, and</w:t>
      </w:r>
      <w:r>
        <w:t xml:space="preserve"> </w:t>
      </w:r>
      <w:r>
        <w:t xml:space="preserve">well-being are met and that data in the CRF are complete, correct, and</w:t>
      </w:r>
      <w:r>
        <w:t xml:space="preserve"> </w:t>
      </w:r>
      <w:r>
        <w:t xml:space="preserve">consistent with the source data.</w:t>
      </w:r>
    </w:p>
    <w:bookmarkEnd w:id="88"/>
    <w:bookmarkStart w:id="89" w:name="source-data"/>
    <w:p>
      <w:pPr>
        <w:pStyle w:val="Heading2"/>
      </w:pPr>
      <w:r>
        <w:t xml:space="preserve">7.21 Source data</w:t>
      </w:r>
    </w:p>
    <w:p>
      <w:pPr>
        <w:pStyle w:val="FirstParagraph"/>
      </w:pPr>
      <w:r>
        <w:rPr>
          <w:iCs/>
          <w:i/>
        </w:rPr>
        <w:t xml:space="preserve">Refer to, and indicate in the site-specific source data reference</w:t>
      </w:r>
      <w:r>
        <w:rPr>
          <w:iCs/>
          <w:i/>
        </w:rPr>
        <w:t xml:space="preserve"> </w:t>
      </w:r>
      <w:r>
        <w:rPr>
          <w:iCs/>
          <w:i/>
        </w:rPr>
        <w:t xml:space="preserve">document of the trial site, the location of the source data for each</w:t>
      </w:r>
      <w:r>
        <w:rPr>
          <w:iCs/>
          <w:i/>
        </w:rPr>
        <w:t xml:space="preserve"> </w:t>
      </w:r>
      <w:r>
        <w:rPr>
          <w:iCs/>
          <w:i/>
        </w:rPr>
        <w:t xml:space="preserve">variable. The CRF may in specific cases be defined as the source data</w:t>
      </w:r>
      <w:r>
        <w:rPr>
          <w:iCs/>
          <w:i/>
        </w:rPr>
        <w:t xml:space="preserve"> </w:t>
      </w:r>
      <w:r>
        <w:rPr>
          <w:iCs/>
          <w:i/>
        </w:rPr>
        <w:t xml:space="preserve">for specific endpoints (variables) that are not recorded elsewhere, in</w:t>
      </w:r>
      <w:r>
        <w:rPr>
          <w:iCs/>
          <w:i/>
        </w:rPr>
        <w:t xml:space="preserve"> </w:t>
      </w:r>
      <w:r>
        <w:rPr>
          <w:iCs/>
          <w:i/>
        </w:rPr>
        <w:t xml:space="preserve">which case the data are recorded directly in the CRF.</w:t>
      </w:r>
    </w:p>
    <w:p>
      <w:pPr>
        <w:pStyle w:val="BodyText"/>
      </w:pPr>
      <w:r>
        <w:rPr>
          <w:iCs/>
          <w:i/>
        </w:rPr>
        <w:t xml:space="preserve">Also describe that the monitor has access to medical records and source</w:t>
      </w:r>
      <w:r>
        <w:rPr>
          <w:iCs/>
          <w:i/>
        </w:rPr>
        <w:t xml:space="preserve"> </w:t>
      </w:r>
      <w:r>
        <w:rPr>
          <w:iCs/>
          <w:i/>
        </w:rPr>
        <w:t xml:space="preserve">data after secrecy agreements have been signed by the responsible party</w:t>
      </w:r>
      <w:r>
        <w:rPr>
          <w:iCs/>
          <w:i/>
        </w:rPr>
        <w:t xml:space="preserve"> </w:t>
      </w:r>
      <w:r>
        <w:rPr>
          <w:iCs/>
          <w:i/>
        </w:rPr>
        <w:t xml:space="preserve">at the site and by the monitor. Subjects have provided consent by</w:t>
      </w:r>
      <w:r>
        <w:rPr>
          <w:iCs/>
          <w:i/>
        </w:rPr>
        <w:t xml:space="preserve"> </w:t>
      </w:r>
      <w:r>
        <w:rPr>
          <w:iCs/>
          <w:i/>
        </w:rPr>
        <w:t xml:space="preserve">signing the Subject Information and Informed Consent Form where this is</w:t>
      </w:r>
      <w:r>
        <w:rPr>
          <w:iCs/>
          <w:i/>
        </w:rPr>
        <w:t xml:space="preserve"> </w:t>
      </w:r>
      <w:r>
        <w:rPr>
          <w:iCs/>
          <w:i/>
        </w:rPr>
        <w:t xml:space="preserve">specified.</w:t>
      </w:r>
    </w:p>
    <w:p>
      <w:pPr>
        <w:pStyle w:val="BodyText"/>
      </w:pPr>
      <w:r>
        <w:rPr>
          <w:iCs/>
          <w:i/>
        </w:rPr>
        <w:t xml:space="preserve">Text suggestion:</w:t>
      </w:r>
      <w:r>
        <w:t xml:space="preserve"> </w:t>
      </w:r>
      <w:r>
        <w:t xml:space="preserve">The investigator must keep source documents for each</w:t>
      </w:r>
      <w:r>
        <w:t xml:space="preserve"> </w:t>
      </w:r>
      <w:r>
        <w:t xml:space="preserve">subject in the trial. A document describing what has been classified as</w:t>
      </w:r>
      <w:r>
        <w:t xml:space="preserve"> </w:t>
      </w:r>
      <w:r>
        <w:t xml:space="preserve">source data in the trial (source data reference document) should be</w:t>
      </w:r>
      <w:r>
        <w:t xml:space="preserve"> </w:t>
      </w:r>
      <w:r>
        <w:t xml:space="preserve">included in the Investigator Site File (ISF). The investigator must</w:t>
      </w:r>
      <w:r>
        <w:t xml:space="preserve"> </w:t>
      </w:r>
      <w:r>
        <w:t xml:space="preserve">ensure that all source documents are accessible for monitoring and other</w:t>
      </w:r>
      <w:r>
        <w:t xml:space="preserve"> </w:t>
      </w:r>
      <w:r>
        <w:t xml:space="preserve">quality control activities.</w:t>
      </w:r>
    </w:p>
    <w:p>
      <w:pPr>
        <w:pStyle w:val="BodyText"/>
      </w:pPr>
      <w:r>
        <w:t xml:space="preserve">Source data is defined before trial start at each individual site and</w:t>
      </w:r>
      <w:r>
        <w:t xml:space="preserve"> </w:t>
      </w:r>
      <w:r>
        <w:t xml:space="preserve">can, in cases where source data is not registered in another document,</w:t>
      </w:r>
      <w:r>
        <w:t xml:space="preserve"> </w:t>
      </w:r>
      <w:r>
        <w:t xml:space="preserve">consist of the CRF. This should be decided in consultation with the</w:t>
      </w:r>
      <w:r>
        <w:t xml:space="preserve"> </w:t>
      </w:r>
      <w:r>
        <w:t xml:space="preserve">monitor and clearly stated in the source data reference document.</w:t>
      </w:r>
    </w:p>
    <w:p>
      <w:pPr>
        <w:pStyle w:val="BodyText"/>
      </w:pPr>
      <w:r>
        <w:t xml:space="preserve">Access to trial-related documentation, such as subjects' medical</w:t>
      </w:r>
      <w:r>
        <w:t xml:space="preserve"> </w:t>
      </w:r>
      <w:r>
        <w:t xml:space="preserve">records, CRFs, other source data and other trial documentation will be</w:t>
      </w:r>
      <w:r>
        <w:t xml:space="preserve"> </w:t>
      </w:r>
      <w:r>
        <w:t xml:space="preserve">provided for monitoring and auditing purposes. Access to subjects'</w:t>
      </w:r>
      <w:r>
        <w:t xml:space="preserve"> </w:t>
      </w:r>
      <w:r>
        <w:t xml:space="preserve">medical records will require a confidentiality agreement to be signed by</w:t>
      </w:r>
      <w:r>
        <w:t xml:space="preserve"> </w:t>
      </w:r>
      <w:r>
        <w:t xml:space="preserve">the person in charge of the medical records at the trial site and by the</w:t>
      </w:r>
      <w:r>
        <w:t xml:space="preserve"> </w:t>
      </w:r>
      <w:r>
        <w:t xml:space="preserve">monitor and auditor, if applicable. Access will also be granted in the</w:t>
      </w:r>
      <w:r>
        <w:t xml:space="preserve"> </w:t>
      </w:r>
      <w:r>
        <w:t xml:space="preserve">context of regulatory inspections.</w:t>
      </w:r>
    </w:p>
    <w:bookmarkEnd w:id="89"/>
    <w:bookmarkStart w:id="91" w:name="Xc375ff589a212c40edd22855353d68d440706fb"/>
    <w:p>
      <w:pPr>
        <w:pStyle w:val="Heading2"/>
      </w:pPr>
      <w:r>
        <w:t xml:space="preserve">7.22 Deviations, serious breaches and other reporting obligations</w:t>
      </w:r>
    </w:p>
    <w:p>
      <w:pPr>
        <w:pStyle w:val="FirstParagraph"/>
      </w:pPr>
      <w:r>
        <w:rPr>
          <w:iCs/>
          <w:i/>
        </w:rPr>
        <w:t xml:space="preserve">The protocol should describe how deviations or serious breaches from</w:t>
      </w:r>
      <w:r>
        <w:rPr>
          <w:iCs/>
          <w:i/>
        </w:rPr>
        <w:t xml:space="preserve"> </w:t>
      </w:r>
      <w:r>
        <w:rPr>
          <w:iCs/>
          <w:i/>
        </w:rPr>
        <w:t xml:space="preserve">Clinical Trials Regulation, the approved trial protocol, ICH-GCP and</w:t>
      </w:r>
      <w:r>
        <w:rPr>
          <w:iCs/>
          <w:i/>
        </w:rPr>
        <w:t xml:space="preserve"> </w:t>
      </w:r>
      <w:r>
        <w:rPr>
          <w:iCs/>
          <w:i/>
        </w:rPr>
        <w:t xml:space="preserve">other regulations, directly affect, or with high likelihood could</w:t>
      </w:r>
      <w:r>
        <w:rPr>
          <w:iCs/>
          <w:i/>
        </w:rPr>
        <w:t xml:space="preserve"> </w:t>
      </w:r>
      <w:r>
        <w:rPr>
          <w:iCs/>
          <w:i/>
        </w:rPr>
        <w:t xml:space="preserve">affect, the safety of subjects and their rights or the reliability and</w:t>
      </w:r>
      <w:r>
        <w:rPr>
          <w:iCs/>
          <w:i/>
        </w:rPr>
        <w:t xml:space="preserve"> </w:t>
      </w:r>
      <w:r>
        <w:rPr>
          <w:iCs/>
          <w:i/>
        </w:rPr>
        <w:t xml:space="preserve">robustness of the data generated in the trial. In addition, the protocol</w:t>
      </w:r>
      <w:r>
        <w:rPr>
          <w:iCs/>
          <w:i/>
        </w:rPr>
        <w:t xml:space="preserve"> </w:t>
      </w:r>
      <w:r>
        <w:rPr>
          <w:iCs/>
          <w:i/>
        </w:rPr>
        <w:t xml:space="preserve">needs to describe how the investigators should report suspected serious</w:t>
      </w:r>
      <w:r>
        <w:rPr>
          <w:iCs/>
          <w:i/>
        </w:rPr>
        <w:t xml:space="preserve"> </w:t>
      </w:r>
      <w:r>
        <w:rPr>
          <w:iCs/>
          <w:i/>
        </w:rPr>
        <w:t xml:space="preserve">breaches to the sponsor.</w:t>
      </w:r>
    </w:p>
    <w:p>
      <w:pPr>
        <w:pStyle w:val="BodyText"/>
      </w:pPr>
      <w:r>
        <w:rPr>
          <w:iCs/>
          <w:i/>
        </w:rPr>
        <w:t xml:space="preserve">Serious breaches should be assessed by the sponsor and without undue</w:t>
      </w:r>
      <w:r>
        <w:rPr>
          <w:iCs/>
          <w:i/>
        </w:rPr>
        <w:t xml:space="preserve"> </w:t>
      </w:r>
      <w:r>
        <w:rPr>
          <w:iCs/>
          <w:i/>
        </w:rPr>
        <w:t xml:space="preserve">delay but at the latest within 7 days be reported by the sponsor to the</w:t>
      </w:r>
      <w:r>
        <w:rPr>
          <w:iCs/>
          <w:i/>
        </w:rPr>
        <w:t xml:space="preserve"> </w:t>
      </w:r>
      <w:r>
        <w:rPr>
          <w:iCs/>
          <w:i/>
        </w:rPr>
        <w:t xml:space="preserve">Swedish Medical Products Agency via CTIS. See also section 13,</w:t>
      </w:r>
      <w:r>
        <w:rPr>
          <w:iCs/>
          <w:i/>
        </w:rPr>
        <w:t xml:space="preserve"> </w:t>
      </w:r>
      <w:r>
        <w:rPr>
          <w:iCs/>
          <w:i/>
        </w:rPr>
        <w:t xml:space="preserve">Substantial changes to the trial.</w:t>
      </w:r>
    </w:p>
    <w:p>
      <w:pPr>
        <w:pStyle w:val="BodyText"/>
      </w:pPr>
      <w:r>
        <w:rPr>
          <w:iCs/>
          <w:i/>
        </w:rPr>
        <w:t xml:space="preserve">Link to Guideline for the notification of serious breaches of</w:t>
      </w:r>
      <w:r>
        <w:rPr>
          <w:iCs/>
          <w:i/>
        </w:rPr>
        <w:t xml:space="preserve"> </w:t>
      </w:r>
      <w:r>
        <w:rPr>
          <w:iCs/>
          <w:i/>
        </w:rPr>
        <w:t xml:space="preserve">Regulation (EU) No 536/2014 or the clinical trial protocol:</w:t>
      </w:r>
      <w:r>
        <w:rPr>
          <w:iCs/>
          <w:i/>
        </w:rPr>
        <w:t xml:space="preserve"> </w:t>
      </w:r>
      <w:hyperlink r:id="rId90">
        <w:r>
          <w:rPr>
            <w:rStyle w:val="Hyperlink"/>
            <w:iCs/>
            <w:i/>
          </w:rPr>
          <w:t xml:space="preserve">https://www.ema.europa.eu/en/documents/scientific-guideline/guideline-notification-serious-breaches-regulation-eu-no-536/2014-clinical-trial-protocol_en.pdf</w:t>
        </w:r>
      </w:hyperlink>
    </w:p>
    <w:p>
      <w:pPr>
        <w:pStyle w:val="BodyText"/>
      </w:pPr>
      <w:r>
        <w:rPr>
          <w:iCs/>
          <w:i/>
        </w:rPr>
        <w:t xml:space="preserve">The sponsor should notify the relevant Member States, via CTIS, of any</w:t>
      </w:r>
      <w:r>
        <w:rPr>
          <w:iCs/>
          <w:i/>
        </w:rPr>
        <w:t xml:space="preserve"> </w:t>
      </w:r>
      <w:r>
        <w:rPr>
          <w:iCs/>
          <w:i/>
        </w:rPr>
        <w:t xml:space="preserve">unexpected events that may affect the benefit/risk relationship of a</w:t>
      </w:r>
      <w:r>
        <w:rPr>
          <w:iCs/>
          <w:i/>
        </w:rPr>
        <w:t xml:space="preserve"> </w:t>
      </w:r>
      <w:r>
        <w:rPr>
          <w:iCs/>
          <w:i/>
        </w:rPr>
        <w:t xml:space="preserve">trial but are not suspected unexpected serious adverse reactions. This</w:t>
      </w:r>
      <w:r>
        <w:rPr>
          <w:iCs/>
          <w:i/>
        </w:rPr>
        <w:t xml:space="preserve"> </w:t>
      </w:r>
      <w:r>
        <w:rPr>
          <w:iCs/>
          <w:i/>
        </w:rPr>
        <w:t xml:space="preserve">should be done without undue delay, but no later than 15 days after the</w:t>
      </w:r>
      <w:r>
        <w:rPr>
          <w:iCs/>
          <w:i/>
        </w:rPr>
        <w:t xml:space="preserve"> </w:t>
      </w:r>
      <w:r>
        <w:rPr>
          <w:iCs/>
          <w:i/>
        </w:rPr>
        <w:t xml:space="preserve">sponsor becomes aware of the event.</w:t>
      </w:r>
    </w:p>
    <w:p>
      <w:pPr>
        <w:pStyle w:val="BodyText"/>
      </w:pPr>
      <w:r>
        <w:rPr>
          <w:iCs/>
          <w:i/>
        </w:rPr>
        <w:t xml:space="preserve">Text suggestion</w:t>
      </w:r>
      <w:r>
        <w:t xml:space="preserve">: The responsible investigator shall, without delay,</w:t>
      </w:r>
      <w:r>
        <w:t xml:space="preserve"> </w:t>
      </w:r>
      <w:r>
        <w:t xml:space="preserve">report to the sponsor any serious breaches and deviations from the trial</w:t>
      </w:r>
      <w:r>
        <w:t xml:space="preserve"> </w:t>
      </w:r>
      <w:r>
        <w:t xml:space="preserve">protocol, ICH-GCP and other regulations that significantly and directly</w:t>
      </w:r>
      <w:r>
        <w:t xml:space="preserve"> </w:t>
      </w:r>
      <w:r>
        <w:t xml:space="preserve">affect, or with high likelihood could affect, the subjects’ safety and</w:t>
      </w:r>
      <w:r>
        <w:t xml:space="preserve"> </w:t>
      </w:r>
      <w:r>
        <w:t xml:space="preserve">integrity or the reliability and robustness of the data generated in the</w:t>
      </w:r>
      <w:r>
        <w:t xml:space="preserve"> </w:t>
      </w:r>
      <w:r>
        <w:t xml:space="preserve">trial. The sponsor should assess the suspected serious breach and the</w:t>
      </w:r>
      <w:r>
        <w:t xml:space="preserve"> </w:t>
      </w:r>
      <w:r>
        <w:t xml:space="preserve">consequences of deviations that have occurred, and, without undue delay</w:t>
      </w:r>
      <w:r>
        <w:t xml:space="preserve"> </w:t>
      </w:r>
      <w:r>
        <w:t xml:space="preserve">but no later than 7 days (from knowledge) report these to the Swedish</w:t>
      </w:r>
      <w:r>
        <w:t xml:space="preserve"> </w:t>
      </w:r>
      <w:r>
        <w:t xml:space="preserve">Medical Products Agency via CTIS.</w:t>
      </w:r>
    </w:p>
    <w:p>
      <w:pPr>
        <w:pStyle w:val="BodyText"/>
      </w:pPr>
      <w:r>
        <w:t xml:space="preserve">Other unexpected events that may affect the benefit/risk relationship</w:t>
      </w:r>
      <w:r>
        <w:t xml:space="preserve"> </w:t>
      </w:r>
      <w:r>
        <w:t xml:space="preserve">must be reported via CTIS without undue delay, but no later than 15 days</w:t>
      </w:r>
      <w:r>
        <w:t xml:space="preserve"> </w:t>
      </w:r>
      <w:r>
        <w:t xml:space="preserve">after the sponsor becomes aware of the event.</w:t>
      </w:r>
    </w:p>
    <w:p>
      <w:pPr>
        <w:pStyle w:val="BodyText"/>
      </w:pPr>
      <w:r>
        <w:t xml:space="preserve">Minor deviations that do not affect subjects’ integrity or safety, nor</w:t>
      </w:r>
      <w:r>
        <w:t xml:space="preserve"> </w:t>
      </w:r>
      <w:r>
        <w:t xml:space="preserve">significantly affect the trial’s scientific value, are documented in the</w:t>
      </w:r>
      <w:r>
        <w:t xml:space="preserve"> </w:t>
      </w:r>
      <w:r>
        <w:t xml:space="preserve">trial documentation of the principal investigator and the sponsor and</w:t>
      </w:r>
      <w:r>
        <w:t xml:space="preserve"> </w:t>
      </w:r>
      <w:r>
        <w:t xml:space="preserve">appropriate measures shall be taken. The deviations must be recorded in</w:t>
      </w:r>
      <w:r>
        <w:t xml:space="preserve"> </w:t>
      </w:r>
      <w:r>
        <w:t xml:space="preserve">the clinical trial report.</w:t>
      </w:r>
    </w:p>
    <w:bookmarkEnd w:id="91"/>
    <w:bookmarkStart w:id="92" w:name="audits-and-inspections"/>
    <w:p>
      <w:pPr>
        <w:pStyle w:val="Heading2"/>
      </w:pPr>
      <w:r>
        <w:t xml:space="preserve">7.23 Audits and inspections</w:t>
      </w:r>
    </w:p>
    <w:p>
      <w:pPr>
        <w:pStyle w:val="FirstParagraph"/>
      </w:pPr>
      <w:r>
        <w:rPr>
          <w:iCs/>
          <w:i/>
        </w:rPr>
        <w:t xml:space="preserve">Text suggestion:</w:t>
      </w:r>
      <w:r>
        <w:t xml:space="preserve"> </w:t>
      </w:r>
      <w:r>
        <w:t xml:space="preserve">Authorized representatives for the sponsor and</w:t>
      </w:r>
      <w:r>
        <w:t xml:space="preserve"> </w:t>
      </w:r>
      <w:r>
        <w:t xml:space="preserve">Competent Authorities (CA) may carry out audits or inspections at the</w:t>
      </w:r>
      <w:r>
        <w:t xml:space="preserve"> </w:t>
      </w:r>
      <w:r>
        <w:t xml:space="preserve">trial site, including source data verification. The investigator must</w:t>
      </w:r>
      <w:r>
        <w:t xml:space="preserve"> </w:t>
      </w:r>
      <w:r>
        <w:t xml:space="preserve">ensure that all source documents are available for audits and</w:t>
      </w:r>
      <w:r>
        <w:t xml:space="preserve"> </w:t>
      </w:r>
      <w:r>
        <w:t xml:space="preserve">inspections. The purpose of an audit or inspection is to systematically</w:t>
      </w:r>
      <w:r>
        <w:t xml:space="preserve"> </w:t>
      </w:r>
      <w:r>
        <w:t xml:space="preserve">and independently review all trial-related activities and documents, to</w:t>
      </w:r>
      <w:r>
        <w:t xml:space="preserve"> </w:t>
      </w:r>
      <w:r>
        <w:t xml:space="preserve">determine whether these activities were performed, registered, analyzed</w:t>
      </w:r>
      <w:r>
        <w:t xml:space="preserve"> </w:t>
      </w:r>
      <w:r>
        <w:t xml:space="preserve">and reported correctly according to protocol, ICH- GCP and applicable</w:t>
      </w:r>
      <w:r>
        <w:t xml:space="preserve"> </w:t>
      </w:r>
      <w:r>
        <w:t xml:space="preserve">regulations.</w:t>
      </w:r>
    </w:p>
    <w:bookmarkEnd w:id="92"/>
    <w:bookmarkStart w:id="102" w:name="ethics"/>
    <w:p>
      <w:pPr>
        <w:pStyle w:val="Heading2"/>
      </w:pPr>
      <w:r>
        <w:t xml:space="preserve">7.24 Ethics</w:t>
      </w:r>
    </w:p>
    <w:bookmarkStart w:id="93" w:name="Xe0806e4a59e9522910932ff33dfe2dc5d651a67"/>
    <w:p>
      <w:pPr>
        <w:pStyle w:val="Heading3"/>
      </w:pPr>
      <w:r>
        <w:t xml:space="preserve">7.24.1 Compliance to the protocol, ICH-GCP and regulations</w:t>
      </w:r>
    </w:p>
    <w:p>
      <w:pPr>
        <w:pStyle w:val="FirstParagraph"/>
      </w:pPr>
      <w:r>
        <w:rPr>
          <w:iCs/>
          <w:i/>
        </w:rPr>
        <w:t xml:space="preserve">Text suggestion</w:t>
      </w:r>
      <w:r>
        <w:t xml:space="preserve">: The trial will be performed in compliance with this</w:t>
      </w:r>
      <w:r>
        <w:t xml:space="preserve"> </w:t>
      </w:r>
      <w:r>
        <w:t xml:space="preserve">clinical trial protocol, the EU regulation on clinical trials on</w:t>
      </w:r>
      <w:r>
        <w:t xml:space="preserve"> </w:t>
      </w:r>
      <w:r>
        <w:t xml:space="preserve">medicinal products for human use (536/2014), the Declaration of</w:t>
      </w:r>
      <w:r>
        <w:t xml:space="preserve"> </w:t>
      </w:r>
      <w:r>
        <w:t xml:space="preserve">Helsinki, ICH-GCP (Good Clinical Practice), and current national</w:t>
      </w:r>
      <w:r>
        <w:t xml:space="preserve"> </w:t>
      </w:r>
      <w:r>
        <w:t xml:space="preserve">regulations governing this clinical trial. This is to ensure the safety</w:t>
      </w:r>
      <w:r>
        <w:t xml:space="preserve"> </w:t>
      </w:r>
      <w:r>
        <w:t xml:space="preserve">and integrity of the trial subjects as well as the quality of the data</w:t>
      </w:r>
      <w:r>
        <w:t xml:space="preserve"> </w:t>
      </w:r>
      <w:r>
        <w:t xml:space="preserve">collected.</w:t>
      </w:r>
    </w:p>
    <w:bookmarkEnd w:id="93"/>
    <w:bookmarkStart w:id="94" w:name="ethical-review-of-the-trial"/>
    <w:p>
      <w:pPr>
        <w:pStyle w:val="Heading3"/>
      </w:pPr>
      <w:r>
        <w:t xml:space="preserve">7.24.2 Ethical review of the trial</w:t>
      </w:r>
    </w:p>
    <w:p>
      <w:pPr>
        <w:pStyle w:val="FirstParagraph"/>
      </w:pPr>
      <w:r>
        <w:t xml:space="preserve">It will not be possible for patients to opt out from being subjected to the intervention, because the intervention is delivered at the cluster level and involves training physicians in trauma life support, and these physicians cannot be expected to temporarily forget their training.</w:t>
      </w:r>
      <w:r>
        <w:t xml:space="preserve"> </w:t>
      </w:r>
      <w:r>
        <w:t xml:space="preserve">- We will apply for a waiver of informed consent from the ethical review boards at the participating hospitals. We do this because the target population will often have reduced decisional capacity at the time of data collection and the nature of the intervention is such that they can not refuse receiving it.</w:t>
      </w:r>
    </w:p>
    <w:p>
      <w:pPr>
        <w:pStyle w:val="BodyText"/>
      </w:pPr>
      <w:r>
        <w:t xml:space="preserve">Our research measure up to these issues for the following reasons. First, it cannot be conducted using informed consent because the cohort of patients with severe trauma is the group most likely to benefit from improvements in early management and it is therefore crucial to include this population.</w:t>
      </w:r>
    </w:p>
    <w:p>
      <w:pPr>
        <w:pStyle w:val="BodyText"/>
      </w:pPr>
      <w:r>
        <w:rPr>
          <w:iCs/>
          <w:i/>
        </w:rPr>
        <w:t xml:space="preserve">Describe the procedure for approval of the final clinical trial</w:t>
      </w:r>
      <w:r>
        <w:rPr>
          <w:iCs/>
          <w:i/>
        </w:rPr>
        <w:t xml:space="preserve"> </w:t>
      </w:r>
      <w:r>
        <w:rPr>
          <w:iCs/>
          <w:i/>
        </w:rPr>
        <w:t xml:space="preserve">protocol and informed consent form.</w:t>
      </w:r>
      <w:r>
        <w:t xml:space="preserve"> </w:t>
      </w:r>
      <w:r>
        <w:rPr>
          <w:iCs/>
          <w:i/>
        </w:rPr>
        <w:t xml:space="preserve">Application for permission for a</w:t>
      </w:r>
      <w:r>
        <w:rPr>
          <w:iCs/>
          <w:i/>
        </w:rPr>
        <w:t xml:space="preserve"> </w:t>
      </w:r>
      <w:r>
        <w:rPr>
          <w:iCs/>
          <w:i/>
        </w:rPr>
        <w:t xml:space="preserve">clinical trial on medicinal products from the Swedish Medical Products</w:t>
      </w:r>
      <w:r>
        <w:rPr>
          <w:iCs/>
          <w:i/>
        </w:rPr>
        <w:t xml:space="preserve"> </w:t>
      </w:r>
      <w:r>
        <w:rPr>
          <w:iCs/>
          <w:i/>
        </w:rPr>
        <w:t xml:space="preserve">Agency and the Swedish Ethical Review Authority is made via CTIS. The</w:t>
      </w:r>
      <w:r>
        <w:rPr>
          <w:iCs/>
          <w:i/>
        </w:rPr>
        <w:t xml:space="preserve"> </w:t>
      </w:r>
      <w:r>
        <w:rPr>
          <w:iCs/>
          <w:i/>
        </w:rPr>
        <w:t xml:space="preserve">Swedish Medical Products Agency has an obligation to forward the</w:t>
      </w:r>
      <w:r>
        <w:rPr>
          <w:iCs/>
          <w:i/>
        </w:rPr>
        <w:t xml:space="preserve"> </w:t>
      </w:r>
      <w:r>
        <w:rPr>
          <w:iCs/>
          <w:i/>
        </w:rPr>
        <w:t xml:space="preserve">application documents to the Swedish Ethical Review Authority. The</w:t>
      </w:r>
      <w:r>
        <w:rPr>
          <w:iCs/>
          <w:i/>
        </w:rPr>
        <w:t xml:space="preserve"> </w:t>
      </w:r>
      <w:r>
        <w:rPr>
          <w:iCs/>
          <w:i/>
        </w:rPr>
        <w:t xml:space="preserve">Swedish Ethical Review Authority submits its opinion on the application</w:t>
      </w:r>
      <w:r>
        <w:rPr>
          <w:iCs/>
          <w:i/>
        </w:rPr>
        <w:t xml:space="preserve"> </w:t>
      </w:r>
      <w:r>
        <w:rPr>
          <w:iCs/>
          <w:i/>
        </w:rPr>
        <w:t xml:space="preserve">back to the Swedish Medical Products Agency.</w:t>
      </w:r>
    </w:p>
    <w:p>
      <w:pPr>
        <w:pStyle w:val="BodyText"/>
      </w:pPr>
      <w:r>
        <w:rPr>
          <w:iCs/>
          <w:i/>
        </w:rPr>
        <w:t xml:space="preserve">Text suggestion</w:t>
      </w:r>
      <w:r>
        <w:t xml:space="preserve">: The final protocol for clinical trials on medicinal</w:t>
      </w:r>
      <w:r>
        <w:t xml:space="preserve"> </w:t>
      </w:r>
      <w:r>
        <w:t xml:space="preserve">products must be approved, as a part of the application for a permit for</w:t>
      </w:r>
      <w:r>
        <w:t xml:space="preserve"> </w:t>
      </w:r>
      <w:r>
        <w:t xml:space="preserve">clinical trials via CTIS, by both the Swedish Ethical Review Authority</w:t>
      </w:r>
      <w:r>
        <w:t xml:space="preserve"> </w:t>
      </w:r>
      <w:r>
        <w:t xml:space="preserve">and the Swedish Medical Products Agency before the trial can be</w:t>
      </w:r>
      <w:r>
        <w:t xml:space="preserve"> </w:t>
      </w:r>
      <w:r>
        <w:t xml:space="preserve">conducted. The final version of the informed consent form and other</w:t>
      </w:r>
      <w:r>
        <w:t xml:space="preserve"> </w:t>
      </w:r>
      <w:r>
        <w:t xml:space="preserve">information provided to subjects, must be approved or given a written</w:t>
      </w:r>
      <w:r>
        <w:t xml:space="preserve"> </w:t>
      </w:r>
      <w:r>
        <w:t xml:space="preserve">positive opinion by the Swedish Ethical Review Authority. The authority</w:t>
      </w:r>
      <w:r>
        <w:t xml:space="preserve"> </w:t>
      </w:r>
      <w:r>
        <w:t xml:space="preserve">must be informed via CTIS of any changes in the trial protocol in</w:t>
      </w:r>
      <w:r>
        <w:t xml:space="preserve"> </w:t>
      </w:r>
      <w:r>
        <w:t xml:space="preserve">accordance with current requirements.</w:t>
      </w:r>
      <w:r>
        <w:t xml:space="preserve"> </w:t>
      </w:r>
      <w:r>
        <w:rPr>
          <w:iCs/>
          <w:i/>
        </w:rPr>
        <w:t xml:space="preserve">See also section 13, Substantial</w:t>
      </w:r>
      <w:r>
        <w:rPr>
          <w:iCs/>
          <w:i/>
        </w:rPr>
        <w:t xml:space="preserve"> </w:t>
      </w:r>
      <w:r>
        <w:rPr>
          <w:iCs/>
          <w:i/>
        </w:rPr>
        <w:t xml:space="preserve">changes to the trial.</w:t>
      </w:r>
    </w:p>
    <w:bookmarkEnd w:id="94"/>
    <w:bookmarkStart w:id="97" w:name="procedure-for-obtaining-informed-consent"/>
    <w:p>
      <w:pPr>
        <w:pStyle w:val="Heading3"/>
      </w:pPr>
      <w:r>
        <w:t xml:space="preserve">7.24.3 Procedure for obtaining informed consent</w:t>
      </w:r>
    </w:p>
    <w:p>
      <w:pPr>
        <w:pStyle w:val="FirstParagraph"/>
      </w:pPr>
      <w:r>
        <w:rPr>
          <w:iCs/>
          <w:i/>
        </w:rPr>
        <w:t xml:space="preserve">Describe the procedure for how information is given to trial subjects</w:t>
      </w:r>
      <w:r>
        <w:rPr>
          <w:iCs/>
          <w:i/>
        </w:rPr>
        <w:t xml:space="preserve"> </w:t>
      </w:r>
      <w:r>
        <w:rPr>
          <w:iCs/>
          <w:i/>
        </w:rPr>
        <w:t xml:space="preserve">and how consent is obtained. For vulnerable groups see information on</w:t>
      </w:r>
      <w:r>
        <w:rPr>
          <w:iCs/>
          <w:i/>
        </w:rPr>
        <w:t xml:space="preserve"> </w:t>
      </w:r>
      <w:r>
        <w:rPr>
          <w:iCs/>
          <w:i/>
        </w:rPr>
        <w:t xml:space="preserve">the Swedish Medical Products Agency website</w:t>
      </w:r>
      <w:r>
        <w:rPr>
          <w:iCs/>
          <w:i/>
        </w:rPr>
        <w:t xml:space="preserve"> </w:t>
      </w:r>
      <w:r>
        <w:rPr>
          <w:iCs/>
          <w:i/>
        </w:rPr>
        <w:t xml:space="preserve">(</w:t>
      </w:r>
      <w:hyperlink r:id="rId95">
        <w:r>
          <w:rPr>
            <w:rStyle w:val="Hyperlink"/>
            <w:iCs/>
            <w:i/>
          </w:rPr>
          <w:t xml:space="preserve">link</w:t>
        </w:r>
      </w:hyperlink>
      <w:r>
        <w:rPr>
          <w:iCs/>
          <w:i/>
        </w:rPr>
        <w:t xml:space="preserve">)</w:t>
      </w:r>
      <w:r>
        <w:rPr>
          <w:iCs/>
          <w:i/>
        </w:rPr>
        <w:t xml:space="preserve"> </w:t>
      </w:r>
      <w:r>
        <w:rPr>
          <w:iCs/>
          <w:i/>
        </w:rPr>
        <w:t xml:space="preserve">and Chapter V of the</w:t>
      </w:r>
      <w:r>
        <w:rPr>
          <w:iCs/>
          <w:i/>
        </w:rPr>
        <w:t xml:space="preserve"> </w:t>
      </w:r>
      <w:hyperlink r:id="rId96">
        <w:r>
          <w:rPr>
            <w:rStyle w:val="Hyperlink"/>
            <w:iCs/>
            <w:i/>
          </w:rPr>
          <w:t xml:space="preserve">CTR</w:t>
        </w:r>
      </w:hyperlink>
      <w:r>
        <w:rPr>
          <w:iCs/>
          <w:i/>
        </w:rPr>
        <w:t xml:space="preserve">.</w:t>
      </w:r>
    </w:p>
    <w:p>
      <w:pPr>
        <w:pStyle w:val="BodyText"/>
      </w:pPr>
      <w:r>
        <w:rPr>
          <w:iCs/>
          <w:i/>
        </w:rPr>
        <w:t xml:space="preserve">Remember to adapt and describe the procedure based on whether the</w:t>
      </w:r>
      <w:r>
        <w:rPr>
          <w:iCs/>
          <w:i/>
        </w:rPr>
        <w:t xml:space="preserve"> </w:t>
      </w:r>
      <w:r>
        <w:rPr>
          <w:iCs/>
          <w:i/>
        </w:rPr>
        <w:t xml:space="preserve">subject is a child. In trials where minors participate, the consent of</w:t>
      </w:r>
      <w:r>
        <w:rPr>
          <w:iCs/>
          <w:i/>
        </w:rPr>
        <w:t xml:space="preserve"> </w:t>
      </w:r>
      <w:r>
        <w:rPr>
          <w:iCs/>
          <w:i/>
        </w:rPr>
        <w:t xml:space="preserve">both parents (legal representatives of the minor) must be obtained.</w:t>
      </w:r>
      <w:r>
        <w:rPr>
          <w:iCs/>
          <w:i/>
        </w:rPr>
        <w:t xml:space="preserve"> </w:t>
      </w:r>
      <w:r>
        <w:rPr>
          <w:iCs/>
          <w:i/>
        </w:rPr>
        <w:t xml:space="preserve">According to the Medicines Act, a minor who has reached the age of 15</w:t>
      </w:r>
      <w:r>
        <w:rPr>
          <w:iCs/>
          <w:i/>
        </w:rPr>
        <w:t xml:space="preserve"> </w:t>
      </w:r>
      <w:r>
        <w:rPr>
          <w:iCs/>
          <w:i/>
        </w:rPr>
        <w:t xml:space="preserve">must also give his or her informed consent to participate in the</w:t>
      </w:r>
      <w:r>
        <w:rPr>
          <w:iCs/>
          <w:i/>
        </w:rPr>
        <w:t xml:space="preserve"> </w:t>
      </w:r>
      <w:r>
        <w:rPr>
          <w:iCs/>
          <w:i/>
        </w:rPr>
        <w:t xml:space="preserve">clinical trial of a medicinal product, provided that the minor</w:t>
      </w:r>
      <w:r>
        <w:rPr>
          <w:iCs/>
          <w:i/>
        </w:rPr>
        <w:t xml:space="preserve"> </w:t>
      </w:r>
      <w:r>
        <w:rPr>
          <w:iCs/>
          <w:i/>
        </w:rPr>
        <w:t xml:space="preserve">understands the implications of the trial for him or her. In Sweden, a</w:t>
      </w:r>
      <w:r>
        <w:rPr>
          <w:iCs/>
          <w:i/>
        </w:rPr>
        <w:t xml:space="preserve"> </w:t>
      </w:r>
      <w:r>
        <w:rPr>
          <w:iCs/>
          <w:i/>
        </w:rPr>
        <w:t xml:space="preserve">minor means a person younger than 18 years of age.</w:t>
      </w:r>
    </w:p>
    <w:p>
      <w:pPr>
        <w:pStyle w:val="BodyText"/>
      </w:pPr>
      <w:r>
        <w:rPr>
          <w:iCs/>
          <w:i/>
        </w:rPr>
        <w:t xml:space="preserve">The principal investigator (or the person to whom the task has been</w:t>
      </w:r>
      <w:r>
        <w:rPr>
          <w:iCs/>
          <w:i/>
        </w:rPr>
        <w:t xml:space="preserve"> </w:t>
      </w:r>
      <w:r>
        <w:rPr>
          <w:iCs/>
          <w:i/>
        </w:rPr>
        <w:t xml:space="preserve">delegated) must provide both oral and written information to the</w:t>
      </w:r>
      <w:r>
        <w:rPr>
          <w:iCs/>
          <w:i/>
        </w:rPr>
        <w:t xml:space="preserve"> </w:t>
      </w:r>
      <w:r>
        <w:rPr>
          <w:iCs/>
          <w:i/>
        </w:rPr>
        <w:t xml:space="preserve">intended subject regarding what participation in the trial entails. Keep</w:t>
      </w:r>
      <w:r>
        <w:rPr>
          <w:iCs/>
          <w:i/>
        </w:rPr>
        <w:t xml:space="preserve"> </w:t>
      </w:r>
      <w:r>
        <w:rPr>
          <w:iCs/>
          <w:i/>
        </w:rPr>
        <w:t xml:space="preserve">in mind that in a clinical trial for investigational medicinal products,</w:t>
      </w:r>
      <w:r>
        <w:rPr>
          <w:iCs/>
          <w:i/>
        </w:rPr>
        <w:t xml:space="preserve"> </w:t>
      </w:r>
      <w:r>
        <w:rPr>
          <w:iCs/>
          <w:i/>
        </w:rPr>
        <w:t xml:space="preserve">informed consent must be obtained by a licensed physician.</w:t>
      </w:r>
    </w:p>
    <w:p>
      <w:pPr>
        <w:pStyle w:val="BodyText"/>
      </w:pPr>
      <w:r>
        <w:rPr>
          <w:iCs/>
          <w:i/>
        </w:rPr>
        <w:t xml:space="preserve">A copy of the subject information as well as the signed informed</w:t>
      </w:r>
      <w:r>
        <w:rPr>
          <w:iCs/>
          <w:i/>
        </w:rPr>
        <w:t xml:space="preserve"> </w:t>
      </w:r>
      <w:r>
        <w:rPr>
          <w:iCs/>
          <w:i/>
        </w:rPr>
        <w:t xml:space="preserve">consent form shall be provided to the subject.</w:t>
      </w:r>
    </w:p>
    <w:p>
      <w:pPr>
        <w:pStyle w:val="BodyText"/>
      </w:pPr>
      <w:r>
        <w:rPr>
          <w:iCs/>
          <w:i/>
        </w:rPr>
        <w:t xml:space="preserve">If the subject information changes during the trial execution, the</w:t>
      </w:r>
      <w:r>
        <w:rPr>
          <w:iCs/>
          <w:i/>
        </w:rPr>
        <w:t xml:space="preserve"> </w:t>
      </w:r>
      <w:r>
        <w:rPr>
          <w:iCs/>
          <w:i/>
        </w:rPr>
        <w:t xml:space="preserve">subject has the right to once again decide whether he/she would like to</w:t>
      </w:r>
      <w:r>
        <w:rPr>
          <w:iCs/>
          <w:i/>
        </w:rPr>
        <w:t xml:space="preserve"> </w:t>
      </w:r>
      <w:r>
        <w:rPr>
          <w:iCs/>
          <w:i/>
        </w:rPr>
        <w:t xml:space="preserve">continue their participation. This occurs by allowing the subject to</w:t>
      </w:r>
      <w:r>
        <w:rPr>
          <w:iCs/>
          <w:i/>
        </w:rPr>
        <w:t xml:space="preserve"> </w:t>
      </w:r>
      <w:r>
        <w:rPr>
          <w:iCs/>
          <w:i/>
        </w:rPr>
        <w:t xml:space="preserve">sign a revised subject information and informed consent form.</w:t>
      </w:r>
    </w:p>
    <w:p>
      <w:pPr>
        <w:pStyle w:val="BodyText"/>
      </w:pPr>
      <w:r>
        <w:rPr>
          <w:iCs/>
          <w:i/>
        </w:rPr>
        <w:t xml:space="preserve">Text suggestion</w:t>
      </w:r>
      <w:r>
        <w:t xml:space="preserve">: The principal investigator at each site shall ensure</w:t>
      </w:r>
      <w:r>
        <w:t xml:space="preserve"> </w:t>
      </w:r>
      <w:r>
        <w:t xml:space="preserve">that the subject is given full and adequate oral and written information</w:t>
      </w:r>
      <w:r>
        <w:t xml:space="preserve"> </w:t>
      </w:r>
      <w:r>
        <w:t xml:space="preserve">about the trial, its purpose, any risks and benefits as well as</w:t>
      </w:r>
      <w:r>
        <w:t xml:space="preserve"> </w:t>
      </w:r>
      <w:r>
        <w:t xml:space="preserve">inclusion and exclusion criteria. Subjects must also be informed that</w:t>
      </w:r>
      <w:r>
        <w:t xml:space="preserve"> </w:t>
      </w:r>
      <w:r>
        <w:t xml:space="preserve">they are free to discontinue their participation in the trial at any</w:t>
      </w:r>
      <w:r>
        <w:t xml:space="preserve"> </w:t>
      </w:r>
      <w:r>
        <w:t xml:space="preserve">time without having to provide a reason. Subjects should be given the</w:t>
      </w:r>
      <w:r>
        <w:t xml:space="preserve"> </w:t>
      </w:r>
      <w:r>
        <w:t xml:space="preserve">opportunity to ask questions and be allowed time to consider the</w:t>
      </w:r>
      <w:r>
        <w:t xml:space="preserve"> </w:t>
      </w:r>
      <w:r>
        <w:t xml:space="preserve">provided information. If the person chooses to participate, both the</w:t>
      </w:r>
      <w:r>
        <w:t xml:space="preserve"> </w:t>
      </w:r>
      <w:r>
        <w:t xml:space="preserve">subject and the investigator shall sign the informed consent form. A</w:t>
      </w:r>
      <w:r>
        <w:t xml:space="preserve"> </w:t>
      </w:r>
      <w:r>
        <w:t xml:space="preserve">copy of the subject information as well as the informed consent form</w:t>
      </w:r>
      <w:r>
        <w:t xml:space="preserve"> </w:t>
      </w:r>
      <w:r>
        <w:t xml:space="preserve">shall be provided to the subject. The subject’s signed and dated</w:t>
      </w:r>
      <w:r>
        <w:t xml:space="preserve"> </w:t>
      </w:r>
      <w:r>
        <w:t xml:space="preserve">informed consent must be obtained before any trial-specific activity is</w:t>
      </w:r>
      <w:r>
        <w:t xml:space="preserve"> </w:t>
      </w:r>
      <w:r>
        <w:t xml:space="preserve">performed. Each subject who participates in the trial will be identified</w:t>
      </w:r>
      <w:r>
        <w:t xml:space="preserve"> </w:t>
      </w:r>
      <w:r>
        <w:t xml:space="preserve">by a subject number on a subject identification list. The subject agrees</w:t>
      </w:r>
      <w:r>
        <w:t xml:space="preserve"> </w:t>
      </w:r>
      <w:r>
        <w:t xml:space="preserve">that monitors, auditors, and inspectors may have access to their medical</w:t>
      </w:r>
      <w:r>
        <w:t xml:space="preserve"> </w:t>
      </w:r>
      <w:r>
        <w:t xml:space="preserve">records and other source data. If new information is added to the trial,</w:t>
      </w:r>
      <w:r>
        <w:t xml:space="preserve"> </w:t>
      </w:r>
      <w:r>
        <w:t xml:space="preserve">the subject has the right to reconsider whether he/she will continue</w:t>
      </w:r>
      <w:r>
        <w:t xml:space="preserve"> </w:t>
      </w:r>
      <w:r>
        <w:t xml:space="preserve">their participation.</w:t>
      </w:r>
    </w:p>
    <w:bookmarkEnd w:id="97"/>
    <w:bookmarkStart w:id="98" w:name="data-protection"/>
    <w:p>
      <w:pPr>
        <w:pStyle w:val="Heading3"/>
      </w:pPr>
      <w:r>
        <w:t xml:space="preserve">7.24.4 Data protection</w:t>
      </w:r>
    </w:p>
    <w:p>
      <w:pPr>
        <w:pStyle w:val="FirstParagraph"/>
      </w:pPr>
      <w:r>
        <w:rPr>
          <w:iCs/>
          <w:i/>
        </w:rPr>
        <w:t xml:space="preserve">The General Data Protection Regulation (GDPR) has strengthened the data</w:t>
      </w:r>
      <w:r>
        <w:rPr>
          <w:iCs/>
          <w:i/>
        </w:rPr>
        <w:t xml:space="preserve"> </w:t>
      </w:r>
      <w:r>
        <w:rPr>
          <w:iCs/>
          <w:i/>
        </w:rPr>
        <w:t xml:space="preserve">subject’s rights and given increased responsibility to those responsible</w:t>
      </w:r>
      <w:r>
        <w:rPr>
          <w:iCs/>
          <w:i/>
        </w:rPr>
        <w:t xml:space="preserve"> </w:t>
      </w:r>
      <w:r>
        <w:rPr>
          <w:iCs/>
          <w:i/>
        </w:rPr>
        <w:t xml:space="preserve">for data collection. This means that when collecting research data, it</w:t>
      </w:r>
      <w:r>
        <w:rPr>
          <w:iCs/>
          <w:i/>
        </w:rPr>
        <w:t xml:space="preserve"> </w:t>
      </w:r>
      <w:r>
        <w:rPr>
          <w:iCs/>
          <w:i/>
        </w:rPr>
        <w:t xml:space="preserve">is necessary to decide whether the data collection is legal, correct,</w:t>
      </w:r>
      <w:r>
        <w:rPr>
          <w:iCs/>
          <w:i/>
        </w:rPr>
        <w:t xml:space="preserve"> </w:t>
      </w:r>
      <w:r>
        <w:rPr>
          <w:iCs/>
          <w:i/>
        </w:rPr>
        <w:t xml:space="preserve">appropriate, that integrity and confidentiality are considered and that</w:t>
      </w:r>
      <w:r>
        <w:rPr>
          <w:iCs/>
          <w:i/>
        </w:rPr>
        <w:t xml:space="preserve"> </w:t>
      </w:r>
      <w:r>
        <w:rPr>
          <w:iCs/>
          <w:i/>
        </w:rPr>
        <w:t xml:space="preserve">no more information than necessary is collected, as well as that no more</w:t>
      </w:r>
      <w:r>
        <w:rPr>
          <w:iCs/>
          <w:i/>
        </w:rPr>
        <w:t xml:space="preserve"> </w:t>
      </w:r>
      <w:r>
        <w:rPr>
          <w:iCs/>
          <w:i/>
        </w:rPr>
        <w:t xml:space="preserve">persons than necessarily have access to the data. There should be a</w:t>
      </w:r>
      <w:r>
        <w:rPr>
          <w:iCs/>
          <w:i/>
        </w:rPr>
        <w:t xml:space="preserve"> </w:t>
      </w:r>
      <w:r>
        <w:rPr>
          <w:iCs/>
          <w:i/>
        </w:rPr>
        <w:t xml:space="preserve">lawful ground for data collection, which for research is for public</w:t>
      </w:r>
      <w:r>
        <w:rPr>
          <w:iCs/>
          <w:i/>
        </w:rPr>
        <w:t xml:space="preserve"> </w:t>
      </w:r>
      <w:r>
        <w:rPr>
          <w:iCs/>
          <w:i/>
        </w:rPr>
        <w:t xml:space="preserve">interest.</w:t>
      </w:r>
    </w:p>
    <w:p>
      <w:pPr>
        <w:pStyle w:val="BodyText"/>
      </w:pPr>
      <w:r>
        <w:rPr>
          <w:iCs/>
          <w:i/>
        </w:rPr>
        <w:t xml:space="preserve">The personal data controller is obliged to take measures to ensure that</w:t>
      </w:r>
      <w:r>
        <w:rPr>
          <w:iCs/>
          <w:i/>
        </w:rPr>
        <w:t xml:space="preserve"> </w:t>
      </w:r>
      <w:r>
        <w:rPr>
          <w:iCs/>
          <w:i/>
        </w:rPr>
        <w:t xml:space="preserve">the GDPR regulation is followed, to describe built-in data protection</w:t>
      </w:r>
      <w:r>
        <w:rPr>
          <w:iCs/>
          <w:i/>
        </w:rPr>
        <w:t xml:space="preserve"> </w:t>
      </w:r>
      <w:r>
        <w:rPr>
          <w:iCs/>
          <w:i/>
        </w:rPr>
        <w:t xml:space="preserve">features and security when processing and to report personal data</w:t>
      </w:r>
      <w:r>
        <w:rPr>
          <w:iCs/>
          <w:i/>
        </w:rPr>
        <w:t xml:space="preserve"> </w:t>
      </w:r>
      <w:r>
        <w:rPr>
          <w:iCs/>
          <w:i/>
        </w:rPr>
        <w:t xml:space="preserve">breaches.</w:t>
      </w:r>
    </w:p>
    <w:p>
      <w:pPr>
        <w:pStyle w:val="BodyText"/>
      </w:pPr>
      <w:r>
        <w:rPr>
          <w:iCs/>
          <w:i/>
        </w:rPr>
        <w:t xml:space="preserve">Appropriate technical and organisational measures shall be taken to</w:t>
      </w:r>
      <w:r>
        <w:rPr>
          <w:iCs/>
          <w:i/>
        </w:rPr>
        <w:t xml:space="preserve"> </w:t>
      </w:r>
      <w:r>
        <w:rPr>
          <w:iCs/>
          <w:i/>
        </w:rPr>
        <w:t xml:space="preserve">protect the personal data and processed information from unauthorised</w:t>
      </w:r>
      <w:r>
        <w:rPr>
          <w:iCs/>
          <w:i/>
        </w:rPr>
        <w:t xml:space="preserve"> </w:t>
      </w:r>
      <w:r>
        <w:rPr>
          <w:iCs/>
          <w:i/>
        </w:rPr>
        <w:t xml:space="preserve">access, disclosure, dissemination, alteration or destruction and from</w:t>
      </w:r>
      <w:r>
        <w:rPr>
          <w:iCs/>
          <w:i/>
        </w:rPr>
        <w:t xml:space="preserve"> </w:t>
      </w:r>
      <w:r>
        <w:rPr>
          <w:iCs/>
          <w:i/>
        </w:rPr>
        <w:t xml:space="preserve">accidental loss, in particular where the processing involves the</w:t>
      </w:r>
      <w:r>
        <w:rPr>
          <w:iCs/>
          <w:i/>
        </w:rPr>
        <w:t xml:space="preserve"> </w:t>
      </w:r>
      <w:r>
        <w:rPr>
          <w:iCs/>
          <w:i/>
        </w:rPr>
        <w:t xml:space="preserve">transmission of data over a network.</w:t>
      </w:r>
    </w:p>
    <w:p>
      <w:pPr>
        <w:pStyle w:val="BodyText"/>
      </w:pPr>
      <w:r>
        <w:rPr>
          <w:iCs/>
          <w:i/>
        </w:rPr>
        <w:t xml:space="preserve">Text suggestion:</w:t>
      </w:r>
      <w:r>
        <w:t xml:space="preserve"> </w:t>
      </w:r>
      <w:r>
        <w:t xml:space="preserve">If any part of the data is processed by another</w:t>
      </w:r>
      <w:r>
        <w:t xml:space="preserve"> </w:t>
      </w:r>
      <w:r>
        <w:t xml:space="preserve">organization, inside or outside the EU, appropriate agreements and/or</w:t>
      </w:r>
      <w:r>
        <w:t xml:space="preserve"> </w:t>
      </w:r>
      <w:r>
        <w:t xml:space="preserve">other appropriate protective measures are taken to ensure that the data</w:t>
      </w:r>
      <w:r>
        <w:t xml:space="preserve"> </w:t>
      </w:r>
      <w:r>
        <w:t xml:space="preserve">processing is performed in accordance with the provisions of the General</w:t>
      </w:r>
      <w:r>
        <w:t xml:space="preserve"> </w:t>
      </w:r>
      <w:r>
        <w:t xml:space="preserve">Data Protection Regulation (GDPR) and other relevant legislation, before</w:t>
      </w:r>
      <w:r>
        <w:t xml:space="preserve"> </w:t>
      </w:r>
      <w:r>
        <w:t xml:space="preserve">any data transfer takes place.</w:t>
      </w:r>
    </w:p>
    <w:p>
      <w:pPr>
        <w:pStyle w:val="BodyText"/>
      </w:pPr>
      <w:r>
        <w:t xml:space="preserve">In the information provided to subjects, subjects will be fully informed</w:t>
      </w:r>
      <w:r>
        <w:t xml:space="preserve"> </w:t>
      </w:r>
      <w:r>
        <w:t xml:space="preserve">about how their trial data will be collected, used and disclosed. The</w:t>
      </w:r>
      <w:r>
        <w:t xml:space="preserve"> </w:t>
      </w:r>
      <w:r>
        <w:t xml:space="preserve">content of the informed consent form complies with relevant integrity</w:t>
      </w:r>
      <w:r>
        <w:t xml:space="preserve"> </w:t>
      </w:r>
      <w:r>
        <w:t xml:space="preserve">and data protection legislation. The subject information and the</w:t>
      </w:r>
      <w:r>
        <w:t xml:space="preserve"> </w:t>
      </w:r>
      <w:r>
        <w:t xml:space="preserve">informed consent form will explain how trial data are stored to maintain</w:t>
      </w:r>
      <w:r>
        <w:t xml:space="preserve"> </w:t>
      </w:r>
      <w:r>
        <w:t xml:space="preserve">confidentiality in accordance with national data legislation</w:t>
      </w:r>
      <w:r>
        <w:t xml:space="preserve"> </w:t>
      </w:r>
      <w:r>
        <w:rPr>
          <w:iCs/>
          <w:i/>
        </w:rPr>
        <w:t xml:space="preserve">(please</w:t>
      </w:r>
      <w:r>
        <w:rPr>
          <w:iCs/>
          <w:i/>
        </w:rPr>
        <w:t xml:space="preserve"> </w:t>
      </w:r>
      <w:r>
        <w:rPr>
          <w:iCs/>
          <w:i/>
        </w:rPr>
        <w:t xml:space="preserve">describe how data is stored and which data security measures are</w:t>
      </w:r>
      <w:r>
        <w:rPr>
          <w:iCs/>
          <w:i/>
        </w:rPr>
        <w:t xml:space="preserve"> </w:t>
      </w:r>
      <w:r>
        <w:rPr>
          <w:iCs/>
          <w:i/>
        </w:rPr>
        <w:t xml:space="preserve">taken).</w:t>
      </w:r>
      <w:r>
        <w:t xml:space="preserve"> </w:t>
      </w:r>
      <w:r>
        <w:t xml:space="preserve">All information processed by the sponsor will be pseudonymized</w:t>
      </w:r>
      <w:r>
        <w:t xml:space="preserve"> </w:t>
      </w:r>
      <w:r>
        <w:rPr>
          <w:iCs/>
          <w:i/>
        </w:rPr>
        <w:t xml:space="preserve">and identified with &lt;&lt;Trial code/Trial ID/Initials&gt;&gt;</w:t>
      </w:r>
      <w:r>
        <w:t xml:space="preserve">.</w:t>
      </w:r>
    </w:p>
    <w:p>
      <w:pPr>
        <w:pStyle w:val="BodyText"/>
      </w:pPr>
      <w:r>
        <w:t xml:space="preserve">The informed consent form will also explain that for verification of the</w:t>
      </w:r>
      <w:r>
        <w:t xml:space="preserve"> </w:t>
      </w:r>
      <w:r>
        <w:t xml:space="preserve">data, representatives delegated by the sponsor, as well as relevant</w:t>
      </w:r>
      <w:r>
        <w:t xml:space="preserve"> </w:t>
      </w:r>
      <w:r>
        <w:t xml:space="preserve">authorities, may require access to parts of medical records or trial</w:t>
      </w:r>
      <w:r>
        <w:t xml:space="preserve"> </w:t>
      </w:r>
      <w:r>
        <w:t xml:space="preserve">records that are relevant to the trial, including the subject’s medical</w:t>
      </w:r>
      <w:r>
        <w:t xml:space="preserve"> </w:t>
      </w:r>
      <w:r>
        <w:t xml:space="preserve">history.</w:t>
      </w:r>
    </w:p>
    <w:bookmarkEnd w:id="98"/>
    <w:bookmarkStart w:id="101" w:name="insurances"/>
    <w:p>
      <w:pPr>
        <w:pStyle w:val="Heading3"/>
      </w:pPr>
      <w:r>
        <w:t xml:space="preserve">7.24.5 Insurances</w:t>
      </w:r>
    </w:p>
    <w:p>
      <w:pPr>
        <w:pStyle w:val="FirstParagraph"/>
      </w:pPr>
      <w:r>
        <w:rPr>
          <w:iCs/>
          <w:i/>
        </w:rPr>
        <w:t xml:space="preserve">Here it should be explained how subjects are insured throughout the</w:t>
      </w:r>
      <w:r>
        <w:rPr>
          <w:iCs/>
          <w:i/>
        </w:rPr>
        <w:t xml:space="preserve"> </w:t>
      </w:r>
      <w:r>
        <w:rPr>
          <w:iCs/>
          <w:i/>
        </w:rPr>
        <w:t xml:space="preserve">trial. Check if subjects are insured through the Swedish patient</w:t>
      </w:r>
      <w:r>
        <w:rPr>
          <w:iCs/>
          <w:i/>
        </w:rPr>
        <w:t xml:space="preserve"> </w:t>
      </w:r>
      <w:r>
        <w:rPr>
          <w:iCs/>
          <w:i/>
        </w:rPr>
        <w:t xml:space="preserve">insurance and whether Swedish pharmaceutical insurance is valid for the</w:t>
      </w:r>
      <w:r>
        <w:rPr>
          <w:iCs/>
          <w:i/>
        </w:rPr>
        <w:t xml:space="preserve"> </w:t>
      </w:r>
      <w:r>
        <w:rPr>
          <w:iCs/>
          <w:i/>
        </w:rPr>
        <w:t xml:space="preserve">investigational medicinal product(s). Alternatively, discuss with your</w:t>
      </w:r>
      <w:r>
        <w:rPr>
          <w:iCs/>
          <w:i/>
        </w:rPr>
        <w:t xml:space="preserve"> </w:t>
      </w:r>
      <w:r>
        <w:rPr>
          <w:iCs/>
          <w:i/>
        </w:rPr>
        <w:t xml:space="preserve">organization if there are existing insurance policies.</w:t>
      </w:r>
    </w:p>
    <w:p>
      <w:pPr>
        <w:pStyle w:val="BodyText"/>
      </w:pPr>
      <w:r>
        <w:rPr>
          <w:iCs/>
          <w:i/>
        </w:rPr>
        <w:t xml:space="preserve">Swedish Patient Insurance (Patientskadeförsäkring): The Swedish</w:t>
      </w:r>
      <w:r>
        <w:rPr>
          <w:iCs/>
          <w:i/>
        </w:rPr>
        <w:t xml:space="preserve"> </w:t>
      </w:r>
      <w:r>
        <w:rPr>
          <w:iCs/>
          <w:i/>
        </w:rPr>
        <w:t xml:space="preserve">healthcare regions have signed a patient insurance with Landstingens</w:t>
      </w:r>
      <w:r>
        <w:rPr>
          <w:iCs/>
          <w:i/>
        </w:rPr>
        <w:t xml:space="preserve"> </w:t>
      </w:r>
      <w:r>
        <w:rPr>
          <w:iCs/>
          <w:i/>
        </w:rPr>
        <w:t xml:space="preserve">Ömsesidiga Försäkringsbolag, Löf. Check what applies to medical research</w:t>
      </w:r>
      <w:r>
        <w:rPr>
          <w:iCs/>
          <w:i/>
        </w:rPr>
        <w:t xml:space="preserve"> </w:t>
      </w:r>
      <w:r>
        <w:rPr>
          <w:iCs/>
          <w:i/>
        </w:rPr>
        <w:t xml:space="preserve">at</w:t>
      </w:r>
      <w:r>
        <w:rPr>
          <w:iCs/>
          <w:i/>
        </w:rPr>
        <w:t xml:space="preserve"> </w:t>
      </w:r>
      <w:hyperlink r:id="rId99">
        <w:r>
          <w:rPr>
            <w:rStyle w:val="Hyperlink"/>
            <w:iCs/>
            <w:i/>
          </w:rPr>
          <w:t xml:space="preserve">www.lof.se</w:t>
        </w:r>
      </w:hyperlink>
      <w:r>
        <w:rPr>
          <w:iCs/>
          <w:i/>
        </w:rPr>
        <w:t xml:space="preserve">.</w:t>
      </w:r>
    </w:p>
    <w:p>
      <w:pPr>
        <w:pStyle w:val="BodyText"/>
      </w:pPr>
      <w:r>
        <w:rPr>
          <w:iCs/>
          <w:i/>
        </w:rPr>
        <w:t xml:space="preserve">Swedish Pharmaceutical Insurance (Läkemedelsförsäkring): All marketed</w:t>
      </w:r>
      <w:r>
        <w:rPr>
          <w:iCs/>
          <w:i/>
        </w:rPr>
        <w:t xml:space="preserve"> </w:t>
      </w:r>
      <w:r>
        <w:rPr>
          <w:iCs/>
          <w:i/>
        </w:rPr>
        <w:t xml:space="preserve">investigational medicinal products do not automatically have a Swedish</w:t>
      </w:r>
      <w:r>
        <w:rPr>
          <w:iCs/>
          <w:i/>
        </w:rPr>
        <w:t xml:space="preserve"> </w:t>
      </w:r>
      <w:r>
        <w:rPr>
          <w:iCs/>
          <w:i/>
        </w:rPr>
        <w:t xml:space="preserve">Pharmaceutical Insurance. Check if the product is covered by the drug</w:t>
      </w:r>
      <w:r>
        <w:rPr>
          <w:iCs/>
          <w:i/>
        </w:rPr>
        <w:t xml:space="preserve"> </w:t>
      </w:r>
      <w:r>
        <w:rPr>
          <w:iCs/>
          <w:i/>
        </w:rPr>
        <w:t xml:space="preserve">insurance at</w:t>
      </w:r>
      <w:r>
        <w:rPr>
          <w:iCs/>
          <w:i/>
        </w:rPr>
        <w:t xml:space="preserve"> </w:t>
      </w:r>
      <w:hyperlink r:id="rId100">
        <w:r>
          <w:rPr>
            <w:rStyle w:val="Hyperlink"/>
            <w:iCs/>
            <w:i/>
          </w:rPr>
          <w:t xml:space="preserve">lff.se</w:t>
        </w:r>
      </w:hyperlink>
      <w:r>
        <w:rPr>
          <w:iCs/>
          <w:i/>
        </w:rPr>
        <w:t xml:space="preserve"> </w:t>
      </w:r>
      <w:r>
        <w:rPr>
          <w:iCs/>
          <w:i/>
        </w:rPr>
        <w:t xml:space="preserve">and that the insurance also</w:t>
      </w:r>
      <w:r>
        <w:rPr>
          <w:iCs/>
          <w:i/>
        </w:rPr>
        <w:t xml:space="preserve"> </w:t>
      </w:r>
      <w:r>
        <w:rPr>
          <w:iCs/>
          <w:i/>
        </w:rPr>
        <w:t xml:space="preserve">covers clinical trials.</w:t>
      </w:r>
    </w:p>
    <w:bookmarkEnd w:id="101"/>
    <w:bookmarkEnd w:id="102"/>
    <w:bookmarkEnd w:id="103"/>
    <w:bookmarkStart w:id="105" w:name="substantial-changes-to-the-trial"/>
    <w:p>
      <w:pPr>
        <w:pStyle w:val="Heading1"/>
      </w:pPr>
      <w:r>
        <w:t xml:space="preserve">8. Substantial changes to the trial</w:t>
      </w:r>
    </w:p>
    <w:p>
      <w:pPr>
        <w:pStyle w:val="FirstParagraph"/>
      </w:pPr>
      <w:r>
        <w:rPr>
          <w:iCs/>
          <w:i/>
        </w:rPr>
        <w:t xml:space="preserve">This section describes how to handle substantial changes in the trial.</w:t>
      </w:r>
      <w:r>
        <w:rPr>
          <w:iCs/>
          <w:i/>
        </w:rPr>
        <w:t xml:space="preserve"> </w:t>
      </w:r>
      <w:r>
        <w:rPr>
          <w:iCs/>
          <w:i/>
        </w:rPr>
        <w:t xml:space="preserve">Substantial changes include changes that:</w:t>
      </w:r>
    </w:p>
    <w:p>
      <w:pPr>
        <w:numPr>
          <w:ilvl w:val="0"/>
          <w:numId w:val="1020"/>
        </w:numPr>
      </w:pPr>
      <w:r>
        <w:rPr>
          <w:iCs/>
          <w:i/>
        </w:rPr>
        <w:t xml:space="preserve">may affect the safety or rights of the subjects,</w:t>
      </w:r>
    </w:p>
    <w:p>
      <w:pPr>
        <w:numPr>
          <w:ilvl w:val="0"/>
          <w:numId w:val="1020"/>
        </w:numPr>
      </w:pPr>
      <w:r>
        <w:rPr>
          <w:iCs/>
          <w:i/>
        </w:rPr>
        <w:t xml:space="preserve">can change the reliability and robustness of the data generated in</w:t>
      </w:r>
      <w:r>
        <w:rPr>
          <w:iCs/>
          <w:i/>
        </w:rPr>
        <w:t xml:space="preserve"> </w:t>
      </w:r>
      <w:r>
        <w:rPr>
          <w:iCs/>
          <w:i/>
        </w:rPr>
        <w:t xml:space="preserve">the clinical trial, or</w:t>
      </w:r>
    </w:p>
    <w:p>
      <w:pPr>
        <w:numPr>
          <w:ilvl w:val="0"/>
          <w:numId w:val="1020"/>
        </w:numPr>
      </w:pPr>
      <w:r>
        <w:rPr>
          <w:iCs/>
          <w:i/>
        </w:rPr>
        <w:t xml:space="preserve">are significant for any other reason, such as the addition of a</w:t>
      </w:r>
      <w:r>
        <w:rPr>
          <w:iCs/>
          <w:i/>
        </w:rPr>
        <w:t xml:space="preserve"> </w:t>
      </w:r>
      <w:r>
        <w:rPr>
          <w:iCs/>
          <w:i/>
        </w:rPr>
        <w:t xml:space="preserve">trial site or a change of the principal investigator</w:t>
      </w:r>
    </w:p>
    <w:p>
      <w:pPr>
        <w:pStyle w:val="FirstParagraph"/>
      </w:pPr>
      <w:r>
        <w:rPr>
          <w:iCs/>
          <w:i/>
        </w:rPr>
        <w:t xml:space="preserve">Substantial changes to the clinical trial protocol may not be</w:t>
      </w:r>
      <w:r>
        <w:rPr>
          <w:iCs/>
          <w:i/>
        </w:rPr>
        <w:t xml:space="preserve"> </w:t>
      </w:r>
      <w:r>
        <w:rPr>
          <w:iCs/>
          <w:i/>
        </w:rPr>
        <w:t xml:space="preserve">implemented before authorisation has been granted by the relevant</w:t>
      </w:r>
      <w:r>
        <w:rPr>
          <w:iCs/>
          <w:i/>
        </w:rPr>
        <w:t xml:space="preserve"> </w:t>
      </w:r>
      <w:r>
        <w:rPr>
          <w:iCs/>
          <w:i/>
        </w:rPr>
        <w:t xml:space="preserve">authority via CTIS. It is the responsibility of the sponsor to assess</w:t>
      </w:r>
      <w:r>
        <w:rPr>
          <w:iCs/>
          <w:i/>
        </w:rPr>
        <w:t xml:space="preserve"> </w:t>
      </w:r>
      <w:r>
        <w:rPr>
          <w:iCs/>
          <w:i/>
        </w:rPr>
        <w:t xml:space="preserve">whether a change is substantial or not. For examples of what are</w:t>
      </w:r>
      <w:r>
        <w:rPr>
          <w:iCs/>
          <w:i/>
        </w:rPr>
        <w:t xml:space="preserve"> </w:t>
      </w:r>
      <w:r>
        <w:rPr>
          <w:iCs/>
          <w:i/>
        </w:rPr>
        <w:t xml:space="preserve">considered substantial and non-substantial amendments, see the European</w:t>
      </w:r>
      <w:r>
        <w:rPr>
          <w:iCs/>
          <w:i/>
        </w:rPr>
        <w:t xml:space="preserve"> </w:t>
      </w:r>
      <w:r>
        <w:rPr>
          <w:iCs/>
          <w:i/>
        </w:rPr>
        <w:t xml:space="preserve">Commission's CTR Questions and Answers document</w:t>
      </w:r>
      <w:r>
        <w:rPr>
          <w:iCs/>
          <w:i/>
        </w:rPr>
        <w:t xml:space="preserve"> </w:t>
      </w:r>
      <w:r>
        <w:rPr>
          <w:iCs/>
          <w:i/>
        </w:rPr>
        <w:t xml:space="preserve">(</w:t>
      </w:r>
      <w:hyperlink r:id="rId104">
        <w:r>
          <w:rPr>
            <w:rStyle w:val="Hyperlink"/>
            <w:iCs/>
            <w:i/>
          </w:rPr>
          <w:t xml:space="preserve">link</w:t>
        </w:r>
      </w:hyperlink>
      <w:r>
        <w:rPr>
          <w:iCs/>
          <w:i/>
        </w:rPr>
        <w:t xml:space="preserve">,</w:t>
      </w:r>
      <w:r>
        <w:rPr>
          <w:iCs/>
          <w:i/>
        </w:rPr>
        <w:t xml:space="preserve"> </w:t>
      </w:r>
      <w:r>
        <w:rPr>
          <w:iCs/>
          <w:i/>
        </w:rPr>
        <w:t xml:space="preserve">Chapter V, EudraLex - Volume 10 - Clinical trials guidelines).</w:t>
      </w:r>
    </w:p>
    <w:p>
      <w:pPr>
        <w:pStyle w:val="BodyText"/>
      </w:pPr>
      <w:r>
        <w:rPr>
          <w:iCs/>
          <w:i/>
        </w:rPr>
        <w:t xml:space="preserve">The investigator must not make any deviation from or change of the</w:t>
      </w:r>
      <w:r>
        <w:rPr>
          <w:iCs/>
          <w:i/>
        </w:rPr>
        <w:t xml:space="preserve"> </w:t>
      </w:r>
      <w:r>
        <w:rPr>
          <w:iCs/>
          <w:i/>
        </w:rPr>
        <w:t xml:space="preserve">protocol, except when it is necessary to eliminate an immediate risk to</w:t>
      </w:r>
      <w:r>
        <w:rPr>
          <w:iCs/>
          <w:i/>
        </w:rPr>
        <w:t xml:space="preserve"> </w:t>
      </w:r>
      <w:r>
        <w:rPr>
          <w:iCs/>
          <w:i/>
        </w:rPr>
        <w:t xml:space="preserve">the trial subjects, or where the changes only include logistical or</w:t>
      </w:r>
      <w:r>
        <w:rPr>
          <w:iCs/>
          <w:i/>
        </w:rPr>
        <w:t xml:space="preserve"> </w:t>
      </w:r>
      <w:r>
        <w:rPr>
          <w:iCs/>
          <w:i/>
        </w:rPr>
        <w:t xml:space="preserve">administrative aspects of the trial (e.g., change of telephone number).</w:t>
      </w:r>
      <w:r>
        <w:rPr>
          <w:iCs/>
          <w:i/>
        </w:rPr>
        <w:t xml:space="preserve"> </w:t>
      </w:r>
      <w:r>
        <w:rPr>
          <w:iCs/>
          <w:i/>
        </w:rPr>
        <w:t xml:space="preserve">Other deviations/changes besides the abovementioned required agreement</w:t>
      </w:r>
      <w:r>
        <w:rPr>
          <w:iCs/>
          <w:i/>
        </w:rPr>
        <w:t xml:space="preserve"> </w:t>
      </w:r>
      <w:r>
        <w:rPr>
          <w:iCs/>
          <w:i/>
        </w:rPr>
        <w:t xml:space="preserve">with the sponsor and documented authoritative opinion regarding the</w:t>
      </w:r>
      <w:r>
        <w:rPr>
          <w:iCs/>
          <w:i/>
        </w:rPr>
        <w:t xml:space="preserve"> </w:t>
      </w:r>
      <w:r>
        <w:rPr>
          <w:iCs/>
          <w:i/>
        </w:rPr>
        <w:t xml:space="preserve">amendment from relevant authorities. See also section 11.4, Deviations</w:t>
      </w:r>
      <w:r>
        <w:rPr>
          <w:iCs/>
          <w:i/>
        </w:rPr>
        <w:t xml:space="preserve"> </w:t>
      </w:r>
      <w:r>
        <w:rPr>
          <w:iCs/>
          <w:i/>
        </w:rPr>
        <w:t xml:space="preserve">or serious breaches.</w:t>
      </w:r>
    </w:p>
    <w:p>
      <w:pPr>
        <w:pStyle w:val="BodyText"/>
      </w:pPr>
      <w:r>
        <w:rPr>
          <w:iCs/>
          <w:i/>
        </w:rPr>
        <w:t xml:space="preserve">Text suggestion:</w:t>
      </w:r>
      <w:r>
        <w:t xml:space="preserve"> </w:t>
      </w:r>
      <w:r>
        <w:t xml:space="preserve">Substantial changes to the signed clinical trial</w:t>
      </w:r>
      <w:r>
        <w:t xml:space="preserve"> </w:t>
      </w:r>
      <w:r>
        <w:t xml:space="preserve">protocol are only possible through approved protocol amendments and by</w:t>
      </w:r>
      <w:r>
        <w:t xml:space="preserve"> </w:t>
      </w:r>
      <w:r>
        <w:t xml:space="preserve">agreement between the sponsor and the principal investigator.</w:t>
      </w:r>
    </w:p>
    <w:p>
      <w:pPr>
        <w:pStyle w:val="BodyText"/>
      </w:pPr>
      <w:r>
        <w:t xml:space="preserve">In the event that substantial changes to the protocol which may affect</w:t>
      </w:r>
      <w:r>
        <w:t xml:space="preserve"> </w:t>
      </w:r>
      <w:r>
        <w:t xml:space="preserve">the safety, rights of subjects or the reliability and robustness of data</w:t>
      </w:r>
      <w:r>
        <w:t xml:space="preserve"> </w:t>
      </w:r>
      <w:r>
        <w:t xml:space="preserve">generated need to be implemented during the course of the trial,</w:t>
      </w:r>
      <w:r>
        <w:t xml:space="preserve"> </w:t>
      </w:r>
      <w:r>
        <w:t xml:space="preserve">permission from the relevant authority via application in CTIS should be</w:t>
      </w:r>
      <w:r>
        <w:t xml:space="preserve"> </w:t>
      </w:r>
      <w:r>
        <w:t xml:space="preserve">obtained before implementing the change. This includes the addition of a</w:t>
      </w:r>
      <w:r>
        <w:t xml:space="preserve"> </w:t>
      </w:r>
      <w:r>
        <w:t xml:space="preserve">new trial site or a change of the principal investigator at the trial</w:t>
      </w:r>
      <w:r>
        <w:t xml:space="preserve"> </w:t>
      </w:r>
      <w:r>
        <w:t xml:space="preserve">site.</w:t>
      </w:r>
    </w:p>
    <w:p>
      <w:pPr>
        <w:pStyle w:val="BodyText"/>
      </w:pPr>
      <w:r>
        <w:t xml:space="preserve">Non-substantial changes should be continuously recorded and entered in</w:t>
      </w:r>
      <w:r>
        <w:t xml:space="preserve"> </w:t>
      </w:r>
      <w:r>
        <w:t xml:space="preserve">CTIS.</w:t>
      </w:r>
    </w:p>
    <w:bookmarkEnd w:id="105"/>
    <w:bookmarkStart w:id="106" w:name="Xc17b41b20b820bca94d2a36ea19933b641b018a"/>
    <w:p>
      <w:pPr>
        <w:pStyle w:val="Heading1"/>
      </w:pPr>
      <w:r>
        <w:t xml:space="preserve">9. Collection, handling, and archiving of data</w:t>
      </w:r>
    </w:p>
    <w:p>
      <w:pPr>
        <w:pStyle w:val="FirstParagraph"/>
      </w:pPr>
      <w:r>
        <w:rPr>
          <w:iCs/>
          <w:i/>
        </w:rPr>
        <w:t xml:space="preserve">From the protocol it must be clear how the data will be collected.</w:t>
      </w:r>
      <w:r>
        <w:rPr>
          <w:iCs/>
          <w:i/>
        </w:rPr>
        <w:t xml:space="preserve"> </w:t>
      </w:r>
      <w:r>
        <w:rPr>
          <w:iCs/>
          <w:i/>
        </w:rPr>
        <w:t xml:space="preserve">Describe which other types of data collection documents, in addition to</w:t>
      </w:r>
      <w:r>
        <w:rPr>
          <w:iCs/>
          <w:i/>
        </w:rPr>
        <w:t xml:space="preserve"> </w:t>
      </w:r>
      <w:r>
        <w:rPr>
          <w:iCs/>
          <w:i/>
        </w:rPr>
        <w:t xml:space="preserve">the CRF, are used, e.g.: diaries, quality of life questionnaires, health</w:t>
      </w:r>
      <w:r>
        <w:rPr>
          <w:iCs/>
          <w:i/>
        </w:rPr>
        <w:t xml:space="preserve"> </w:t>
      </w:r>
      <w:r>
        <w:rPr>
          <w:iCs/>
          <w:i/>
        </w:rPr>
        <w:t xml:space="preserve">economics, different patient-reported outcomes measures, etc. Describe</w:t>
      </w:r>
      <w:r>
        <w:rPr>
          <w:iCs/>
          <w:i/>
        </w:rPr>
        <w:t xml:space="preserve"> </w:t>
      </w:r>
      <w:r>
        <w:rPr>
          <w:iCs/>
          <w:i/>
        </w:rPr>
        <w:t xml:space="preserve">how corrections will occur and by whom, that there will be an</w:t>
      </w:r>
      <w:r>
        <w:rPr>
          <w:iCs/>
          <w:i/>
        </w:rPr>
        <w:t xml:space="preserve"> </w:t>
      </w:r>
      <w:r>
        <w:rPr>
          <w:iCs/>
          <w:i/>
        </w:rPr>
        <w:t xml:space="preserve">independent copy of the CRF with the investigator when the trial is</w:t>
      </w:r>
      <w:r>
        <w:rPr>
          <w:iCs/>
          <w:i/>
        </w:rPr>
        <w:t xml:space="preserve"> </w:t>
      </w:r>
      <w:r>
        <w:rPr>
          <w:iCs/>
          <w:i/>
        </w:rPr>
        <w:t xml:space="preserve">completed, and how other trial documentation is stored and who has</w:t>
      </w:r>
      <w:r>
        <w:rPr>
          <w:iCs/>
          <w:i/>
        </w:rPr>
        <w:t xml:space="preserve"> </w:t>
      </w:r>
      <w:r>
        <w:rPr>
          <w:iCs/>
          <w:i/>
        </w:rPr>
        <w:t xml:space="preserve">access to it. The sponsor and investigator must archive the information</w:t>
      </w:r>
      <w:r>
        <w:rPr>
          <w:iCs/>
          <w:i/>
        </w:rPr>
        <w:t xml:space="preserve"> </w:t>
      </w:r>
      <w:r>
        <w:rPr>
          <w:iCs/>
          <w:i/>
        </w:rPr>
        <w:t xml:space="preserve">in the Trial Master File for at least 25 years after the end of the</w:t>
      </w:r>
      <w:r>
        <w:rPr>
          <w:iCs/>
          <w:i/>
        </w:rPr>
        <w:t xml:space="preserve"> </w:t>
      </w:r>
      <w:r>
        <w:rPr>
          <w:iCs/>
          <w:i/>
        </w:rPr>
        <w:t xml:space="preserve">clinical trial, providing that a longer archiving period follows from</w:t>
      </w:r>
      <w:r>
        <w:rPr>
          <w:iCs/>
          <w:i/>
        </w:rPr>
        <w:t xml:space="preserve"> </w:t>
      </w:r>
      <w:r>
        <w:rPr>
          <w:iCs/>
          <w:i/>
        </w:rPr>
        <w:t xml:space="preserve">other parts of the law. The sponsor and investigator can also agree that</w:t>
      </w:r>
      <w:r>
        <w:rPr>
          <w:iCs/>
          <w:i/>
        </w:rPr>
        <w:t xml:space="preserve"> </w:t>
      </w:r>
      <w:r>
        <w:rPr>
          <w:iCs/>
          <w:i/>
        </w:rPr>
        <w:t xml:space="preserve">the documents shall be archived for a longer period. The Swedish</w:t>
      </w:r>
      <w:r>
        <w:rPr>
          <w:iCs/>
          <w:i/>
        </w:rPr>
        <w:t xml:space="preserve"> </w:t>
      </w:r>
      <w:r>
        <w:rPr>
          <w:iCs/>
          <w:i/>
        </w:rPr>
        <w:t xml:space="preserve">Archives Act (Arkivlagen) applies to archiving of research material. For</w:t>
      </w:r>
      <w:r>
        <w:rPr>
          <w:iCs/>
          <w:i/>
        </w:rPr>
        <w:t xml:space="preserve"> </w:t>
      </w:r>
      <w:r>
        <w:rPr>
          <w:iCs/>
          <w:i/>
        </w:rPr>
        <w:t xml:space="preserve">clinical trials in ATMP (Advanced Therapy Medicinal Product), the</w:t>
      </w:r>
      <w:r>
        <w:rPr>
          <w:iCs/>
          <w:i/>
        </w:rPr>
        <w:t xml:space="preserve"> </w:t>
      </w:r>
      <w:r>
        <w:rPr>
          <w:iCs/>
          <w:i/>
        </w:rPr>
        <w:t xml:space="preserve">archiving period is 30 years according to GCP specific for ATMP.</w:t>
      </w:r>
    </w:p>
    <w:p>
      <w:pPr>
        <w:pStyle w:val="BodyText"/>
      </w:pPr>
      <w:r>
        <w:rPr>
          <w:iCs/>
          <w:i/>
        </w:rPr>
        <w:t xml:space="preserve">The sponsor and the investigator shall keep a Clinical trial master</w:t>
      </w:r>
      <w:r>
        <w:rPr>
          <w:iCs/>
          <w:i/>
        </w:rPr>
        <w:t xml:space="preserve"> </w:t>
      </w:r>
      <w:r>
        <w:rPr>
          <w:iCs/>
          <w:i/>
        </w:rPr>
        <w:t xml:space="preserve">file with documentation for the whole trial. The clinical trial master</w:t>
      </w:r>
      <w:r>
        <w:rPr>
          <w:iCs/>
          <w:i/>
        </w:rPr>
        <w:t xml:space="preserve"> </w:t>
      </w:r>
      <w:r>
        <w:rPr>
          <w:iCs/>
          <w:i/>
        </w:rPr>
        <w:t xml:space="preserve">file shall at all times contain the essential documents relating to that</w:t>
      </w:r>
      <w:r>
        <w:rPr>
          <w:iCs/>
          <w:i/>
        </w:rPr>
        <w:t xml:space="preserve"> </w:t>
      </w:r>
      <w:r>
        <w:rPr>
          <w:iCs/>
          <w:i/>
        </w:rPr>
        <w:t xml:space="preserve">clinical trial which allow verification of the conduct of a clinical</w:t>
      </w:r>
      <w:r>
        <w:rPr>
          <w:iCs/>
          <w:i/>
        </w:rPr>
        <w:t xml:space="preserve"> </w:t>
      </w:r>
      <w:r>
        <w:rPr>
          <w:iCs/>
          <w:i/>
        </w:rPr>
        <w:t xml:space="preserve">trial and the quality of the data generated, taking into account all</w:t>
      </w:r>
      <w:r>
        <w:rPr>
          <w:iCs/>
          <w:i/>
        </w:rPr>
        <w:t xml:space="preserve"> </w:t>
      </w:r>
      <w:r>
        <w:rPr>
          <w:iCs/>
          <w:i/>
        </w:rPr>
        <w:t xml:space="preserve">characteristics of the clinical trial, including in particular whether</w:t>
      </w:r>
      <w:r>
        <w:rPr>
          <w:iCs/>
          <w:i/>
        </w:rPr>
        <w:t xml:space="preserve"> </w:t>
      </w:r>
      <w:r>
        <w:rPr>
          <w:iCs/>
          <w:i/>
        </w:rPr>
        <w:t xml:space="preserve">the clinical trial is a low-intervention clinical trial. It shall be</w:t>
      </w:r>
      <w:r>
        <w:rPr>
          <w:iCs/>
          <w:i/>
        </w:rPr>
        <w:t xml:space="preserve"> </w:t>
      </w:r>
      <w:r>
        <w:rPr>
          <w:iCs/>
          <w:i/>
        </w:rPr>
        <w:t xml:space="preserve">readily available, and directly accessible upon request, to the Member</w:t>
      </w:r>
      <w:r>
        <w:rPr>
          <w:iCs/>
          <w:i/>
        </w:rPr>
        <w:t xml:space="preserve"> </w:t>
      </w:r>
      <w:r>
        <w:rPr>
          <w:iCs/>
          <w:i/>
        </w:rPr>
        <w:t xml:space="preserve">States.</w:t>
      </w:r>
    </w:p>
    <w:p>
      <w:pPr>
        <w:pStyle w:val="BodyText"/>
      </w:pPr>
      <w:r>
        <w:rPr>
          <w:iCs/>
          <w:i/>
        </w:rPr>
        <w:t xml:space="preserve">The clinical trial master file kept by the investigator and that kept</w:t>
      </w:r>
      <w:r>
        <w:rPr>
          <w:iCs/>
          <w:i/>
        </w:rPr>
        <w:t xml:space="preserve"> </w:t>
      </w:r>
      <w:r>
        <w:rPr>
          <w:iCs/>
          <w:i/>
        </w:rPr>
        <w:t xml:space="preserve">by the sponsor may have a different content if this is justified by the</w:t>
      </w:r>
      <w:r>
        <w:rPr>
          <w:iCs/>
          <w:i/>
        </w:rPr>
        <w:t xml:space="preserve"> </w:t>
      </w:r>
      <w:r>
        <w:rPr>
          <w:iCs/>
          <w:i/>
        </w:rPr>
        <w:t xml:space="preserve">different nature of the responsibilities of the investigator and the</w:t>
      </w:r>
      <w:r>
        <w:rPr>
          <w:iCs/>
          <w:i/>
        </w:rPr>
        <w:t xml:space="preserve"> </w:t>
      </w:r>
      <w:r>
        <w:rPr>
          <w:iCs/>
          <w:i/>
        </w:rPr>
        <w:t xml:space="preserve">sponsor. The principal investigator shall keep an Investigator Site File</w:t>
      </w:r>
      <w:r>
        <w:rPr>
          <w:iCs/>
          <w:i/>
        </w:rPr>
        <w:t xml:space="preserve"> </w:t>
      </w:r>
      <w:r>
        <w:rPr>
          <w:iCs/>
          <w:i/>
        </w:rPr>
        <w:t xml:space="preserve">(part of the Clinical Trial Master File) with all trial documentation</w:t>
      </w:r>
      <w:r>
        <w:rPr>
          <w:iCs/>
          <w:i/>
        </w:rPr>
        <w:t xml:space="preserve"> </w:t>
      </w:r>
      <w:r>
        <w:rPr>
          <w:iCs/>
          <w:i/>
        </w:rPr>
        <w:t xml:space="preserve">for the site. The files should have relevant content according to the</w:t>
      </w:r>
      <w:r>
        <w:rPr>
          <w:iCs/>
          <w:i/>
        </w:rPr>
        <w:t xml:space="preserve"> </w:t>
      </w:r>
      <w:r>
        <w:rPr>
          <w:iCs/>
          <w:i/>
        </w:rPr>
        <w:t xml:space="preserve">trial and follow ICH-GCP chapter 8</w:t>
      </w:r>
      <w:r>
        <w:rPr>
          <w:iCs/>
          <w:i/>
        </w:rPr>
        <w:t xml:space="preserve"> </w:t>
      </w:r>
      <w:r>
        <w:rPr>
          <w:iCs/>
          <w:i/>
        </w:rPr>
        <w:t xml:space="preserve">“</w:t>
      </w:r>
      <w:r>
        <w:rPr>
          <w:iCs/>
          <w:i/>
        </w:rPr>
        <w:t xml:space="preserve">Essential documents</w:t>
      </w:r>
      <w:r>
        <w:rPr>
          <w:iCs/>
          <w:i/>
        </w:rPr>
        <w:t xml:space="preserve">”</w:t>
      </w:r>
      <w:r>
        <w:rPr>
          <w:iCs/>
          <w:i/>
        </w:rPr>
        <w:t xml:space="preserve">. The principal</w:t>
      </w:r>
      <w:r>
        <w:rPr>
          <w:iCs/>
          <w:i/>
        </w:rPr>
        <w:t xml:space="preserve"> </w:t>
      </w:r>
      <w:r>
        <w:rPr>
          <w:iCs/>
          <w:i/>
        </w:rPr>
        <w:t xml:space="preserve">investigator will store the trial site’s data, subject identification</w:t>
      </w:r>
      <w:r>
        <w:rPr>
          <w:iCs/>
          <w:i/>
        </w:rPr>
        <w:t xml:space="preserve"> </w:t>
      </w:r>
      <w:r>
        <w:rPr>
          <w:iCs/>
          <w:i/>
        </w:rPr>
        <w:t xml:space="preserve">list, original of the subject information sheet and obtained trial</w:t>
      </w:r>
      <w:r>
        <w:rPr>
          <w:iCs/>
          <w:i/>
        </w:rPr>
        <w:t xml:space="preserve"> </w:t>
      </w:r>
      <w:r>
        <w:rPr>
          <w:iCs/>
          <w:i/>
        </w:rPr>
        <w:t xml:space="preserve">consent inaccessible to unauthorized persons, but such that trial</w:t>
      </w:r>
      <w:r>
        <w:rPr>
          <w:iCs/>
          <w:i/>
        </w:rPr>
        <w:t xml:space="preserve"> </w:t>
      </w:r>
      <w:r>
        <w:rPr>
          <w:iCs/>
          <w:i/>
        </w:rPr>
        <w:t xml:space="preserve">subjects can be identified by those responsible for the trial. This</w:t>
      </w:r>
      <w:r>
        <w:rPr>
          <w:iCs/>
          <w:i/>
        </w:rPr>
        <w:t xml:space="preserve"> </w:t>
      </w:r>
      <w:r>
        <w:rPr>
          <w:iCs/>
          <w:i/>
        </w:rPr>
        <w:t xml:space="preserve">information must not be stored at the sponsor.</w:t>
      </w:r>
    </w:p>
    <w:p>
      <w:pPr>
        <w:pStyle w:val="BodyText"/>
      </w:pPr>
      <w:r>
        <w:rPr>
          <w:iCs/>
          <w:i/>
        </w:rPr>
        <w:t xml:space="preserve">For information about data protection see section 12.4, Data</w:t>
      </w:r>
      <w:r>
        <w:rPr>
          <w:iCs/>
          <w:i/>
        </w:rPr>
        <w:t xml:space="preserve"> </w:t>
      </w:r>
      <w:r>
        <w:rPr>
          <w:iCs/>
          <w:i/>
        </w:rPr>
        <w:t xml:space="preserve">protection.</w:t>
      </w:r>
    </w:p>
    <w:p>
      <w:pPr>
        <w:pStyle w:val="BodyText"/>
      </w:pPr>
      <w:r>
        <w:rPr>
          <w:iCs/>
          <w:i/>
        </w:rPr>
        <w:t xml:space="preserve">Text suggestion:</w:t>
      </w:r>
    </w:p>
    <w:p>
      <w:pPr>
        <w:pStyle w:val="BodyText"/>
      </w:pPr>
      <w:r>
        <w:t xml:space="preserve">Subjects who participate in the trial are coded with a trial-specific</w:t>
      </w:r>
      <w:r>
        <w:t xml:space="preserve"> </w:t>
      </w:r>
      <w:r>
        <w:t xml:space="preserve">identification number. All subjects are registered in a subject</w:t>
      </w:r>
      <w:r>
        <w:t xml:space="preserve"> </w:t>
      </w:r>
      <w:r>
        <w:t xml:space="preserve">identification list (subject enrolment and identification list) that</w:t>
      </w:r>
      <w:r>
        <w:t xml:space="preserve"> </w:t>
      </w:r>
      <w:r>
        <w:t xml:space="preserve">connects the subject’s name and personal number with a subject</w:t>
      </w:r>
      <w:r>
        <w:t xml:space="preserve"> </w:t>
      </w:r>
      <w:r>
        <w:t xml:space="preserve">number/trial identification number.</w:t>
      </w:r>
    </w:p>
    <w:p>
      <w:pPr>
        <w:pStyle w:val="BodyText"/>
      </w:pPr>
      <w:r>
        <w:t xml:space="preserve">All data will be registered, managed, and stored in a manner that</w:t>
      </w:r>
      <w:r>
        <w:t xml:space="preserve"> </w:t>
      </w:r>
      <w:r>
        <w:t xml:space="preserve">enables correct reporting, interpretation, and verification. The</w:t>
      </w:r>
      <w:r>
        <w:t xml:space="preserve"> </w:t>
      </w:r>
      <w:r>
        <w:t xml:space="preserve">complete Trial Master File, as well as source documents, will be</w:t>
      </w:r>
      <w:r>
        <w:t xml:space="preserve"> </w:t>
      </w:r>
      <w:r>
        <w:t xml:space="preserve">archived for at least</w:t>
      </w:r>
      <w:r>
        <w:t xml:space="preserve"> </w:t>
      </w:r>
      <w:r>
        <w:rPr>
          <w:iCs/>
          <w:i/>
        </w:rPr>
        <w:t xml:space="preserve">25</w:t>
      </w:r>
      <w:r>
        <w:t xml:space="preserve"> </w:t>
      </w:r>
      <w:r>
        <w:t xml:space="preserve">years after the trial is completed. Source</w:t>
      </w:r>
      <w:r>
        <w:t xml:space="preserve"> </w:t>
      </w:r>
      <w:r>
        <w:t xml:space="preserve">data in the medical records system are stored and archived in accordance</w:t>
      </w:r>
      <w:r>
        <w:t xml:space="preserve"> </w:t>
      </w:r>
      <w:r>
        <w:t xml:space="preserve">with national regulations.</w:t>
      </w:r>
    </w:p>
    <w:bookmarkEnd w:id="106"/>
    <w:bookmarkStart w:id="107" w:name="case-report-form"/>
    <w:p>
      <w:pPr>
        <w:pStyle w:val="Heading1"/>
      </w:pPr>
      <w:r>
        <w:t xml:space="preserve">10. Case Report Form</w:t>
      </w:r>
    </w:p>
    <w:p>
      <w:pPr>
        <w:pStyle w:val="FirstParagraph"/>
      </w:pPr>
      <w:r>
        <w:rPr>
          <w:iCs/>
          <w:i/>
        </w:rPr>
        <w:t xml:space="preserve">All information related to the clinical trial should be recorded,</w:t>
      </w:r>
      <w:r>
        <w:rPr>
          <w:iCs/>
          <w:i/>
        </w:rPr>
        <w:t xml:space="preserve"> </w:t>
      </w:r>
      <w:r>
        <w:rPr>
          <w:iCs/>
          <w:i/>
        </w:rPr>
        <w:t xml:space="preserve">processed, handled and stored by the sponsor or investigator, as</w:t>
      </w:r>
      <w:r>
        <w:rPr>
          <w:iCs/>
          <w:i/>
        </w:rPr>
        <w:t xml:space="preserve"> </w:t>
      </w:r>
      <w:r>
        <w:rPr>
          <w:iCs/>
          <w:i/>
        </w:rPr>
        <w:t xml:space="preserve">appropriate, so that it can be accurately reported, interpreted and</w:t>
      </w:r>
      <w:r>
        <w:rPr>
          <w:iCs/>
          <w:i/>
        </w:rPr>
        <w:t xml:space="preserve"> </w:t>
      </w:r>
      <w:r>
        <w:rPr>
          <w:iCs/>
          <w:i/>
        </w:rPr>
        <w:t xml:space="preserve">controlled, while protecting the subjects' medical records and personal</w:t>
      </w:r>
      <w:r>
        <w:rPr>
          <w:iCs/>
          <w:i/>
        </w:rPr>
        <w:t xml:space="preserve"> </w:t>
      </w:r>
      <w:r>
        <w:rPr>
          <w:iCs/>
          <w:i/>
        </w:rPr>
        <w:t xml:space="preserve">data in accordance with applicable personal data protection law.</w:t>
      </w:r>
    </w:p>
    <w:p>
      <w:pPr>
        <w:pStyle w:val="BodyText"/>
      </w:pPr>
      <w:r>
        <w:rPr>
          <w:iCs/>
          <w:i/>
        </w:rPr>
        <w:t xml:space="preserve">Text suggestion:</w:t>
      </w:r>
    </w:p>
    <w:p>
      <w:pPr>
        <w:pStyle w:val="BodyText"/>
      </w:pPr>
      <w:r>
        <w:t xml:space="preserve">A Case Report Form (CRF) is used for data collection.</w:t>
      </w:r>
      <w:r>
        <w:t xml:space="preserve"> </w:t>
      </w:r>
      <w:r>
        <w:rPr>
          <w:iCs/>
          <w:i/>
        </w:rPr>
        <w:t xml:space="preserve">Describe which</w:t>
      </w:r>
      <w:r>
        <w:rPr>
          <w:iCs/>
          <w:i/>
        </w:rPr>
        <w:t xml:space="preserve"> </w:t>
      </w:r>
      <w:r>
        <w:rPr>
          <w:iCs/>
          <w:i/>
        </w:rPr>
        <w:t xml:space="preserve">type of CRF will be used (eCRF or paper CRF).</w:t>
      </w:r>
      <w:r>
        <w:t xml:space="preserve"> </w:t>
      </w:r>
      <w:r>
        <w:t xml:space="preserve">The investigator must</w:t>
      </w:r>
      <w:r>
        <w:t xml:space="preserve"> </w:t>
      </w:r>
      <w:r>
        <w:t xml:space="preserve">ensure that data is registered and any corrections in the CRF are made</w:t>
      </w:r>
      <w:r>
        <w:t xml:space="preserve"> </w:t>
      </w:r>
      <w:r>
        <w:t xml:space="preserve">as stated in the clinical trial protocol and in accordance with the</w:t>
      </w:r>
      <w:r>
        <w:t xml:space="preserve"> </w:t>
      </w:r>
      <w:r>
        <w:t xml:space="preserve">instructions. The investigator must ensure that the registered data is</w:t>
      </w:r>
      <w:r>
        <w:t xml:space="preserve"> </w:t>
      </w:r>
      <w:r>
        <w:t xml:space="preserve">correct, complete, and that reporting takes place according to the</w:t>
      </w:r>
      <w:r>
        <w:t xml:space="preserve"> </w:t>
      </w:r>
      <w:r>
        <w:t xml:space="preserve">timelines that have been predefined and agreed. The investigator signs</w:t>
      </w:r>
      <w:r>
        <w:t xml:space="preserve"> </w:t>
      </w:r>
      <w:r>
        <w:t xml:space="preserve">the completed CRF. A copy of the completed CRF will be archived at the</w:t>
      </w:r>
      <w:r>
        <w:t xml:space="preserve"> </w:t>
      </w:r>
      <w:r>
        <w:t xml:space="preserve">study site.</w:t>
      </w:r>
    </w:p>
    <w:bookmarkEnd w:id="107"/>
    <w:bookmarkStart w:id="109" w:name="Xa02c8ea30126bed8a88472fd16e8658d6d979bd"/>
    <w:p>
      <w:pPr>
        <w:pStyle w:val="Heading1"/>
      </w:pPr>
      <w:r>
        <w:t xml:space="preserve">11. Notification of trial completion, reporting, and publication</w:t>
      </w:r>
    </w:p>
    <w:p>
      <w:pPr>
        <w:pStyle w:val="FirstParagraph"/>
      </w:pPr>
      <w:r>
        <w:rPr>
          <w:iCs/>
          <w:i/>
        </w:rPr>
        <w:t xml:space="preserve">The sponsor must notify, via CTIS, each concerned Member State that a</w:t>
      </w:r>
      <w:r>
        <w:rPr>
          <w:iCs/>
          <w:i/>
        </w:rPr>
        <w:t xml:space="preserve"> </w:t>
      </w:r>
      <w:r>
        <w:rPr>
          <w:iCs/>
          <w:i/>
        </w:rPr>
        <w:t xml:space="preserve">clinical trial involving that Member State has been terminated.</w:t>
      </w:r>
      <w:r>
        <w:rPr>
          <w:iCs/>
          <w:i/>
        </w:rPr>
        <w:t xml:space="preserve"> </w:t>
      </w:r>
      <w:r>
        <w:rPr>
          <w:iCs/>
          <w:i/>
        </w:rPr>
        <w:t xml:space="preserve">Notification must also be made when a trial has been terminated in all</w:t>
      </w:r>
      <w:r>
        <w:rPr>
          <w:iCs/>
          <w:i/>
        </w:rPr>
        <w:t xml:space="preserve"> </w:t>
      </w:r>
      <w:r>
        <w:rPr>
          <w:iCs/>
          <w:i/>
        </w:rPr>
        <w:t xml:space="preserve">participating EU countries and also when termination has occurred in all</w:t>
      </w:r>
      <w:r>
        <w:rPr>
          <w:iCs/>
          <w:i/>
        </w:rPr>
        <w:t xml:space="preserve"> </w:t>
      </w:r>
      <w:r>
        <w:rPr>
          <w:iCs/>
          <w:i/>
        </w:rPr>
        <w:t xml:space="preserve">participating third countries. The notification must be made within 15</w:t>
      </w:r>
      <w:r>
        <w:rPr>
          <w:iCs/>
          <w:i/>
        </w:rPr>
        <w:t xml:space="preserve"> </w:t>
      </w:r>
      <w:r>
        <w:rPr>
          <w:iCs/>
          <w:i/>
        </w:rPr>
        <w:t xml:space="preserve">days.</w:t>
      </w:r>
    </w:p>
    <w:p>
      <w:pPr>
        <w:pStyle w:val="BodyText"/>
      </w:pPr>
      <w:r>
        <w:rPr>
          <w:iCs/>
          <w:i/>
        </w:rPr>
        <w:t xml:space="preserve">Within one year of the completion of the clinical trial in all Member</w:t>
      </w:r>
      <w:r>
        <w:rPr>
          <w:iCs/>
          <w:i/>
        </w:rPr>
        <w:t xml:space="preserve"> </w:t>
      </w:r>
      <w:r>
        <w:rPr>
          <w:iCs/>
          <w:i/>
        </w:rPr>
        <w:t xml:space="preserve">States, the sponsor must submit a summary of the results of the clinical</w:t>
      </w:r>
      <w:r>
        <w:rPr>
          <w:iCs/>
          <w:i/>
        </w:rPr>
        <w:t xml:space="preserve"> </w:t>
      </w:r>
      <w:r>
        <w:rPr>
          <w:iCs/>
          <w:i/>
        </w:rPr>
        <w:t xml:space="preserve">trial to CTIS, regardless of the outcome of the trial.</w:t>
      </w:r>
    </w:p>
    <w:p>
      <w:pPr>
        <w:pStyle w:val="BodyText"/>
      </w:pPr>
      <w:r>
        <w:rPr>
          <w:iCs/>
          <w:i/>
        </w:rPr>
        <w:t xml:space="preserve">Guidance on content can be found in the CTR</w:t>
      </w:r>
      <w:r>
        <w:rPr>
          <w:iCs/>
          <w:i/>
        </w:rPr>
        <w:t xml:space="preserve"> </w:t>
      </w:r>
      <w:r>
        <w:rPr>
          <w:iCs/>
          <w:i/>
        </w:rPr>
        <w:t xml:space="preserve">(</w:t>
      </w:r>
      <w:hyperlink r:id="rId108">
        <w:r>
          <w:rPr>
            <w:rStyle w:val="Hyperlink"/>
            <w:iCs/>
            <w:i/>
          </w:rPr>
          <w:t xml:space="preserve">Link</w:t>
        </w:r>
      </w:hyperlink>
      <w:r>
        <w:rPr>
          <w:iCs/>
          <w:i/>
        </w:rPr>
        <w:t xml:space="preserve">),</w:t>
      </w:r>
      <w:r>
        <w:rPr>
          <w:iCs/>
          <w:i/>
        </w:rPr>
        <w:t xml:space="preserve"> </w:t>
      </w:r>
      <w:r>
        <w:rPr>
          <w:iCs/>
          <w:i/>
        </w:rPr>
        <w:t xml:space="preserve">Annex IV. It should be accompanied by a summary written in a way that is</w:t>
      </w:r>
      <w:r>
        <w:rPr>
          <w:iCs/>
          <w:i/>
        </w:rPr>
        <w:t xml:space="preserve"> </w:t>
      </w:r>
      <w:r>
        <w:rPr>
          <w:iCs/>
          <w:i/>
        </w:rPr>
        <w:t xml:space="preserve">understandable to lay people. The content of the summary is given in CTR</w:t>
      </w:r>
      <w:r>
        <w:rPr>
          <w:iCs/>
          <w:i/>
        </w:rPr>
        <w:t xml:space="preserve"> </w:t>
      </w:r>
      <w:r>
        <w:rPr>
          <w:iCs/>
          <w:i/>
        </w:rPr>
        <w:t xml:space="preserve">(</w:t>
      </w:r>
      <w:hyperlink r:id="rId108">
        <w:r>
          <w:rPr>
            <w:rStyle w:val="Hyperlink"/>
            <w:iCs/>
            <w:i/>
          </w:rPr>
          <w:t xml:space="preserve">Link</w:t>
        </w:r>
      </w:hyperlink>
      <w:r>
        <w:rPr>
          <w:iCs/>
          <w:i/>
        </w:rPr>
        <w:t xml:space="preserve">),</w:t>
      </w:r>
      <w:r>
        <w:rPr>
          <w:iCs/>
          <w:i/>
        </w:rPr>
        <w:t xml:space="preserve"> </w:t>
      </w:r>
      <w:r>
        <w:rPr>
          <w:iCs/>
          <w:i/>
        </w:rPr>
        <w:t xml:space="preserve">Annex V.</w:t>
      </w:r>
    </w:p>
    <w:p>
      <w:pPr>
        <w:pStyle w:val="BodyText"/>
      </w:pPr>
      <w:r>
        <w:rPr>
          <w:iCs/>
          <w:i/>
        </w:rPr>
        <w:t xml:space="preserve">For clinical trials involving children, the above summaries must be</w:t>
      </w:r>
      <w:r>
        <w:rPr>
          <w:iCs/>
          <w:i/>
        </w:rPr>
        <w:t xml:space="preserve"> </w:t>
      </w:r>
      <w:r>
        <w:rPr>
          <w:iCs/>
          <w:i/>
        </w:rPr>
        <w:t xml:space="preserve">submitted within six months of the end of the trial. This shortened</w:t>
      </w:r>
      <w:r>
        <w:rPr>
          <w:iCs/>
          <w:i/>
        </w:rPr>
        <w:t xml:space="preserve"> </w:t>
      </w:r>
      <w:r>
        <w:rPr>
          <w:iCs/>
          <w:i/>
        </w:rPr>
        <w:t xml:space="preserve">deadline of six months applies to sponsors who are marketing</w:t>
      </w:r>
      <w:r>
        <w:rPr>
          <w:iCs/>
          <w:i/>
        </w:rPr>
        <w:t xml:space="preserve"> </w:t>
      </w:r>
      <w:r>
        <w:rPr>
          <w:iCs/>
          <w:i/>
        </w:rPr>
        <w:t xml:space="preserve">authorisation holders for the medicinal product.</w:t>
      </w:r>
    </w:p>
    <w:p>
      <w:pPr>
        <w:pStyle w:val="BodyText"/>
      </w:pPr>
      <w:r>
        <w:rPr>
          <w:iCs/>
          <w:i/>
        </w:rPr>
        <w:t xml:space="preserve">If the trial is submitted for marketing authorization of an</w:t>
      </w:r>
      <w:r>
        <w:rPr>
          <w:iCs/>
          <w:i/>
        </w:rPr>
        <w:t xml:space="preserve"> </w:t>
      </w:r>
      <w:r>
        <w:rPr>
          <w:iCs/>
          <w:i/>
        </w:rPr>
        <w:t xml:space="preserve">investigational medicinal product, the applicant for marketing</w:t>
      </w:r>
      <w:r>
        <w:rPr>
          <w:iCs/>
          <w:i/>
        </w:rPr>
        <w:t xml:space="preserve"> </w:t>
      </w:r>
      <w:r>
        <w:rPr>
          <w:iCs/>
          <w:i/>
        </w:rPr>
        <w:t xml:space="preserve">authorisation must also, in addition to the summary of results, submit</w:t>
      </w:r>
      <w:r>
        <w:rPr>
          <w:iCs/>
          <w:i/>
        </w:rPr>
        <w:t xml:space="preserve"> </w:t>
      </w:r>
      <w:r>
        <w:rPr>
          <w:iCs/>
          <w:i/>
        </w:rPr>
        <w:t xml:space="preserve">the full clinical trial report to CTIS within 30 days of the decision</w:t>
      </w:r>
      <w:r>
        <w:rPr>
          <w:iCs/>
          <w:i/>
        </w:rPr>
        <w:t xml:space="preserve"> </w:t>
      </w:r>
      <w:r>
        <w:rPr>
          <w:iCs/>
          <w:i/>
        </w:rPr>
        <w:t xml:space="preserve">being taken.</w:t>
      </w:r>
    </w:p>
    <w:p>
      <w:pPr>
        <w:pStyle w:val="BodyText"/>
      </w:pPr>
      <w:r>
        <w:rPr>
          <w:iCs/>
          <w:i/>
        </w:rPr>
        <w:t xml:space="preserve">In addition to submitting a summary of the results to CTIS a complete</w:t>
      </w:r>
      <w:r>
        <w:rPr>
          <w:iCs/>
          <w:i/>
        </w:rPr>
        <w:t xml:space="preserve"> </w:t>
      </w:r>
      <w:r>
        <w:rPr>
          <w:iCs/>
          <w:i/>
        </w:rPr>
        <w:t xml:space="preserve">report with individual data shall be available from the sponsor on</w:t>
      </w:r>
      <w:r>
        <w:rPr>
          <w:iCs/>
          <w:i/>
        </w:rPr>
        <w:t xml:space="preserve"> </w:t>
      </w:r>
      <w:r>
        <w:rPr>
          <w:iCs/>
          <w:i/>
        </w:rPr>
        <w:t xml:space="preserve">request or for any inspections by the Swedish Medical Products Agency</w:t>
      </w:r>
      <w:r>
        <w:rPr>
          <w:iCs/>
          <w:i/>
        </w:rPr>
        <w:t xml:space="preserve"> </w:t>
      </w:r>
      <w:r>
        <w:rPr>
          <w:iCs/>
          <w:i/>
        </w:rPr>
        <w:t xml:space="preserve">throughout the entire retention period. A published article is not to be</w:t>
      </w:r>
      <w:r>
        <w:rPr>
          <w:iCs/>
          <w:i/>
        </w:rPr>
        <w:t xml:space="preserve"> </w:t>
      </w:r>
      <w:r>
        <w:rPr>
          <w:iCs/>
          <w:i/>
        </w:rPr>
        <w:t xml:space="preserve">equated with a summary of a report. The report must contain sufficient</w:t>
      </w:r>
      <w:r>
        <w:rPr>
          <w:iCs/>
          <w:i/>
        </w:rPr>
        <w:t xml:space="preserve"> </w:t>
      </w:r>
      <w:r>
        <w:rPr>
          <w:iCs/>
          <w:i/>
        </w:rPr>
        <w:t xml:space="preserve">information so that the Swedish Medical Products Agency can make an</w:t>
      </w:r>
      <w:r>
        <w:rPr>
          <w:iCs/>
          <w:i/>
        </w:rPr>
        <w:t xml:space="preserve"> </w:t>
      </w:r>
      <w:r>
        <w:rPr>
          <w:iCs/>
          <w:i/>
        </w:rPr>
        <w:t xml:space="preserve">evaluation.</w:t>
      </w:r>
    </w:p>
    <w:p>
      <w:pPr>
        <w:pStyle w:val="BodyText"/>
      </w:pPr>
      <w:r>
        <w:rPr>
          <w:iCs/>
          <w:i/>
        </w:rPr>
        <w:t xml:space="preserve">In addition to submitting a summary of the results to CTIS, a full</w:t>
      </w:r>
      <w:r>
        <w:rPr>
          <w:iCs/>
          <w:i/>
        </w:rPr>
        <w:t xml:space="preserve"> </w:t>
      </w:r>
      <w:r>
        <w:rPr>
          <w:iCs/>
          <w:i/>
        </w:rPr>
        <w:t xml:space="preserve">clinical trial report with individual data shall be completed by the</w:t>
      </w:r>
      <w:r>
        <w:rPr>
          <w:iCs/>
          <w:i/>
        </w:rPr>
        <w:t xml:space="preserve"> </w:t>
      </w:r>
      <w:r>
        <w:rPr>
          <w:iCs/>
          <w:i/>
        </w:rPr>
        <w:t xml:space="preserve">sponsor and provided to Principal investigators. The clinical trial</w:t>
      </w:r>
      <w:r>
        <w:rPr>
          <w:iCs/>
          <w:i/>
        </w:rPr>
        <w:t xml:space="preserve"> </w:t>
      </w:r>
      <w:r>
        <w:rPr>
          <w:iCs/>
          <w:i/>
        </w:rPr>
        <w:t xml:space="preserve">report shall be archived in the Trial Master File by the sponsor and by</w:t>
      </w:r>
      <w:r>
        <w:rPr>
          <w:iCs/>
          <w:i/>
        </w:rPr>
        <w:t xml:space="preserve"> </w:t>
      </w:r>
      <w:r>
        <w:rPr>
          <w:iCs/>
          <w:i/>
        </w:rPr>
        <w:t xml:space="preserve">the principal investigator at each site, in their Investigator Site</w:t>
      </w:r>
      <w:r>
        <w:rPr>
          <w:iCs/>
          <w:i/>
        </w:rPr>
        <w:t xml:space="preserve"> </w:t>
      </w:r>
      <w:r>
        <w:rPr>
          <w:iCs/>
          <w:i/>
        </w:rPr>
        <w:t xml:space="preserve">Files, throughout the entire retention period, and available on request</w:t>
      </w:r>
      <w:r>
        <w:rPr>
          <w:iCs/>
          <w:i/>
        </w:rPr>
        <w:t xml:space="preserve"> </w:t>
      </w:r>
      <w:r>
        <w:rPr>
          <w:iCs/>
          <w:i/>
        </w:rPr>
        <w:t xml:space="preserve">for inspections by the authorities. The clinical trial report must</w:t>
      </w:r>
      <w:r>
        <w:rPr>
          <w:iCs/>
          <w:i/>
        </w:rPr>
        <w:t xml:space="preserve"> </w:t>
      </w:r>
      <w:r>
        <w:rPr>
          <w:iCs/>
          <w:i/>
        </w:rPr>
        <w:t xml:space="preserve">contain sufficient information so that the Swedish Medical Products</w:t>
      </w:r>
      <w:r>
        <w:rPr>
          <w:iCs/>
          <w:i/>
        </w:rPr>
        <w:t xml:space="preserve"> </w:t>
      </w:r>
      <w:r>
        <w:rPr>
          <w:iCs/>
          <w:i/>
        </w:rPr>
        <w:t xml:space="preserve">Agency or other authorities can make a complete evaluation of the trial</w:t>
      </w:r>
      <w:r>
        <w:rPr>
          <w:iCs/>
          <w:i/>
        </w:rPr>
        <w:t xml:space="preserve"> </w:t>
      </w:r>
      <w:r>
        <w:rPr>
          <w:iCs/>
          <w:i/>
        </w:rPr>
        <w:t xml:space="preserve">conduct and the results. A published article is not to be equated with</w:t>
      </w:r>
      <w:r>
        <w:rPr>
          <w:iCs/>
          <w:i/>
        </w:rPr>
        <w:t xml:space="preserve"> </w:t>
      </w:r>
      <w:r>
        <w:rPr>
          <w:iCs/>
          <w:i/>
        </w:rPr>
        <w:t xml:space="preserve">the summary report to CTIS or the full clinical trial report.</w:t>
      </w:r>
    </w:p>
    <w:p>
      <w:pPr>
        <w:pStyle w:val="BodyText"/>
      </w:pPr>
      <w:r>
        <w:rPr>
          <w:iCs/>
          <w:i/>
        </w:rPr>
        <w:t xml:space="preserve">The sponsor is responsible for the compilation of statistical analyses</w:t>
      </w:r>
      <w:r>
        <w:rPr>
          <w:iCs/>
          <w:i/>
        </w:rPr>
        <w:t xml:space="preserve"> </w:t>
      </w:r>
      <w:r>
        <w:rPr>
          <w:iCs/>
          <w:i/>
        </w:rPr>
        <w:t xml:space="preserve">and their presentation to involved principal investigators. These</w:t>
      </w:r>
      <w:r>
        <w:rPr>
          <w:iCs/>
          <w:i/>
        </w:rPr>
        <w:t xml:space="preserve"> </w:t>
      </w:r>
      <w:r>
        <w:rPr>
          <w:iCs/>
          <w:i/>
        </w:rPr>
        <w:t xml:space="preserve">analyses may be the basis for a manuscript for publication.</w:t>
      </w:r>
    </w:p>
    <w:p>
      <w:pPr>
        <w:pStyle w:val="BodyText"/>
      </w:pPr>
      <w:r>
        <w:rPr>
          <w:iCs/>
          <w:i/>
        </w:rPr>
        <w:t xml:space="preserve">If the results are summarized in a manuscript with the purpose to</w:t>
      </w:r>
      <w:r>
        <w:rPr>
          <w:iCs/>
          <w:i/>
        </w:rPr>
        <w:t xml:space="preserve"> </w:t>
      </w:r>
      <w:r>
        <w:rPr>
          <w:iCs/>
          <w:i/>
        </w:rPr>
        <w:t xml:space="preserve">publish in a scientific journal, it is recommended that the EU trial</w:t>
      </w:r>
      <w:r>
        <w:rPr>
          <w:iCs/>
          <w:i/>
        </w:rPr>
        <w:t xml:space="preserve"> </w:t>
      </w:r>
      <w:r>
        <w:rPr>
          <w:iCs/>
          <w:i/>
        </w:rPr>
        <w:t xml:space="preserve">number is stated at the end of the abstract. This clearly documents that</w:t>
      </w:r>
      <w:r>
        <w:rPr>
          <w:iCs/>
          <w:i/>
        </w:rPr>
        <w:t xml:space="preserve"> </w:t>
      </w:r>
      <w:r>
        <w:rPr>
          <w:iCs/>
          <w:i/>
        </w:rPr>
        <w:t xml:space="preserve">the trial has been published in advance and meets the requirements from</w:t>
      </w:r>
      <w:r>
        <w:rPr>
          <w:iCs/>
          <w:i/>
        </w:rPr>
        <w:t xml:space="preserve"> </w:t>
      </w:r>
      <w:r>
        <w:rPr>
          <w:iCs/>
          <w:i/>
        </w:rPr>
        <w:t xml:space="preserve">ICMJE (International Committee for Medical Journal Editors) that are set</w:t>
      </w:r>
      <w:r>
        <w:rPr>
          <w:iCs/>
          <w:i/>
        </w:rPr>
        <w:t xml:space="preserve"> </w:t>
      </w:r>
      <w:r>
        <w:rPr>
          <w:iCs/>
          <w:i/>
        </w:rPr>
        <w:t xml:space="preserve">for publications in medical science journals.</w:t>
      </w:r>
    </w:p>
    <w:p>
      <w:pPr>
        <w:pStyle w:val="BodyText"/>
      </w:pPr>
      <w:r>
        <w:rPr>
          <w:iCs/>
          <w:i/>
        </w:rPr>
        <w:t xml:space="preserve">If a clinical trial is suspended or prematurely terminated due to a</w:t>
      </w:r>
      <w:r>
        <w:rPr>
          <w:iCs/>
          <w:i/>
        </w:rPr>
        <w:t xml:space="preserve"> </w:t>
      </w:r>
      <w:r>
        <w:rPr>
          <w:iCs/>
          <w:i/>
        </w:rPr>
        <w:t xml:space="preserve">change in the risk-benefit balance, for reasons of subject safety, this</w:t>
      </w:r>
      <w:r>
        <w:rPr>
          <w:iCs/>
          <w:i/>
        </w:rPr>
        <w:t xml:space="preserve"> </w:t>
      </w:r>
      <w:r>
        <w:rPr>
          <w:iCs/>
          <w:i/>
        </w:rPr>
        <w:t xml:space="preserve">must be notified to the Member States concerned through CTIS. The</w:t>
      </w:r>
      <w:r>
        <w:rPr>
          <w:iCs/>
          <w:i/>
        </w:rPr>
        <w:t xml:space="preserve"> </w:t>
      </w:r>
      <w:r>
        <w:rPr>
          <w:iCs/>
          <w:i/>
        </w:rPr>
        <w:t xml:space="preserve">notification should be made as soon as possible, but not later than 15</w:t>
      </w:r>
      <w:r>
        <w:rPr>
          <w:iCs/>
          <w:i/>
        </w:rPr>
        <w:t xml:space="preserve"> </w:t>
      </w:r>
      <w:r>
        <w:rPr>
          <w:iCs/>
          <w:i/>
        </w:rPr>
        <w:t xml:space="preserve">days after the clinical trial was suspended or terminated prematurely.</w:t>
      </w:r>
      <w:r>
        <w:rPr>
          <w:iCs/>
          <w:i/>
        </w:rPr>
        <w:t xml:space="preserve"> </w:t>
      </w:r>
      <w:r>
        <w:rPr>
          <w:iCs/>
          <w:i/>
        </w:rPr>
        <w:t xml:space="preserve">The reasons for such action and follow-up measures must be provided. The</w:t>
      </w:r>
      <w:r>
        <w:rPr>
          <w:iCs/>
          <w:i/>
        </w:rPr>
        <w:t xml:space="preserve"> </w:t>
      </w:r>
      <w:r>
        <w:rPr>
          <w:iCs/>
          <w:i/>
        </w:rPr>
        <w:t xml:space="preserve">resumption of a clinical trial after its temporary interruption due to a</w:t>
      </w:r>
      <w:r>
        <w:rPr>
          <w:iCs/>
          <w:i/>
        </w:rPr>
        <w:t xml:space="preserve"> </w:t>
      </w:r>
      <w:r>
        <w:rPr>
          <w:iCs/>
          <w:i/>
        </w:rPr>
        <w:t xml:space="preserve">change in the benefit/risk balance is considered a substantial</w:t>
      </w:r>
      <w:r>
        <w:rPr>
          <w:iCs/>
          <w:i/>
        </w:rPr>
        <w:t xml:space="preserve"> </w:t>
      </w:r>
      <w:r>
        <w:rPr>
          <w:iCs/>
          <w:i/>
        </w:rPr>
        <w:t xml:space="preserve">modification.</w:t>
      </w:r>
    </w:p>
    <w:p>
      <w:pPr>
        <w:pStyle w:val="BodyText"/>
      </w:pPr>
      <w:r>
        <w:rPr>
          <w:iCs/>
          <w:i/>
        </w:rPr>
        <w:t xml:space="preserve">Interruptions that do not affect the benefit/risk relationship must be</w:t>
      </w:r>
      <w:r>
        <w:rPr>
          <w:iCs/>
          <w:i/>
        </w:rPr>
        <w:t xml:space="preserve"> </w:t>
      </w:r>
      <w:r>
        <w:rPr>
          <w:iCs/>
          <w:i/>
        </w:rPr>
        <w:t xml:space="preserve">notified, via CTIS, within 15 days, stating the reason for the</w:t>
      </w:r>
      <w:r>
        <w:rPr>
          <w:iCs/>
          <w:i/>
        </w:rPr>
        <w:t xml:space="preserve"> </w:t>
      </w:r>
      <w:r>
        <w:rPr>
          <w:iCs/>
          <w:i/>
        </w:rPr>
        <w:t xml:space="preserve">interruption. Notification of restart shall be made, via CTIS, within 15</w:t>
      </w:r>
      <w:r>
        <w:rPr>
          <w:iCs/>
          <w:i/>
        </w:rPr>
        <w:t xml:space="preserve"> </w:t>
      </w:r>
      <w:r>
        <w:rPr>
          <w:iCs/>
          <w:i/>
        </w:rPr>
        <w:t xml:space="preserve">days.See also section</w:t>
      </w:r>
      <w:r>
        <w:t xml:space="preserve"> </w:t>
      </w:r>
      <w:r>
        <w:rPr>
          <w:iCs/>
          <w:i/>
        </w:rPr>
        <w:t xml:space="preserve">5.4,</w:t>
      </w:r>
      <w:r>
        <w:t xml:space="preserve"> </w:t>
      </w:r>
      <w:r>
        <w:rPr>
          <w:iCs/>
          <w:i/>
        </w:rPr>
        <w:t xml:space="preserve">End of Trial, as well as section</w:t>
      </w:r>
      <w:r>
        <w:t xml:space="preserve"> </w:t>
      </w:r>
      <w:r>
        <w:rPr>
          <w:iCs/>
          <w:i/>
        </w:rPr>
        <w:t xml:space="preserve">6.4,</w:t>
      </w:r>
      <w:r>
        <w:t xml:space="preserve"> </w:t>
      </w:r>
      <w:r>
        <w:rPr>
          <w:iCs/>
          <w:i/>
        </w:rPr>
        <w:t xml:space="preserve">Withdrawal criteria.</w:t>
      </w:r>
    </w:p>
    <w:p>
      <w:pPr>
        <w:pStyle w:val="BodyText"/>
      </w:pPr>
      <w:r>
        <w:rPr>
          <w:iCs/>
          <w:i/>
        </w:rPr>
        <w:t xml:space="preserve">Text suggestion:</w:t>
      </w:r>
    </w:p>
    <w:p>
      <w:pPr>
        <w:pStyle w:val="BodyText"/>
      </w:pPr>
      <w:r>
        <w:t xml:space="preserve">End of the trial is reported in CTIS at the latest 15 days after</w:t>
      </w:r>
      <w:r>
        <w:t xml:space="preserve"> </w:t>
      </w:r>
      <w:r>
        <w:t xml:space="preserve">completion.</w:t>
      </w:r>
    </w:p>
    <w:p>
      <w:pPr>
        <w:pStyle w:val="BodyText"/>
      </w:pPr>
      <w:r>
        <w:t xml:space="preserve">Within one year of trial completion, a clinical study report is</w:t>
      </w:r>
      <w:r>
        <w:t xml:space="preserve"> </w:t>
      </w:r>
      <w:r>
        <w:t xml:space="preserve">completed, and a summary of the clinical trial results must be reported</w:t>
      </w:r>
      <w:r>
        <w:t xml:space="preserve"> </w:t>
      </w:r>
      <w:r>
        <w:t xml:space="preserve">in CTIS, including a summary for lay people.</w:t>
      </w:r>
    </w:p>
    <w:bookmarkEnd w:id="109"/>
    <w:bookmarkStart w:id="110" w:name="references"/>
    <w:p>
      <w:pPr>
        <w:pStyle w:val="Heading1"/>
      </w:pPr>
      <w:r>
        <w:t xml:space="preserve">12. References</w:t>
      </w:r>
    </w:p>
    <w:p>
      <w:pPr>
        <w:pStyle w:val="FirstParagraph"/>
      </w:pPr>
      <w:r>
        <w:rPr>
          <w:iCs/>
          <w:i/>
        </w:rPr>
        <w:t xml:space="preserve">Literature referenced in the text is listed here. The list should be</w:t>
      </w:r>
      <w:r>
        <w:rPr>
          <w:iCs/>
          <w:i/>
        </w:rPr>
        <w:t xml:space="preserve"> </w:t>
      </w:r>
      <w:r>
        <w:rPr>
          <w:iCs/>
          <w:i/>
        </w:rPr>
        <w:t xml:space="preserve">sorted in the order in which it is referred to in the protocol. For</w:t>
      </w:r>
      <w:r>
        <w:rPr>
          <w:iCs/>
          <w:i/>
        </w:rPr>
        <w:t xml:space="preserve"> </w:t>
      </w:r>
      <w:r>
        <w:rPr>
          <w:iCs/>
          <w:i/>
        </w:rPr>
        <w:t xml:space="preserve">example, the Vancouver system can be used.</w:t>
      </w:r>
    </w:p>
    <w:bookmarkEnd w:id="110"/>
    <w:bookmarkStart w:id="166" w:name="attachments"/>
    <w:p>
      <w:pPr>
        <w:pStyle w:val="Heading1"/>
      </w:pPr>
      <w:r>
        <w:t xml:space="preserve">13. Attachments</w:t>
      </w:r>
    </w:p>
    <w:p>
      <w:pPr>
        <w:pStyle w:val="FirstParagraph"/>
      </w:pPr>
      <w:r>
        <w:rPr>
          <w:iCs/>
          <w:i/>
        </w:rPr>
        <w:t xml:space="preserve">These could include, for example, validated self-report scales,</w:t>
      </w:r>
      <w:r>
        <w:rPr>
          <w:iCs/>
          <w:i/>
        </w:rPr>
        <w:t xml:space="preserve"> </w:t>
      </w:r>
      <w:r>
        <w:rPr>
          <w:iCs/>
          <w:i/>
        </w:rPr>
        <w:t xml:space="preserve">questionnaires, diaries, etc. All attachments should have a version</w:t>
      </w:r>
      <w:r>
        <w:rPr>
          <w:iCs/>
          <w:i/>
        </w:rPr>
        <w:t xml:space="preserve"> </w:t>
      </w:r>
      <w:r>
        <w:rPr>
          <w:iCs/>
          <w:i/>
        </w:rPr>
        <w:t xml:space="preserve">number and be dated.</w:t>
      </w:r>
    </w:p>
    <w:bookmarkStart w:id="165" w:name="refs"/>
    <w:bookmarkStart w:id="112" w:name="ref-injuries2020"/>
    <w:p>
      <w:pPr>
        <w:pStyle w:val="Bibliography"/>
      </w:pPr>
      <w:r>
        <w:t xml:space="preserve">1.</w:t>
      </w:r>
      <w:r>
        <w:t xml:space="preserve"> </w:t>
      </w:r>
      <w:r>
        <w:t xml:space="preserve">	</w:t>
      </w:r>
      <w:r>
        <w:t xml:space="preserve">GBD 2019 Diseases and Injuries Collaborators.</w:t>
      </w:r>
      <w:r>
        <w:t xml:space="preserve"> </w:t>
      </w:r>
      <w:hyperlink r:id="rId111">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12"/>
    <w:bookmarkStart w:id="114" w:name="ref-GBD2020"/>
    <w:p>
      <w:pPr>
        <w:pStyle w:val="Bibliography"/>
      </w:pPr>
      <w:r>
        <w:t xml:space="preserve">2.</w:t>
      </w:r>
      <w:r>
        <w:t xml:space="preserve"> </w:t>
      </w:r>
      <w:r>
        <w:t xml:space="preserve">	</w:t>
      </w:r>
      <w:r>
        <w:t xml:space="preserve">GBD 2019 Diseases and Injuries Collaborators.</w:t>
      </w:r>
      <w:r>
        <w:t xml:space="preserve"> </w:t>
      </w:r>
      <w:hyperlink r:id="rId113">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114"/>
    <w:bookmarkStart w:id="116" w:name="ref-Mohammad2013"/>
    <w:p>
      <w:pPr>
        <w:pStyle w:val="Bibliography"/>
      </w:pPr>
      <w:r>
        <w:t xml:space="preserve">3.</w:t>
      </w:r>
      <w:r>
        <w:t xml:space="preserve"> </w:t>
      </w:r>
      <w:r>
        <w:t xml:space="preserve">	</w:t>
      </w:r>
      <w:r>
        <w:t xml:space="preserve">Mohammad, A.</w:t>
      </w:r>
      <w:r>
        <w:t xml:space="preserve"> </w:t>
      </w:r>
      <w:r>
        <w:rPr>
          <w:iCs/>
          <w:i/>
        </w:rPr>
        <w:t xml:space="preserve">et al.</w:t>
      </w:r>
      <w:r>
        <w:t xml:space="preserve"> </w:t>
      </w:r>
      <w:hyperlink r:id="rId115">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116"/>
    <w:bookmarkStart w:id="118" w:name="ref-Jayaraman2014"/>
    <w:p>
      <w:pPr>
        <w:pStyle w:val="Bibliography"/>
      </w:pPr>
      <w:r>
        <w:t xml:space="preserve">4.</w:t>
      </w:r>
      <w:r>
        <w:t xml:space="preserve"> </w:t>
      </w:r>
      <w:r>
        <w:t xml:space="preserve">	</w:t>
      </w:r>
      <w:r>
        <w:t xml:space="preserve">Jayaraman, S.</w:t>
      </w:r>
      <w:r>
        <w:t xml:space="preserve"> </w:t>
      </w:r>
      <w:r>
        <w:rPr>
          <w:iCs/>
          <w:i/>
        </w:rPr>
        <w:t xml:space="preserve">et al.</w:t>
      </w:r>
      <w:r>
        <w:t xml:space="preserve"> </w:t>
      </w:r>
      <w:hyperlink r:id="rId117">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18"/>
    <w:bookmarkStart w:id="120" w:name="ref-Kadhum2020"/>
    <w:p>
      <w:pPr>
        <w:pStyle w:val="Bibliography"/>
      </w:pPr>
      <w:r>
        <w:t xml:space="preserve">5.</w:t>
      </w:r>
      <w:r>
        <w:t xml:space="preserve"> </w:t>
      </w:r>
      <w:r>
        <w:t xml:space="preserve">	</w:t>
      </w:r>
      <w:r>
        <w:t xml:space="preserve">Kadhum, M.</w:t>
      </w:r>
      <w:r>
        <w:t xml:space="preserve"> </w:t>
      </w:r>
      <w:r>
        <w:rPr>
          <w:iCs/>
          <w:i/>
        </w:rPr>
        <w:t xml:space="preserve">et al.</w:t>
      </w:r>
      <w:r>
        <w:t xml:space="preserve"> </w:t>
      </w:r>
      <w:hyperlink r:id="rId119">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20"/>
    <w:bookmarkStart w:id="122" w:name="ref-Jin2021"/>
    <w:p>
      <w:pPr>
        <w:pStyle w:val="Bibliography"/>
      </w:pPr>
      <w:r>
        <w:t xml:space="preserve">6.</w:t>
      </w:r>
      <w:r>
        <w:t xml:space="preserve"> </w:t>
      </w:r>
      <w:r>
        <w:t xml:space="preserve">	</w:t>
      </w:r>
      <w:r>
        <w:t xml:space="preserve">Jin, J.</w:t>
      </w:r>
      <w:r>
        <w:t xml:space="preserve"> </w:t>
      </w:r>
      <w:r>
        <w:rPr>
          <w:iCs/>
          <w:i/>
        </w:rPr>
        <w:t xml:space="preserve">et al.</w:t>
      </w:r>
      <w:r>
        <w:t xml:space="preserve"> </w:t>
      </w:r>
      <w:hyperlink r:id="rId121">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22"/>
    <w:bookmarkStart w:id="123" w:name="ref-acsAtls2018"/>
    <w:p>
      <w:pPr>
        <w:pStyle w:val="Bibliography"/>
      </w:pPr>
      <w:r>
        <w:t xml:space="preserve">7.</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23"/>
    <w:bookmarkStart w:id="125" w:name="ref-Rauf2019"/>
    <w:p>
      <w:pPr>
        <w:pStyle w:val="Bibliography"/>
      </w:pPr>
      <w:r>
        <w:t xml:space="preserve">8.</w:t>
      </w:r>
      <w:r>
        <w:t xml:space="preserve"> </w:t>
      </w:r>
      <w:r>
        <w:t xml:space="preserve">	</w:t>
      </w:r>
      <w:r>
        <w:t xml:space="preserve">Rauf, R.</w:t>
      </w:r>
      <w:r>
        <w:t xml:space="preserve"> </w:t>
      </w:r>
      <w:r>
        <w:rPr>
          <w:iCs/>
          <w:i/>
        </w:rPr>
        <w:t xml:space="preserve">et al.</w:t>
      </w:r>
      <w:r>
        <w:t xml:space="preserve"> </w:t>
      </w:r>
      <w:hyperlink r:id="rId124">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25"/>
    <w:bookmarkStart w:id="127" w:name="ref-Roy2017"/>
    <w:p>
      <w:pPr>
        <w:pStyle w:val="Bibliography"/>
      </w:pPr>
      <w:r>
        <w:t xml:space="preserve">9.</w:t>
      </w:r>
      <w:r>
        <w:t xml:space="preserve"> </w:t>
      </w:r>
      <w:r>
        <w:t xml:space="preserve">	</w:t>
      </w:r>
      <w:r>
        <w:t xml:space="preserve">Roy, N.</w:t>
      </w:r>
      <w:r>
        <w:t xml:space="preserve"> </w:t>
      </w:r>
      <w:r>
        <w:rPr>
          <w:iCs/>
          <w:i/>
        </w:rPr>
        <w:t xml:space="preserve">et al.</w:t>
      </w:r>
      <w:r>
        <w:t xml:space="preserve"> </w:t>
      </w:r>
      <w:hyperlink r:id="rId126">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27"/>
    <w:bookmarkStart w:id="129" w:name="ref-Callcut2019"/>
    <w:p>
      <w:pPr>
        <w:pStyle w:val="Bibliography"/>
      </w:pPr>
      <w:r>
        <w:t xml:space="preserve">10.</w:t>
      </w:r>
      <w:r>
        <w:t xml:space="preserve"> </w:t>
      </w:r>
      <w:r>
        <w:t xml:space="preserve">	</w:t>
      </w:r>
      <w:r>
        <w:t xml:space="preserve">Callcut, R. A.</w:t>
      </w:r>
      <w:r>
        <w:t xml:space="preserve"> </w:t>
      </w:r>
      <w:r>
        <w:rPr>
          <w:iCs/>
          <w:i/>
        </w:rPr>
        <w:t xml:space="preserve">et al.</w:t>
      </w:r>
      <w:r>
        <w:t xml:space="preserve"> </w:t>
      </w:r>
      <w:hyperlink r:id="rId128">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29"/>
    <w:bookmarkStart w:id="131" w:name="ref-Ghorbani2018"/>
    <w:p>
      <w:pPr>
        <w:pStyle w:val="Bibliography"/>
      </w:pPr>
      <w:r>
        <w:t xml:space="preserve">11.</w:t>
      </w:r>
      <w:r>
        <w:t xml:space="preserve"> </w:t>
      </w:r>
      <w:r>
        <w:t xml:space="preserve">	</w:t>
      </w:r>
      <w:r>
        <w:t xml:space="preserve">Ghorbani, P.</w:t>
      </w:r>
      <w:r>
        <w:t xml:space="preserve"> </w:t>
      </w:r>
      <w:r>
        <w:rPr>
          <w:iCs/>
          <w:i/>
        </w:rPr>
        <w:t xml:space="preserve">et al.</w:t>
      </w:r>
      <w:r>
        <w:t xml:space="preserve"> </w:t>
      </w:r>
      <w:hyperlink r:id="rId130">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31"/>
    <w:bookmarkStart w:id="132"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2"/>
    <w:bookmarkStart w:id="133"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111">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33"/>
    <w:bookmarkStart w:id="135"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34">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35"/>
    <w:bookmarkStart w:id="137"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36">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37"/>
    <w:bookmarkStart w:id="139"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38">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39"/>
    <w:bookmarkStart w:id="140"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0"/>
    <w:bookmarkStart w:id="142"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41">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42"/>
    <w:bookmarkStart w:id="144"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43">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44"/>
    <w:bookmarkStart w:id="146"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45">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46"/>
    <w:bookmarkStart w:id="148"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47">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48"/>
    <w:bookmarkStart w:id="150"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49">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50"/>
    <w:bookmarkStart w:id="152"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51">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52"/>
    <w:bookmarkStart w:id="154"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53">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54"/>
    <w:bookmarkStart w:id="156" w:name="ref-Bellanova2016"/>
    <w:p>
      <w:pPr>
        <w:pStyle w:val="Bibliography"/>
      </w:pPr>
      <w:r>
        <w:t xml:space="preserve">25.</w:t>
      </w:r>
      <w:r>
        <w:t xml:space="preserve"> </w:t>
      </w:r>
      <w:r>
        <w:t xml:space="preserve">	</w:t>
      </w:r>
      <w:r>
        <w:t xml:space="preserve">Giovanni Bellanova, R. B., Francesco Buccelletti.</w:t>
      </w:r>
      <w:r>
        <w:t xml:space="preserve"> </w:t>
      </w:r>
      <w:hyperlink r:id="rId155">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56"/>
    <w:bookmarkStart w:id="158"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57">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58"/>
    <w:bookmarkStart w:id="160"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59">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60"/>
    <w:bookmarkStart w:id="162"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61">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62"/>
    <w:bookmarkStart w:id="164"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63">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64"/>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31" Target="media/rId31.pdf" /><Relationship Type="http://schemas.openxmlformats.org/officeDocument/2006/relationships/hyperlink" Id="rId111" Target="" TargetMode="External" /><Relationship Type="http://schemas.openxmlformats.org/officeDocument/2006/relationships/hyperlink" Id="rId87" Target="file:///\RSFS080\hem0$\227130\Webbprojektet\Mallar\Tillf&#228;lligt\Pr&#246;vningsprotokoll%20med%20hj&#228;lptext-Mall-eng_v.%202022-05-25.docx#_Deviations,_serious_breaches" TargetMode="External" /><Relationship Type="http://schemas.openxmlformats.org/officeDocument/2006/relationships/hyperlink" Id="rId99" Target="http://www.lof.se/" TargetMode="External" /><Relationship Type="http://schemas.openxmlformats.org/officeDocument/2006/relationships/hyperlink" Id="rId69" Target="https://cioms.ch/wp-content/uploads/2017/05/cioms-form1.pdf" TargetMode="External" /><Relationship Type="http://schemas.openxmlformats.org/officeDocument/2006/relationships/hyperlink" Id="rId117" Target="https://doi.org/10.1002/14651858.cd004173.pub4" TargetMode="External" /><Relationship Type="http://schemas.openxmlformats.org/officeDocument/2006/relationships/hyperlink" Id="rId163" Target="https://doi.org/10.1002/sim.9438" TargetMode="External" /><Relationship Type="http://schemas.openxmlformats.org/officeDocument/2006/relationships/hyperlink" Id="rId115" Target="https://doi.org/10.1007/s00268-013-2294-0" TargetMode="External" /><Relationship Type="http://schemas.openxmlformats.org/officeDocument/2006/relationships/hyperlink" Id="rId153" Target="https://doi.org/10.1007/s00268-014-2899-y" TargetMode="External" /><Relationship Type="http://schemas.openxmlformats.org/officeDocument/2006/relationships/hyperlink" Id="rId121" Target="https://doi.org/10.1007/s00268-021-06065-9" TargetMode="External" /><Relationship Type="http://schemas.openxmlformats.org/officeDocument/2006/relationships/hyperlink" Id="rId134" Target="https://doi.org/10.1007/s002689900171" TargetMode="External" /><Relationship Type="http://schemas.openxmlformats.org/officeDocument/2006/relationships/hyperlink" Id="rId145" Target="https://doi.org/10.1016/j.ajem.2004.08.013" TargetMode="External" /><Relationship Type="http://schemas.openxmlformats.org/officeDocument/2006/relationships/hyperlink" Id="rId119" Target="https://doi.org/10.1016/j.injury.2019.10.084" TargetMode="External" /><Relationship Type="http://schemas.openxmlformats.org/officeDocument/2006/relationships/hyperlink" Id="rId149" Target="https://doi.org/10.1016/j.resuscitation.2010.10.005" TargetMode="External" /><Relationship Type="http://schemas.openxmlformats.org/officeDocument/2006/relationships/hyperlink" Id="rId138" Target="https://doi.org/10.1016/s0002-9610(88)80150-8" TargetMode="External" /><Relationship Type="http://schemas.openxmlformats.org/officeDocument/2006/relationships/hyperlink" Id="rId113" Target="https://doi.org/10.1016/s0140-6736(20)30925-9" TargetMode="External" /><Relationship Type="http://schemas.openxmlformats.org/officeDocument/2006/relationships/hyperlink" Id="rId143" Target="https://doi.org/10.1067/msy.2001.115898" TargetMode="External" /><Relationship Type="http://schemas.openxmlformats.org/officeDocument/2006/relationships/hyperlink" Id="rId161" Target="https://doi.org/10.1093/ije/dyaa077" TargetMode="External" /><Relationship Type="http://schemas.openxmlformats.org/officeDocument/2006/relationships/hyperlink" Id="rId141" Target="https://doi.org/10.1097/00005373-199306000-00022" TargetMode="External" /><Relationship Type="http://schemas.openxmlformats.org/officeDocument/2006/relationships/hyperlink" Id="rId136" Target="https://doi.org/10.1097/00005373-199901000-00013" TargetMode="External" /><Relationship Type="http://schemas.openxmlformats.org/officeDocument/2006/relationships/hyperlink" Id="rId128" Target="https://doi.org/10.1097/ta.0000000000002205" TargetMode="External" /><Relationship Type="http://schemas.openxmlformats.org/officeDocument/2006/relationships/hyperlink" Id="rId151" Target="https://doi.org/10.1097/ta.0b013e31829880a0" TargetMode="External" /><Relationship Type="http://schemas.openxmlformats.org/officeDocument/2006/relationships/hyperlink" Id="rId130" Target="https://doi.org/10.1111/aas.13151" TargetMode="External" /><Relationship Type="http://schemas.openxmlformats.org/officeDocument/2006/relationships/hyperlink" Id="rId159" Target="https://doi.org/10.1136/bmj.h391" TargetMode="External" /><Relationship Type="http://schemas.openxmlformats.org/officeDocument/2006/relationships/hyperlink" Id="rId157" Target="https://doi.org/10.1136/bmjopen-2021-057504" TargetMode="External" /><Relationship Type="http://schemas.openxmlformats.org/officeDocument/2006/relationships/hyperlink" Id="rId126" Target="https://doi.org/10.1186/s12913-017-2085-7" TargetMode="External" /><Relationship Type="http://schemas.openxmlformats.org/officeDocument/2006/relationships/hyperlink" Id="rId124" Target="https://doi.org/10.1371/journal.pone.0212095" TargetMode="External" /><Relationship Type="http://schemas.openxmlformats.org/officeDocument/2006/relationships/hyperlink" Id="rId104" Target="https://ec.europa.eu/health/medicinal-products/eudralex/eudralex-volume-10_en#set-of-documents-applicable-to-clinical-trials-that-will-be-authorised-under-regulation-eu-no-5362014-once-it-becomes-applicable" TargetMode="External" /><Relationship Type="http://schemas.openxmlformats.org/officeDocument/2006/relationships/hyperlink" Id="rId108" Target="https://eur-lex.europa.eu/legal-content/SV/TXT/?uri=CELEX%3A32014R0536" TargetMode="External" /><Relationship Type="http://schemas.openxmlformats.org/officeDocument/2006/relationships/hyperlink" Id="rId96" Target="https://eur-lex.europa.eu/legal-content/sv/ALL/?uri=CELEX:32014R0536" TargetMode="External" /><Relationship Type="http://schemas.openxmlformats.org/officeDocument/2006/relationships/hyperlink" Id="rId100" Target="https://lff.se/" TargetMode="External" /><Relationship Type="http://schemas.openxmlformats.org/officeDocument/2006/relationships/hyperlink" Id="rId155" Target="https://pubmed.ncbi.nlm.nih.gov/27025984/" TargetMode="External" /><Relationship Type="http://schemas.openxmlformats.org/officeDocument/2006/relationships/hyperlink" Id="rId90" Target="https://www.ema.europa.eu/en/documents/scientific-guideline/guideline-notification-serious-breaches-regulation-eu-no-536/2014-clinical-trial-protocol_en.pdf" TargetMode="External" /><Relationship Type="http://schemas.openxmlformats.org/officeDocument/2006/relationships/hyperlink" Id="rId39" Target="https://www.lakemedelsverket.se/sv/tillstand-godkannande-och-kontroll/klinisk-provning/lakemedel-for-manniskor/antikonception-preventivmetoder" TargetMode="External" /><Relationship Type="http://schemas.openxmlformats.org/officeDocument/2006/relationships/hyperlink" Id="rId95" Target="https://www.lakemedelsverket.se/sv/tillstand-godkannande-och-kontroll/klinisk-provning/lakemedel-for-manniskor/provningsforordning-536-2014/forsokspersoner-och-informerat-samtycke-enligt-forordning-536-2014" TargetMode="External" /><Relationship Type="http://schemas.openxmlformats.org/officeDocument/2006/relationships/hyperlink" Id="rId147"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111" Target="" TargetMode="External" /><Relationship Type="http://schemas.openxmlformats.org/officeDocument/2006/relationships/hyperlink" Id="rId87" Target="file:///\RSFS080\hem0$\227130\Webbprojektet\Mallar\Tillf&#228;lligt\Pr&#246;vningsprotokoll%20med%20hj&#228;lptext-Mall-eng_v.%202022-05-25.docx#_Deviations,_serious_breaches" TargetMode="External" /><Relationship Type="http://schemas.openxmlformats.org/officeDocument/2006/relationships/hyperlink" Id="rId99" Target="http://www.lof.se/" TargetMode="External" /><Relationship Type="http://schemas.openxmlformats.org/officeDocument/2006/relationships/hyperlink" Id="rId69" Target="https://cioms.ch/wp-content/uploads/2017/05/cioms-form1.pdf" TargetMode="External" /><Relationship Type="http://schemas.openxmlformats.org/officeDocument/2006/relationships/hyperlink" Id="rId117" Target="https://doi.org/10.1002/14651858.cd004173.pub4" TargetMode="External" /><Relationship Type="http://schemas.openxmlformats.org/officeDocument/2006/relationships/hyperlink" Id="rId163" Target="https://doi.org/10.1002/sim.9438" TargetMode="External" /><Relationship Type="http://schemas.openxmlformats.org/officeDocument/2006/relationships/hyperlink" Id="rId115" Target="https://doi.org/10.1007/s00268-013-2294-0" TargetMode="External" /><Relationship Type="http://schemas.openxmlformats.org/officeDocument/2006/relationships/hyperlink" Id="rId153" Target="https://doi.org/10.1007/s00268-014-2899-y" TargetMode="External" /><Relationship Type="http://schemas.openxmlformats.org/officeDocument/2006/relationships/hyperlink" Id="rId121" Target="https://doi.org/10.1007/s00268-021-06065-9" TargetMode="External" /><Relationship Type="http://schemas.openxmlformats.org/officeDocument/2006/relationships/hyperlink" Id="rId134" Target="https://doi.org/10.1007/s002689900171" TargetMode="External" /><Relationship Type="http://schemas.openxmlformats.org/officeDocument/2006/relationships/hyperlink" Id="rId145" Target="https://doi.org/10.1016/j.ajem.2004.08.013" TargetMode="External" /><Relationship Type="http://schemas.openxmlformats.org/officeDocument/2006/relationships/hyperlink" Id="rId119" Target="https://doi.org/10.1016/j.injury.2019.10.084" TargetMode="External" /><Relationship Type="http://schemas.openxmlformats.org/officeDocument/2006/relationships/hyperlink" Id="rId149" Target="https://doi.org/10.1016/j.resuscitation.2010.10.005" TargetMode="External" /><Relationship Type="http://schemas.openxmlformats.org/officeDocument/2006/relationships/hyperlink" Id="rId138" Target="https://doi.org/10.1016/s0002-9610(88)80150-8" TargetMode="External" /><Relationship Type="http://schemas.openxmlformats.org/officeDocument/2006/relationships/hyperlink" Id="rId113" Target="https://doi.org/10.1016/s0140-6736(20)30925-9" TargetMode="External" /><Relationship Type="http://schemas.openxmlformats.org/officeDocument/2006/relationships/hyperlink" Id="rId143" Target="https://doi.org/10.1067/msy.2001.115898" TargetMode="External" /><Relationship Type="http://schemas.openxmlformats.org/officeDocument/2006/relationships/hyperlink" Id="rId161" Target="https://doi.org/10.1093/ije/dyaa077" TargetMode="External" /><Relationship Type="http://schemas.openxmlformats.org/officeDocument/2006/relationships/hyperlink" Id="rId141" Target="https://doi.org/10.1097/00005373-199306000-00022" TargetMode="External" /><Relationship Type="http://schemas.openxmlformats.org/officeDocument/2006/relationships/hyperlink" Id="rId136" Target="https://doi.org/10.1097/00005373-199901000-00013" TargetMode="External" /><Relationship Type="http://schemas.openxmlformats.org/officeDocument/2006/relationships/hyperlink" Id="rId128" Target="https://doi.org/10.1097/ta.0000000000002205" TargetMode="External" /><Relationship Type="http://schemas.openxmlformats.org/officeDocument/2006/relationships/hyperlink" Id="rId151" Target="https://doi.org/10.1097/ta.0b013e31829880a0" TargetMode="External" /><Relationship Type="http://schemas.openxmlformats.org/officeDocument/2006/relationships/hyperlink" Id="rId130" Target="https://doi.org/10.1111/aas.13151" TargetMode="External" /><Relationship Type="http://schemas.openxmlformats.org/officeDocument/2006/relationships/hyperlink" Id="rId159" Target="https://doi.org/10.1136/bmj.h391" TargetMode="External" /><Relationship Type="http://schemas.openxmlformats.org/officeDocument/2006/relationships/hyperlink" Id="rId157" Target="https://doi.org/10.1136/bmjopen-2021-057504" TargetMode="External" /><Relationship Type="http://schemas.openxmlformats.org/officeDocument/2006/relationships/hyperlink" Id="rId126" Target="https://doi.org/10.1186/s12913-017-2085-7" TargetMode="External" /><Relationship Type="http://schemas.openxmlformats.org/officeDocument/2006/relationships/hyperlink" Id="rId124" Target="https://doi.org/10.1371/journal.pone.0212095" TargetMode="External" /><Relationship Type="http://schemas.openxmlformats.org/officeDocument/2006/relationships/hyperlink" Id="rId104" Target="https://ec.europa.eu/health/medicinal-products/eudralex/eudralex-volume-10_en#set-of-documents-applicable-to-clinical-trials-that-will-be-authorised-under-regulation-eu-no-5362014-once-it-becomes-applicable" TargetMode="External" /><Relationship Type="http://schemas.openxmlformats.org/officeDocument/2006/relationships/hyperlink" Id="rId108" Target="https://eur-lex.europa.eu/legal-content/SV/TXT/?uri=CELEX%3A32014R0536" TargetMode="External" /><Relationship Type="http://schemas.openxmlformats.org/officeDocument/2006/relationships/hyperlink" Id="rId96" Target="https://eur-lex.europa.eu/legal-content/sv/ALL/?uri=CELEX:32014R0536" TargetMode="External" /><Relationship Type="http://schemas.openxmlformats.org/officeDocument/2006/relationships/hyperlink" Id="rId100" Target="https://lff.se/" TargetMode="External" /><Relationship Type="http://schemas.openxmlformats.org/officeDocument/2006/relationships/hyperlink" Id="rId155" Target="https://pubmed.ncbi.nlm.nih.gov/27025984/" TargetMode="External" /><Relationship Type="http://schemas.openxmlformats.org/officeDocument/2006/relationships/hyperlink" Id="rId90" Target="https://www.ema.europa.eu/en/documents/scientific-guideline/guideline-notification-serious-breaches-regulation-eu-no-536/2014-clinical-trial-protocol_en.pdf" TargetMode="External" /><Relationship Type="http://schemas.openxmlformats.org/officeDocument/2006/relationships/hyperlink" Id="rId39" Target="https://www.lakemedelsverket.se/sv/tillstand-godkannande-och-kontroll/klinisk-provning/lakemedel-for-manniskor/antikonception-preventivmetoder" TargetMode="External" /><Relationship Type="http://schemas.openxmlformats.org/officeDocument/2006/relationships/hyperlink" Id="rId95" Target="https://www.lakemedelsverket.se/sv/tillstand-godkannande-och-kontroll/klinisk-provning/lakemedel-for-manniskor/provningsforordning-536-2014/forsokspersoner-och-informerat-samtycke-enligt-forordning-536-2014" TargetMode="External" /><Relationship Type="http://schemas.openxmlformats.org/officeDocument/2006/relationships/hyperlink" Id="rId147"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Protocol</dc:title>
  <dc:creator/>
  <cp:keywords/>
  <dcterms:created xsi:type="dcterms:W3CDTF">2023-12-05T12:17:35Z</dcterms:created>
  <dcterms:modified xsi:type="dcterms:W3CDTF">2023-12-05T12:17:35Z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nature.csl</vt:lpwstr>
  </property>
  <property fmtid="{D5CDD505-2E9C-101B-9397-08002B2CF9AE}" pid="5" name="fig-caption">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Effects of Advanced Trauma Life Support® Training Compared to Standard Care on Adult Trauma Patient Outcomes: A Cluster Randomised Trial</vt:lpwstr>
  </property>
  <property fmtid="{D5CDD505-2E9C-101B-9397-08002B2CF9AE}" pid="11" name="toc-title">
    <vt:lpwstr>Table of contents</vt:lpwstr>
  </property>
</Properties>
</file>