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pdf" ContentType="application/pdf"/>
  <Override PartName="/word/media/rId193.pdf" ContentType="application/pdf"/>
  <Override PartName="/word/media/rId196.pdf" ContentType="application/pdf"/>
  <Override PartName="/word/media/rId199.pdf" ContentType="application/pdf"/>
  <Override PartName="/word/media/rId79.pdf" ContentType="application/pdf"/>
  <Override PartName="/word/media/rId21.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0.5.0</w:t>
      </w:r>
      <w:r>
        <w:br/>
      </w:r>
      <w:r>
        <w:t xml:space="preserve">2024-01-16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Coordinator:</w:t>
      </w:r>
    </w:p>
    <w:p>
      <w:pPr>
        <w:pStyle w:val="BodyText"/>
      </w:pPr>
      <w:r>
        <w:t xml:space="preserve">Sponsor:</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p>
      <w:r>
        <w:br w:type="page"/>
      </w:r>
    </w:p>
    <w:bookmarkEnd w:id="20"/>
    <w:bookmarkStart w:id="26"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5"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4" w:name="fig-forest-plot"/>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4"/>
        </w:tc>
      </w:tr>
    </w:tbl>
    <w:bookmarkEnd w:id="25"/>
    <w:bookmarkEnd w:id="26"/>
    <w:bookmarkStart w:id="27"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7"/>
    <w:bookmarkStart w:id="28"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8"/>
    <w:bookmarkStart w:id="29" w:name="X00c24060cc0917b8d570def0c3baa97996a92f2"/>
    <w:p>
      <w:pPr>
        <w:pStyle w:val="Heading1"/>
      </w:pPr>
      <w:r>
        <w:t xml:space="preserve">5.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29"/>
    <w:bookmarkStart w:id="89" w:name="trial-design-and-procedures"/>
    <w:p>
      <w:pPr>
        <w:pStyle w:val="Heading1"/>
      </w:pPr>
      <w:r>
        <w:t xml:space="preserve">6. Trial design and procedures</w:t>
      </w:r>
    </w:p>
    <w:bookmarkStart w:id="30" w:name="overall-trial-design"/>
    <w:p>
      <w:pPr>
        <w:pStyle w:val="Heading2"/>
      </w:pPr>
      <w:r>
        <w:t xml:space="preserve">6.1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0"/>
    <w:bookmarkStart w:id="35" w:name="design-justification"/>
    <w:p>
      <w:pPr>
        <w:pStyle w:val="Heading2"/>
      </w:pPr>
      <w:r>
        <w:t xml:space="preserve">6.2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4" w:name="fig-trial-design"/>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4"/>
        </w:tc>
      </w:tr>
    </w:tbl>
    <w:bookmarkEnd w:id="35"/>
    <w:bookmarkStart w:id="36" w:name="eligibility-criteria"/>
    <w:p>
      <w:pPr>
        <w:pStyle w:val="Heading2"/>
      </w:pPr>
      <w:r>
        <w:t xml:space="preserve">6.3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6"/>
    <w:bookmarkStart w:id="41" w:name="hospital-selection"/>
    <w:p>
      <w:pPr>
        <w:pStyle w:val="Heading2"/>
      </w:pPr>
      <w:r>
        <w:t xml:space="preserve">6.4 Hospital selection</w:t>
      </w:r>
    </w:p>
    <w:p>
      <w:pPr>
        <w:pStyle w:val="FirstParagraph"/>
      </w:pPr>
      <w:r>
        <w:t xml:space="preserve">Hospitals will be secondary or tertiary hospitals providing trauma care in India.</w:t>
      </w:r>
    </w:p>
    <w:bookmarkStart w:id="37" w:name="inclusions-criteria"/>
    <w:p>
      <w:pPr>
        <w:pStyle w:val="Heading3"/>
      </w:pPr>
      <w:r>
        <w:t xml:space="preserve">6.4.1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37"/>
    <w:bookmarkStart w:id="40" w:name="exclusion-criteria"/>
    <w:p>
      <w:pPr>
        <w:pStyle w:val="Heading3"/>
      </w:pPr>
      <w:r>
        <w:t xml:space="preserve">6.4.2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38"/>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39"/>
      </w:r>
      <w:r>
        <w:t xml:space="preserve"> </w:t>
      </w:r>
      <w:r>
        <w:t xml:space="preserve">that affects trauma care during the trial period.</w:t>
      </w:r>
    </w:p>
    <w:bookmarkEnd w:id="40"/>
    <w:bookmarkEnd w:id="41"/>
    <w:bookmarkStart w:id="44" w:name="cluster-selection"/>
    <w:p>
      <w:pPr>
        <w:pStyle w:val="Heading2"/>
      </w:pPr>
      <w:r>
        <w:t xml:space="preserve">6.5 Cluster selection</w:t>
      </w:r>
    </w:p>
    <w:p>
      <w:pPr>
        <w:pStyle w:val="FirstParagraph"/>
      </w:pPr>
      <w:r>
        <w:t xml:space="preserve">Clusters are one or more units of physicians providing initial trauma care in the emergency department of secondary or tertiary hospitals in India.</w:t>
      </w:r>
    </w:p>
    <w:bookmarkStart w:id="42" w:name="inclusion-criteria"/>
    <w:p>
      <w:pPr>
        <w:pStyle w:val="Heading3"/>
      </w:pPr>
      <w:r>
        <w:t xml:space="preserve">6.5.1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3"/>
        </w:numPr>
        <w:pStyle w:val="Compact"/>
      </w:pPr>
      <w:r>
        <w:t xml:space="preserve">the hospital of the cluster provides surgical and orthopaedic emergency services around the clock; and</w:t>
      </w:r>
    </w:p>
    <w:p>
      <w:pPr>
        <w:numPr>
          <w:ilvl w:val="0"/>
          <w:numId w:val="1003"/>
        </w:numPr>
        <w:pStyle w:val="Compact"/>
      </w:pPr>
      <w:r>
        <w:t xml:space="preserve">no more than 25% of physicians providing initial trauma care trained in a formalised trauma life support training programme.</w:t>
      </w:r>
    </w:p>
    <w:bookmarkEnd w:id="42"/>
    <w:bookmarkStart w:id="43" w:name="screening"/>
    <w:p>
      <w:pPr>
        <w:pStyle w:val="Heading3"/>
      </w:pPr>
      <w:r>
        <w:t xml:space="preserve">6.5.2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w:t>
      </w:r>
      <w:r>
        <w:t xml:space="preserve"> </w:t>
      </w:r>
      <w:hyperlink w:anchor="X3fa50696d6e2531d34d9a3ff77dc0a2ba8099c2">
        <w:r>
          <w:rPr>
            <w:rStyle w:val="Hyperlink"/>
          </w:rPr>
          <w:t xml:space="preserve">Section 17.1</w:t>
        </w:r>
      </w:hyperlink>
      <w:r>
        <w:t xml:space="preserve">) in REDCap and logged in the associated REDCap database.</w:t>
      </w:r>
    </w:p>
    <w:p>
      <w:pPr>
        <w:pStyle w:val="BodyText"/>
      </w:pPr>
      <w:r>
        <w:t xml:space="preserve">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bookmarkEnd w:id="43"/>
    <w:bookmarkEnd w:id="44"/>
    <w:bookmarkStart w:id="49" w:name="patient-participants-selection"/>
    <w:p>
      <w:pPr>
        <w:pStyle w:val="Heading2"/>
      </w:pPr>
      <w:r>
        <w:t xml:space="preserve">6.6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5" w:name="inclusion-criteria-1"/>
    <w:p>
      <w:pPr>
        <w:pStyle w:val="Heading3"/>
      </w:pPr>
      <w:r>
        <w:t xml:space="preserve">6.6.1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trauma occurred less than 48 hours before arrival at the hospital.</w:t>
      </w:r>
    </w:p>
    <w:bookmarkEnd w:id="45"/>
    <w:bookmarkStart w:id="46" w:name="exclusion-criteria-1"/>
    <w:p>
      <w:pPr>
        <w:pStyle w:val="Heading3"/>
      </w:pPr>
      <w:r>
        <w:t xml:space="preserve">6.6.2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46"/>
    <w:bookmarkStart w:id="47" w:name="screening-1"/>
    <w:p>
      <w:pPr>
        <w:pStyle w:val="Heading3"/>
      </w:pPr>
      <w:r>
        <w:t xml:space="preserve">6.6.3 Screening</w:t>
      </w:r>
    </w:p>
    <w:p>
      <w:pPr>
        <w:pStyle w:val="FirstParagraph"/>
      </w:pPr>
      <w:r>
        <w:t xml:space="preserve">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contacted by phone. Phone numbers will be extracted from the emergency department registers, and will be securely held only by the clinical research coordinators at each sites</w:t>
      </w:r>
    </w:p>
    <w:bookmarkEnd w:id="47"/>
    <w:bookmarkStart w:id="48" w:name="withdrawal-criteria"/>
    <w:p>
      <w:pPr>
        <w:pStyle w:val="Heading3"/>
      </w:pPr>
      <w:r>
        <w:t xml:space="preserve">6.6.4 Withdrawal criteria</w:t>
      </w:r>
    </w:p>
    <w:p>
      <w:pPr>
        <w:pStyle w:val="FirstParagraph"/>
      </w:pPr>
      <w:r>
        <w:t xml:space="preserve">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48"/>
    <w:bookmarkEnd w:id="49"/>
    <w:bookmarkStart w:id="51" w:name="procedures"/>
    <w:p>
      <w:pPr>
        <w:pStyle w:val="Heading2"/>
      </w:pPr>
      <w:r>
        <w:t xml:space="preserve">6.7 Procedures</w:t>
      </w:r>
    </w:p>
    <w:p>
      <w:pPr>
        <w:pStyle w:val="FirstParagraph"/>
      </w:pPr>
      <w:hyperlink w:anchor="tbl-procedures">
        <w:r>
          <w:rPr>
            <w:rStyle w:val="Hyperlink"/>
          </w:rPr>
          <w:t xml:space="preserve">Table 1</w:t>
        </w:r>
      </w:hyperlink>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0" w:name="tbl-procedures"/>
    <w:p>
      <w:pPr>
        <w:pStyle w:val="TableCaption"/>
      </w:pPr>
      <w:r>
        <w:t xml:space="preserve">Table 1: Overview of trial procedures</w:t>
      </w:r>
    </w:p>
    <w:tbl>
      <w:tblPr>
        <w:tblStyle w:val="Table"/>
        <w:tblW w:type="auto" w:w="0"/>
        <w:tblLook w:firstRow="0" w:lastRow="0" w:firstColumn="0" w:lastColumn="0" w:noHBand="0" w:noVBand="0" w:val="0000"/>
        <w:jc w:val="start"/>
        <w:tblCaption w:val="Table 1: Overview of trial procedures"/>
      </w:tblPr>
      <w:tblGrid>
        <w:gridCol w:w="7920"/>
      </w:tblGrid>
      <w:tr>
        <w:tc>
          <w:tcPr/>
          <w:p>
            <w:pPr>
              <w:pStyle w:val="Compact"/>
            </w:pPr>
          </w:p>
        </w:tc>
      </w:tr>
    </w:tbl>
    <w:bookmarkEnd w:id="50"/>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bookmarkEnd w:id="51"/>
    <w:bookmarkStart w:id="52" w:name="biological-sampling-procedures"/>
    <w:p>
      <w:pPr>
        <w:pStyle w:val="Heading2"/>
      </w:pPr>
      <w:r>
        <w:t xml:space="preserve">6.8 Biological sampling procedures</w:t>
      </w:r>
    </w:p>
    <w:p>
      <w:pPr>
        <w:pStyle w:val="FirstParagraph"/>
      </w:pPr>
      <w:r>
        <w:t xml:space="preserve">This trial does not include biological sampling.</w:t>
      </w:r>
    </w:p>
    <w:bookmarkEnd w:id="52"/>
    <w:bookmarkStart w:id="53" w:name="end-of-trial"/>
    <w:p>
      <w:pPr>
        <w:pStyle w:val="Heading2"/>
      </w:pPr>
      <w:r>
        <w:t xml:space="preserve">6.9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3"/>
    <w:bookmarkStart w:id="57" w:name="intervention-and-control-treatment"/>
    <w:p>
      <w:pPr>
        <w:pStyle w:val="Heading2"/>
      </w:pPr>
      <w:r>
        <w:t xml:space="preserve">6.10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4" w:name="Xf02b29e15f63d0cbcdfc4516a30aea727e4ce25"/>
    <w:p>
      <w:pPr>
        <w:pStyle w:val="Heading3"/>
      </w:pPr>
      <w:r>
        <w:t xml:space="preserve">6.10.1 Description of investigational medicinal products</w:t>
      </w:r>
    </w:p>
    <w:p>
      <w:pPr>
        <w:pStyle w:val="FirstParagraph"/>
      </w:pPr>
      <w:r>
        <w:t xml:space="preserve">This trial does not include any investigational medicinal products.</w:t>
      </w:r>
    </w:p>
    <w:bookmarkEnd w:id="54"/>
    <w:bookmarkStart w:id="55" w:name="auxiliary-medicinal-products"/>
    <w:p>
      <w:pPr>
        <w:pStyle w:val="Heading3"/>
      </w:pPr>
      <w:r>
        <w:t xml:space="preserve">6.10.2 Auxiliary medicinal products</w:t>
      </w:r>
    </w:p>
    <w:p>
      <w:pPr>
        <w:pStyle w:val="FirstParagraph"/>
      </w:pPr>
      <w:r>
        <w:t xml:space="preserve">This trial does not include any auxiliary medicinal products.</w:t>
      </w:r>
    </w:p>
    <w:bookmarkEnd w:id="55"/>
    <w:bookmarkStart w:id="56" w:name="Xc2d650b6c6acd0528e005be9fdded9065220778"/>
    <w:p>
      <w:pPr>
        <w:pStyle w:val="Heading3"/>
      </w:pPr>
      <w:r>
        <w:t xml:space="preserve">6.10.3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6"/>
    <w:bookmarkEnd w:id="57"/>
    <w:bookmarkStart w:id="59" w:name="randomization"/>
    <w:p>
      <w:pPr>
        <w:pStyle w:val="Heading2"/>
      </w:pPr>
      <w:r>
        <w:t xml:space="preserve">6.11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58"/>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59"/>
    <w:bookmarkStart w:id="60" w:name="blinding"/>
    <w:p>
      <w:pPr>
        <w:pStyle w:val="Heading2"/>
      </w:pPr>
      <w:r>
        <w:t xml:space="preserve">6.12 Blinding</w:t>
      </w:r>
    </w:p>
    <w:p>
      <w:pPr>
        <w:pStyle w:val="FirstParagraph"/>
      </w:pPr>
      <w:r>
        <w:t xml:space="preserve">It is not possible to blind a stepped-wedge trial, because all clusters receive the intervention.</w:t>
      </w:r>
    </w:p>
    <w:bookmarkEnd w:id="60"/>
    <w:bookmarkStart w:id="61" w:name="treatment-after-trial-end"/>
    <w:p>
      <w:pPr>
        <w:pStyle w:val="Heading2"/>
      </w:pPr>
      <w:r>
        <w:t xml:space="preserve">6.13 Treatment after trial end</w:t>
      </w:r>
    </w:p>
    <w:p>
      <w:pPr>
        <w:pStyle w:val="FirstParagraph"/>
      </w:pPr>
      <w:r>
        <w:t xml:space="preserve">When the trial ends, the intervention will have been implemented in all clusters.</w:t>
      </w:r>
    </w:p>
    <w:bookmarkEnd w:id="61"/>
    <w:bookmarkStart w:id="64" w:name="outcomes"/>
    <w:p>
      <w:pPr>
        <w:pStyle w:val="Heading2"/>
      </w:pPr>
      <w:r>
        <w:t xml:space="preserve">6.14 Outcomes</w:t>
      </w:r>
    </w:p>
    <w:bookmarkStart w:id="62" w:name="primary-outcome"/>
    <w:p>
      <w:pPr>
        <w:pStyle w:val="Heading3"/>
      </w:pPr>
      <w:r>
        <w:t xml:space="preserve">6.14.1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2"/>
    <w:bookmarkStart w:id="63" w:name="secondary-outcomes"/>
    <w:p>
      <w:pPr>
        <w:pStyle w:val="Heading3"/>
      </w:pPr>
      <w:r>
        <w:t xml:space="preserve">6.14.2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3"/>
    <w:bookmarkEnd w:id="64"/>
    <w:bookmarkStart w:id="71" w:name="handling-of-adverse-and-safety-events"/>
    <w:p>
      <w:pPr>
        <w:pStyle w:val="Heading2"/>
      </w:pPr>
      <w:r>
        <w:t xml:space="preserve">6.15 Handling of Adverse and Safety Events</w:t>
      </w:r>
    </w:p>
    <w:bookmarkStart w:id="68" w:name="definitions"/>
    <w:p>
      <w:pPr>
        <w:pStyle w:val="Heading3"/>
      </w:pPr>
      <w:r>
        <w:t xml:space="preserve">6.15.1 Definitions</w:t>
      </w:r>
    </w:p>
    <w:bookmarkStart w:id="65" w:name="adverse-event"/>
    <w:p>
      <w:pPr>
        <w:pStyle w:val="Heading4"/>
      </w:pPr>
      <w:r>
        <w:t xml:space="preserve">6.15.1.1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5"/>
    <w:bookmarkStart w:id="66" w:name="serious-adverse-event"/>
    <w:p>
      <w:pPr>
        <w:pStyle w:val="Heading4"/>
      </w:pPr>
      <w:r>
        <w:t xml:space="preserve">6.15.1.2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66"/>
    <w:bookmarkStart w:id="67" w:name="safety-event"/>
    <w:p>
      <w:pPr>
        <w:pStyle w:val="Heading4"/>
      </w:pPr>
      <w:r>
        <w:t xml:space="preserve">6.15.1.3 Safety Event</w:t>
      </w:r>
    </w:p>
    <w:p>
      <w:pPr>
        <w:pStyle w:val="FirstParagraph"/>
      </w:pPr>
      <w:r>
        <w:t xml:space="preserve">Any unexpected serious complication that might occur as a consequence of the trial and that are not part of the natural history of trauma.</w:t>
      </w:r>
    </w:p>
    <w:bookmarkEnd w:id="67"/>
    <w:bookmarkEnd w:id="68"/>
    <w:bookmarkStart w:id="69" w:name="Xe8021c2d0f171fd00b40703432ee87583bb2075"/>
    <w:p>
      <w:pPr>
        <w:pStyle w:val="Heading3"/>
      </w:pPr>
      <w:r>
        <w:t xml:space="preserve">6.15.2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9"/>
    <w:bookmarkStart w:id="70" w:name="follow-up-of-safety-events"/>
    <w:p>
      <w:pPr>
        <w:pStyle w:val="Heading3"/>
      </w:pPr>
      <w:r>
        <w:t xml:space="preserve">6.15.3 Follow up of Safety Events</w:t>
      </w:r>
    </w:p>
    <w:p>
      <w:pPr>
        <w:pStyle w:val="FirstParagraph"/>
      </w:pPr>
      <w:r>
        <w:t xml:space="preserve">All safety events should be followed up by the local investigator until they are fully evaluated.</w:t>
      </w:r>
    </w:p>
    <w:bookmarkEnd w:id="70"/>
    <w:bookmarkEnd w:id="71"/>
    <w:bookmarkStart w:id="73" w:name="Xa22bc42d15e6a967920815a76e3f87a417b33fc"/>
    <w:p>
      <w:pPr>
        <w:pStyle w:val="Heading2"/>
      </w:pPr>
      <w:r>
        <w:t xml:space="preserve">6.16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72"/>
      </w:r>
    </w:p>
    <w:bookmarkEnd w:id="73"/>
    <w:bookmarkStart w:id="85" w:name="statistics"/>
    <w:p>
      <w:pPr>
        <w:pStyle w:val="Heading2"/>
      </w:pPr>
      <w:r>
        <w:t xml:space="preserve">6.17 Statistics</w:t>
      </w:r>
    </w:p>
    <w:bookmarkStart w:id="75" w:name="general-principles"/>
    <w:p>
      <w:pPr>
        <w:pStyle w:val="Heading3"/>
      </w:pPr>
      <w:r>
        <w:t xml:space="preserve">6.17.1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4"/>
      </w:r>
      <w:r>
        <w:t xml:space="preserve">. Additional subgroup analyses will include age across the groups older adolescents (15-19 years), young adults (20-24 years), adults (25-59 years), and older adults (60 years and older)</w:t>
      </w:r>
      <w:r>
        <w:rPr>
          <w:vertAlign w:val="superscript"/>
        </w:rPr>
        <w:t xml:space="preserve">31</w:t>
      </w:r>
      <w:r>
        <w:t xml:space="preserve">; sex; and the clinical cohorts blunt multisytem trauma, penetrating trauma, and severe isolated traumatic brain injury.</w:t>
      </w:r>
    </w:p>
    <w:bookmarkEnd w:id="75"/>
    <w:bookmarkStart w:id="76" w:name="analysis-models"/>
    <w:p>
      <w:pPr>
        <w:pStyle w:val="Heading3"/>
      </w:pPr>
      <w:r>
        <w:t xml:space="preserve">6.17.2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32</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6"/>
    <w:bookmarkStart w:id="77" w:name="additional-sensitivity-analyses"/>
    <w:p>
      <w:pPr>
        <w:pStyle w:val="Heading3"/>
      </w:pPr>
      <w:r>
        <w:t xml:space="preserve">6.17.3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7"/>
    <w:bookmarkStart w:id="78" w:name="X8ec26ac0c1a0fc3153cbf2da37e6e3209869316"/>
    <w:p>
      <w:pPr>
        <w:pStyle w:val="Heading3"/>
      </w:pPr>
      <w:r>
        <w:t xml:space="preserve">6.17.4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8"/>
    <w:bookmarkStart w:id="83" w:name="sample-size-calculations"/>
    <w:p>
      <w:pPr>
        <w:pStyle w:val="Heading3"/>
      </w:pPr>
      <w:r>
        <w:t xml:space="preserve">6.17.5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33,34</w:t>
      </w:r>
      <w:r>
        <w:t xml:space="preserve">, and a CAC of 0.9 but considered sensitivity across the range 0.8-1.0, based on our pilot study and current guidance</w:t>
      </w:r>
      <w:r>
        <w:rPr>
          <w:vertAlign w:val="superscript"/>
        </w:rPr>
        <w:t xml:space="preserve">35–37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2" w:name="fig-power-curves"/>
          <w:p>
            <w:pPr>
              <w:jc w:val="center"/>
            </w:pPr>
            <w:r>
              <w:drawing>
                <wp:inline>
                  <wp:extent cx="5334000" cy="2363694"/>
                  <wp:effectExtent b="0" l="0" r="0" t="0"/>
                  <wp:docPr descr="" title="" id="80" name="Picture"/>
                  <a:graphic>
                    <a:graphicData uri="http://schemas.openxmlformats.org/drawingml/2006/picture">
                      <pic:pic>
                        <pic:nvPicPr>
                          <pic:cNvPr descr="./combined-power-curves.pdf" id="81" name="Picture"/>
                          <pic:cNvPicPr>
                            <a:picLocks noChangeArrowheads="1" noChangeAspect="1"/>
                          </pic:cNvPicPr>
                        </pic:nvPicPr>
                        <pic:blipFill>
                          <a:blip r:embed="rId79"/>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2"/>
        </w:tc>
      </w:tr>
    </w:tbl>
    <w:bookmarkEnd w:id="83"/>
    <w:bookmarkStart w:id="84" w:name="interim-analysis"/>
    <w:p>
      <w:pPr>
        <w:pStyle w:val="Heading3"/>
      </w:pPr>
      <w:r>
        <w:t xml:space="preserve">6.17.6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independent Data Safety Monitoring committee.</w:t>
      </w:r>
    </w:p>
    <w:bookmarkEnd w:id="84"/>
    <w:bookmarkEnd w:id="85"/>
    <w:bookmarkStart w:id="86" w:name="quality-control-and-quality-assurance"/>
    <w:p>
      <w:pPr>
        <w:pStyle w:val="Heading2"/>
      </w:pPr>
      <w:r>
        <w:t xml:space="preserve">6.18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6"/>
    <w:bookmarkStart w:id="87" w:name="quality-assurance-and-sponsor-oversight"/>
    <w:p>
      <w:pPr>
        <w:pStyle w:val="Heading2"/>
      </w:pPr>
      <w:r>
        <w:t xml:space="preserve">6.19 Quality Assurance and Sponsor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7"/>
    <w:bookmarkStart w:id="88" w:name="monitoring"/>
    <w:p>
      <w:pPr>
        <w:pStyle w:val="Heading2"/>
      </w:pPr>
      <w:r>
        <w:t xml:space="preserve">6.20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88"/>
    <w:bookmarkEnd w:id="89"/>
    <w:bookmarkStart w:id="90" w:name="Xc375ff589a212c40edd22855353d68d440706fb"/>
    <w:p>
      <w:pPr>
        <w:pStyle w:val="Heading1"/>
      </w:pPr>
      <w:r>
        <w:t xml:space="preserve">7.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0"/>
    <w:bookmarkStart w:id="91" w:name="audits-and-inspections"/>
    <w:p>
      <w:pPr>
        <w:pStyle w:val="Heading1"/>
      </w:pPr>
      <w:r>
        <w:t xml:space="preserve">8.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1"/>
    <w:bookmarkStart w:id="97" w:name="ethics"/>
    <w:p>
      <w:pPr>
        <w:pStyle w:val="Heading1"/>
      </w:pPr>
      <w:r>
        <w:t xml:space="preserve">9. Ethics</w:t>
      </w:r>
    </w:p>
    <w:bookmarkStart w:id="92" w:name="Xe0806e4a59e9522910932ff33dfe2dc5d651a67"/>
    <w:p>
      <w:pPr>
        <w:pStyle w:val="Heading2"/>
      </w:pPr>
      <w:r>
        <w:t xml:space="preserve">9.1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2"/>
    <w:bookmarkStart w:id="93" w:name="ethical-review-of-the-trial"/>
    <w:p>
      <w:pPr>
        <w:pStyle w:val="Heading2"/>
      </w:pPr>
      <w:r>
        <w:t xml:space="preserve">9.2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3"/>
    <w:bookmarkStart w:id="94" w:name="procedure-for-obtaining-consent"/>
    <w:p>
      <w:pPr>
        <w:pStyle w:val="Heading2"/>
      </w:pPr>
      <w:r>
        <w:t xml:space="preserve">9.3 Procedure for obtaining consent</w:t>
      </w:r>
    </w:p>
    <w:p>
      <w:pPr>
        <w:pStyle w:val="FirstParagraph"/>
      </w:pPr>
      <w:r>
        <w:t xml:space="preserve">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about the study and they will be given the opportunity have their data deleted before final data analysis.</w:t>
      </w:r>
    </w:p>
    <w:p>
      <w:pPr>
        <w:pStyle w:val="BodyText"/>
      </w:pPr>
      <w:r>
        <w:t xml:space="preserve">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bookmarkEnd w:id="94"/>
    <w:bookmarkStart w:id="96" w:name="data-protection"/>
    <w:p>
      <w:pPr>
        <w:pStyle w:val="Heading2"/>
      </w:pPr>
      <w:r>
        <w:t xml:space="preserve">9.4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will explain how trial data are stored to maintain confidentiality in accordance with national data legislation</w:t>
      </w:r>
      <w:r>
        <w:rPr>
          <w:rStyle w:val="FootnoteReference"/>
        </w:rPr>
        <w:footnoteReference w:id="95"/>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6"/>
    <w:bookmarkEnd w:id="97"/>
    <w:bookmarkStart w:id="99" w:name="insurances"/>
    <w:p>
      <w:pPr>
        <w:pStyle w:val="Heading1"/>
      </w:pPr>
      <w:r>
        <w:t xml:space="preserve">10.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8"/>
      </w:r>
    </w:p>
    <w:bookmarkEnd w:id="99"/>
    <w:bookmarkStart w:id="100" w:name="substantial-changes-to-the-trial"/>
    <w:p>
      <w:pPr>
        <w:pStyle w:val="Heading1"/>
      </w:pPr>
      <w:r>
        <w:t xml:space="preserve">11.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100"/>
    <w:bookmarkStart w:id="114" w:name="Xc17b41b20b820bca94d2a36ea19933b641b018a"/>
    <w:p>
      <w:pPr>
        <w:pStyle w:val="Heading1"/>
      </w:pPr>
      <w:r>
        <w:t xml:space="preserve">12. Collection, handling, and archiving of data</w:t>
      </w:r>
    </w:p>
    <w:p>
      <w:pPr>
        <w:pStyle w:val="FirstParagraph"/>
      </w:pPr>
      <w:r>
        <w:t xml:space="preserve">Clinical research coordinators will collect data using a paper based Case Record Form (CRF)</w:t>
      </w:r>
      <w:r>
        <w:rPr>
          <w:rStyle w:val="FootnoteReference"/>
        </w:rPr>
        <w:footnoteReference w:id="101"/>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02"/>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5" w:name="source-data"/>
    <w:p>
      <w:pPr>
        <w:pStyle w:val="Heading2"/>
      </w:pPr>
      <w:r>
        <w:t xml:space="preserve">12.1 Source data</w:t>
      </w:r>
    </w:p>
    <w:p>
      <w:pPr>
        <w:pStyle w:val="FirstParagraph"/>
      </w:pPr>
      <w:r>
        <w:t xml:space="preserve">The source data for each variable is given in</w:t>
      </w:r>
      <w:r>
        <w:t xml:space="preserve"> </w:t>
      </w:r>
      <w:hyperlink w:anchor="sec-variables">
        <w:r>
          <w:rPr>
            <w:rStyle w:val="Hyperlink"/>
          </w:rPr>
          <w:t xml:space="preserve">Section 12.2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3"/>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4"/>
      </w:r>
    </w:p>
    <w:bookmarkEnd w:id="105"/>
    <w:bookmarkStart w:id="113" w:name="sec-variables"/>
    <w:p>
      <w:pPr>
        <w:pStyle w:val="Heading2"/>
      </w:pPr>
      <w:r>
        <w:t xml:space="preserve">12.2 Variables</w:t>
      </w:r>
    </w:p>
    <w:p>
      <w:pPr>
        <w:pStyle w:val="FirstParagraph"/>
      </w:pPr>
      <w:r>
        <w:rPr>
          <w:bCs/>
          <w:b/>
        </w:rPr>
        <w:t xml:space="preserve">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bookmarkStart w:id="106" w:name="baseline"/>
    <w:p>
      <w:pPr>
        <w:pStyle w:val="Heading3"/>
      </w:pPr>
      <w:r>
        <w:t xml:space="preserve">12.2.1 Baseline</w:t>
      </w:r>
    </w:p>
    <w:p>
      <w:pPr>
        <w:numPr>
          <w:ilvl w:val="0"/>
          <w:numId w:val="1009"/>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6"/>
    <w:bookmarkStart w:id="107" w:name="pre-hospital-data"/>
    <w:p>
      <w:pPr>
        <w:pStyle w:val="Heading3"/>
      </w:pPr>
      <w:r>
        <w:t xml:space="preserve">12.2.2 Pre-Hospital Data</w:t>
      </w:r>
    </w:p>
    <w:p>
      <w:pPr>
        <w:numPr>
          <w:ilvl w:val="0"/>
          <w:numId w:val="1010"/>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7"/>
    <w:bookmarkStart w:id="108" w:name="emergency-department-data"/>
    <w:p>
      <w:pPr>
        <w:pStyle w:val="Heading3"/>
      </w:pPr>
      <w:r>
        <w:t xml:space="preserve">12.2.3 Emergency Department Data</w:t>
      </w:r>
    </w:p>
    <w:p>
      <w:pPr>
        <w:numPr>
          <w:ilvl w:val="0"/>
          <w:numId w:val="1011"/>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8"/>
    <w:bookmarkStart w:id="109" w:name="hospital-data"/>
    <w:p>
      <w:pPr>
        <w:pStyle w:val="Heading3"/>
      </w:pPr>
      <w:r>
        <w:t xml:space="preserve">12.2.4 Hospital Data</w:t>
      </w:r>
    </w:p>
    <w:p>
      <w:pPr>
        <w:numPr>
          <w:ilvl w:val="0"/>
          <w:numId w:val="1012"/>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9"/>
    <w:bookmarkStart w:id="110" w:name="injury-data"/>
    <w:p>
      <w:pPr>
        <w:pStyle w:val="Heading3"/>
      </w:pPr>
      <w:r>
        <w:t xml:space="preserve">12.2.5 Injury Data</w:t>
      </w:r>
    </w:p>
    <w:p>
      <w:pPr>
        <w:numPr>
          <w:ilvl w:val="0"/>
          <w:numId w:val="1013"/>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10"/>
    <w:bookmarkStart w:id="111" w:name="outcomes-1"/>
    <w:p>
      <w:pPr>
        <w:pStyle w:val="Heading3"/>
      </w:pPr>
      <w:r>
        <w:t xml:space="preserve">12.2.6 Outcomes</w:t>
      </w:r>
    </w:p>
    <w:p>
      <w:pPr>
        <w:numPr>
          <w:ilvl w:val="0"/>
          <w:numId w:val="1014"/>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11"/>
    <w:bookmarkStart w:id="112" w:name="safety-events"/>
    <w:p>
      <w:pPr>
        <w:pStyle w:val="Heading3"/>
      </w:pPr>
      <w:r>
        <w:t xml:space="preserve">12.2.7 Safety Events</w:t>
      </w:r>
    </w:p>
    <w:p>
      <w:pPr>
        <w:numPr>
          <w:ilvl w:val="0"/>
          <w:numId w:val="1015"/>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12"/>
    <w:bookmarkEnd w:id="113"/>
    <w:bookmarkEnd w:id="114"/>
    <w:bookmarkStart w:id="115" w:name="trial-organization"/>
    <w:p>
      <w:pPr>
        <w:pStyle w:val="Heading1"/>
      </w:pPr>
      <w:r>
        <w:t xml:space="preserve">13. Trial Organization</w:t>
      </w:r>
    </w:p>
    <w:p>
      <w:pPr>
        <w:pStyle w:val="FirstParagraph"/>
      </w:pPr>
      <w:r>
        <w:rPr>
          <w:bCs/>
          <w:b/>
        </w:rPr>
        <w:t xml:space="preserve">More information will be added here</w:t>
      </w:r>
    </w:p>
    <w:bookmarkEnd w:id="115"/>
    <w:bookmarkStart w:id="116" w:name="funding"/>
    <w:p>
      <w:pPr>
        <w:pStyle w:val="Heading1"/>
      </w:pPr>
      <w:r>
        <w:t xml:space="preserve">14. Funding</w:t>
      </w:r>
    </w:p>
    <w:p>
      <w:pPr>
        <w:numPr>
          <w:ilvl w:val="0"/>
          <w:numId w:val="1016"/>
        </w:numPr>
        <w:pStyle w:val="Compact"/>
      </w:pPr>
      <w:r>
        <w:t xml:space="preserve">Swedish Research Council (reg. no. 2023-03128)</w:t>
      </w:r>
    </w:p>
    <w:bookmarkEnd w:id="116"/>
    <w:bookmarkStart w:id="117" w:name="Xa02c8ea30126bed8a88472fd16e8658d6d979bd"/>
    <w:p>
      <w:pPr>
        <w:pStyle w:val="Heading1"/>
      </w:pPr>
      <w:r>
        <w:t xml:space="preserve">15. Notification of trial completion, reporting, and publication</w:t>
      </w:r>
    </w:p>
    <w:p>
      <w:pPr>
        <w:pStyle w:val="FirstParagraph"/>
      </w:pPr>
      <w:r>
        <w:rPr>
          <w:bCs/>
          <w:b/>
        </w:rPr>
        <w:t xml:space="preserve">More information will be added here</w:t>
      </w:r>
    </w:p>
    <w:bookmarkEnd w:id="117"/>
    <w:bookmarkStart w:id="189" w:name="references"/>
    <w:p>
      <w:pPr>
        <w:pStyle w:val="Heading1"/>
      </w:pPr>
      <w:r>
        <w:t xml:space="preserve">16. References</w:t>
      </w:r>
    </w:p>
    <w:bookmarkStart w:id="188" w:name="refs"/>
    <w:bookmarkStart w:id="119" w:name="ref-injuries2020"/>
    <w:p>
      <w:pPr>
        <w:pStyle w:val="Bibliography"/>
      </w:pPr>
      <w:r>
        <w:t xml:space="preserve">1.</w:t>
      </w:r>
      <w:r>
        <w:t xml:space="preserve"> </w:t>
      </w:r>
      <w:r>
        <w:t xml:space="preserve">	</w:t>
      </w:r>
      <w:r>
        <w:t xml:space="preserve">GBD 2019 Diseases and Injuries Collaborators.</w:t>
      </w:r>
      <w:r>
        <w:t xml:space="preserve"> </w:t>
      </w:r>
      <w:hyperlink r:id="rId118">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9"/>
    <w:bookmarkStart w:id="121" w:name="ref-GBD2020"/>
    <w:p>
      <w:pPr>
        <w:pStyle w:val="Bibliography"/>
      </w:pPr>
      <w:r>
        <w:t xml:space="preserve">2.</w:t>
      </w:r>
      <w:r>
        <w:t xml:space="preserve"> </w:t>
      </w:r>
      <w:r>
        <w:t xml:space="preserve">	</w:t>
      </w:r>
      <w:r>
        <w:t xml:space="preserve">GBD 2019 Diseases and Injuries Collaborators.</w:t>
      </w:r>
      <w:r>
        <w:t xml:space="preserve"> </w:t>
      </w:r>
      <w:hyperlink r:id="rId120">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21"/>
    <w:bookmarkStart w:id="123"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w:t>
      </w:r>
      <w:hyperlink r:id="rId122">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23"/>
    <w:bookmarkStart w:id="125" w:name="ref-Roy2017"/>
    <w:p>
      <w:pPr>
        <w:pStyle w:val="Bibliography"/>
      </w:pPr>
      <w:r>
        <w:t xml:space="preserve">4.</w:t>
      </w:r>
      <w:r>
        <w:t xml:space="preserve"> </w:t>
      </w:r>
      <w:r>
        <w:t xml:space="preserve">	</w:t>
      </w:r>
      <w:r>
        <w:t xml:space="preserve">Roy, N.</w:t>
      </w:r>
      <w:r>
        <w:t xml:space="preserve"> </w:t>
      </w:r>
      <w:r>
        <w:rPr>
          <w:iCs/>
          <w:i/>
        </w:rPr>
        <w:t xml:space="preserve">et al.</w:t>
      </w:r>
      <w:r>
        <w:t xml:space="preserve"> </w:t>
      </w:r>
      <w:hyperlink r:id="rId124">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25"/>
    <w:bookmarkStart w:id="127"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w:t>
      </w:r>
      <w:hyperlink r:id="rId126">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27"/>
    <w:bookmarkStart w:id="129"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w:t>
      </w:r>
      <w:hyperlink r:id="rId128">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29"/>
    <w:bookmarkStart w:id="131"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w:t>
      </w:r>
      <w:hyperlink r:id="rId130">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31"/>
    <w:bookmarkStart w:id="133"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w:t>
      </w:r>
      <w:hyperlink r:id="rId132">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33"/>
    <w:bookmarkStart w:id="135"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w:t>
      </w:r>
      <w:hyperlink r:id="rId134">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5"/>
    <w:bookmarkStart w:id="137" w:name="ref-Jin2021"/>
    <w:p>
      <w:pPr>
        <w:pStyle w:val="Bibliography"/>
      </w:pPr>
      <w:r>
        <w:t xml:space="preserve">10.</w:t>
      </w:r>
      <w:r>
        <w:t xml:space="preserve"> </w:t>
      </w:r>
      <w:r>
        <w:t xml:space="preserve">	</w:t>
      </w:r>
      <w:r>
        <w:t xml:space="preserve">Jin, J.</w:t>
      </w:r>
      <w:r>
        <w:t xml:space="preserve"> </w:t>
      </w:r>
      <w:r>
        <w:rPr>
          <w:iCs/>
          <w:i/>
        </w:rPr>
        <w:t xml:space="preserve">et al.</w:t>
      </w:r>
      <w:r>
        <w:t xml:space="preserve"> </w:t>
      </w:r>
      <w:hyperlink r:id="rId136">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37"/>
    <w:bookmarkStart w:id="138"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38"/>
    <w:bookmarkStart w:id="139"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9"/>
    <w:bookmarkStart w:id="140"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8">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40"/>
    <w:bookmarkStart w:id="142"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41">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42"/>
    <w:bookmarkStart w:id="144"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43">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44"/>
    <w:bookmarkStart w:id="146"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45">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46"/>
    <w:bookmarkStart w:id="147"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7"/>
    <w:bookmarkStart w:id="149"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8">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9"/>
    <w:bookmarkStart w:id="151"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50">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51"/>
    <w:bookmarkStart w:id="153"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52">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53"/>
    <w:bookmarkStart w:id="15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54">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55"/>
    <w:bookmarkStart w:id="157"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56">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7"/>
    <w:bookmarkStart w:id="159"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8">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9"/>
    <w:bookmarkStart w:id="161"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60">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61"/>
    <w:bookmarkStart w:id="163" w:name="ref-Bellanova2016"/>
    <w:p>
      <w:pPr>
        <w:pStyle w:val="Bibliography"/>
      </w:pPr>
      <w:r>
        <w:t xml:space="preserve">25.</w:t>
      </w:r>
      <w:r>
        <w:t xml:space="preserve"> </w:t>
      </w:r>
      <w:r>
        <w:t xml:space="preserve">	</w:t>
      </w:r>
      <w:r>
        <w:t xml:space="preserve">Giovanni Bellanova, R. B., Francesco Buccelletti.</w:t>
      </w:r>
      <w:r>
        <w:t xml:space="preserve"> </w:t>
      </w:r>
      <w:hyperlink r:id="rId162">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63"/>
    <w:bookmarkStart w:id="165"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64">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65"/>
    <w:bookmarkStart w:id="167"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66">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7"/>
    <w:bookmarkStart w:id="169"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8">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9"/>
    <w:bookmarkStart w:id="171"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70">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71"/>
    <w:bookmarkStart w:id="173" w:name="ref-STEPCARE2023"/>
    <w:p>
      <w:pPr>
        <w:pStyle w:val="Bibliography"/>
      </w:pPr>
      <w:r>
        <w:t xml:space="preserve">30.</w:t>
      </w:r>
      <w:r>
        <w:t xml:space="preserve"> </w:t>
      </w:r>
      <w:r>
        <w:t xml:space="preserve">	</w:t>
      </w:r>
      <w:r>
        <w:t xml:space="preserve">Nielsen, Niklas.</w:t>
      </w:r>
      <w:r>
        <w:t xml:space="preserve"> </w:t>
      </w:r>
      <w:hyperlink r:id="rId172">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73"/>
    <w:bookmarkStart w:id="175" w:name="ref-Diaz2021"/>
    <w:p>
      <w:pPr>
        <w:pStyle w:val="Bibliography"/>
      </w:pPr>
      <w:r>
        <w:t xml:space="preserve">31.</w:t>
      </w:r>
      <w:r>
        <w:t xml:space="preserve"> </w:t>
      </w:r>
      <w:r>
        <w:t xml:space="preserve">	</w:t>
      </w:r>
      <w:r>
        <w:t xml:space="preserve">Diaz, T.</w:t>
      </w:r>
      <w:r>
        <w:t xml:space="preserve"> </w:t>
      </w:r>
      <w:r>
        <w:rPr>
          <w:iCs/>
          <w:i/>
        </w:rPr>
        <w:t xml:space="preserve">et al.</w:t>
      </w:r>
      <w:r>
        <w:t xml:space="preserve"> </w:t>
      </w:r>
      <w:hyperlink r:id="rId174">
        <w:r>
          <w:rPr>
            <w:rStyle w:val="Hyperlink"/>
          </w:rPr>
          <w:t xml:space="preserve">A call for standardised age-disaggregated health data</w:t>
        </w:r>
      </w:hyperlink>
      <w:r>
        <w:t xml:space="preserve">.</w:t>
      </w:r>
      <w:r>
        <w:t xml:space="preserve"> </w:t>
      </w:r>
      <w:r>
        <w:rPr>
          <w:iCs/>
          <w:i/>
        </w:rPr>
        <w:t xml:space="preserve">The Lancet Healthy Longevity</w:t>
      </w:r>
      <w:r>
        <w:t xml:space="preserve"> </w:t>
      </w:r>
      <w:r>
        <w:rPr>
          <w:bCs/>
          <w:b/>
        </w:rPr>
        <w:t xml:space="preserve">2</w:t>
      </w:r>
      <w:r>
        <w:t xml:space="preserve">, e436–e443 (2021).</w:t>
      </w:r>
    </w:p>
    <w:bookmarkEnd w:id="175"/>
    <w:bookmarkStart w:id="177" w:name="ref-Li2020"/>
    <w:p>
      <w:pPr>
        <w:pStyle w:val="Bibliography"/>
      </w:pPr>
      <w:r>
        <w:t xml:space="preserve">32.</w:t>
      </w:r>
      <w:r>
        <w:t xml:space="preserve"> </w:t>
      </w:r>
      <w:r>
        <w:t xml:space="preserve">	</w:t>
      </w:r>
      <w:r>
        <w:t xml:space="preserve">Li, F.</w:t>
      </w:r>
      <w:r>
        <w:t xml:space="preserve"> </w:t>
      </w:r>
      <w:r>
        <w:rPr>
          <w:iCs/>
          <w:i/>
        </w:rPr>
        <w:t xml:space="preserve">et al.</w:t>
      </w:r>
      <w:r>
        <w:t xml:space="preserve"> </w:t>
      </w:r>
      <w:hyperlink r:id="rId176">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77"/>
    <w:bookmarkStart w:id="179" w:name="ref-Campbell2005"/>
    <w:p>
      <w:pPr>
        <w:pStyle w:val="Bibliography"/>
      </w:pPr>
      <w:r>
        <w:t xml:space="preserve">33.</w:t>
      </w:r>
      <w:r>
        <w:t xml:space="preserve"> </w:t>
      </w:r>
      <w:r>
        <w:t xml:space="preserve">	</w:t>
      </w:r>
      <w:r>
        <w:t xml:space="preserve">Campbell, M. K.</w:t>
      </w:r>
      <w:r>
        <w:t xml:space="preserve"> </w:t>
      </w:r>
      <w:r>
        <w:rPr>
          <w:iCs/>
          <w:i/>
        </w:rPr>
        <w:t xml:space="preserve">et al.</w:t>
      </w:r>
      <w:r>
        <w:t xml:space="preserve"> </w:t>
      </w:r>
      <w:hyperlink r:id="rId178">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79"/>
    <w:bookmarkStart w:id="181" w:name="ref-Eldridge2015"/>
    <w:p>
      <w:pPr>
        <w:pStyle w:val="Bibliography"/>
      </w:pPr>
      <w:r>
        <w:t xml:space="preserve">34.</w:t>
      </w:r>
      <w:r>
        <w:t xml:space="preserve"> </w:t>
      </w:r>
      <w:r>
        <w:t xml:space="preserve">	</w:t>
      </w:r>
      <w:r>
        <w:t xml:space="preserve">Eldridge, S. M.</w:t>
      </w:r>
      <w:r>
        <w:t xml:space="preserve"> </w:t>
      </w:r>
      <w:r>
        <w:rPr>
          <w:iCs/>
          <w:i/>
        </w:rPr>
        <w:t xml:space="preserve">et al.</w:t>
      </w:r>
      <w:r>
        <w:t xml:space="preserve"> </w:t>
      </w:r>
      <w:hyperlink r:id="rId180">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81"/>
    <w:bookmarkStart w:id="183" w:name="ref-Hemming2020Feb"/>
    <w:p>
      <w:pPr>
        <w:pStyle w:val="Bibliography"/>
      </w:pPr>
      <w:r>
        <w:t xml:space="preserve">35.</w:t>
      </w:r>
      <w:r>
        <w:t xml:space="preserve"> </w:t>
      </w:r>
      <w:r>
        <w:t xml:space="preserve">	</w:t>
      </w:r>
      <w:r>
        <w:t xml:space="preserve">Hemming, K.</w:t>
      </w:r>
      <w:r>
        <w:t xml:space="preserve"> </w:t>
      </w:r>
      <w:r>
        <w:rPr>
          <w:iCs/>
          <w:i/>
        </w:rPr>
        <w:t xml:space="preserve">et al.</w:t>
      </w:r>
      <w:r>
        <w:t xml:space="preserve"> </w:t>
      </w:r>
      <w:hyperlink r:id="rId182">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83"/>
    <w:bookmarkStart w:id="185" w:name="ref-Martin2016"/>
    <w:p>
      <w:pPr>
        <w:pStyle w:val="Bibliography"/>
      </w:pPr>
      <w:r>
        <w:t xml:space="preserve">36.</w:t>
      </w:r>
      <w:r>
        <w:t xml:space="preserve"> </w:t>
      </w:r>
      <w:r>
        <w:t xml:space="preserve">	</w:t>
      </w:r>
      <w:r>
        <w:t xml:space="preserve">Martin, J.</w:t>
      </w:r>
      <w:r>
        <w:t xml:space="preserve"> </w:t>
      </w:r>
      <w:r>
        <w:rPr>
          <w:iCs/>
          <w:i/>
        </w:rPr>
        <w:t xml:space="preserve">et al.</w:t>
      </w:r>
      <w:r>
        <w:t xml:space="preserve"> </w:t>
      </w:r>
      <w:hyperlink r:id="rId184">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85"/>
    <w:bookmarkStart w:id="187" w:name="ref-Korevaar2021"/>
    <w:p>
      <w:pPr>
        <w:pStyle w:val="Bibliography"/>
      </w:pPr>
      <w:r>
        <w:t xml:space="preserve">37.</w:t>
      </w:r>
      <w:r>
        <w:t xml:space="preserve"> </w:t>
      </w:r>
      <w:r>
        <w:t xml:space="preserve">	</w:t>
      </w:r>
      <w:r>
        <w:t xml:space="preserve">Korevaar, E.</w:t>
      </w:r>
      <w:r>
        <w:t xml:space="preserve"> </w:t>
      </w:r>
      <w:r>
        <w:rPr>
          <w:iCs/>
          <w:i/>
        </w:rPr>
        <w:t xml:space="preserve">et al.</w:t>
      </w:r>
      <w:r>
        <w:t xml:space="preserve"> </w:t>
      </w:r>
      <w:hyperlink r:id="rId186">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87"/>
    <w:bookmarkEnd w:id="188"/>
    <w:bookmarkEnd w:id="189"/>
    <w:bookmarkStart w:id="203" w:name="appendices"/>
    <w:p>
      <w:pPr>
        <w:pStyle w:val="Heading1"/>
      </w:pPr>
      <w:r>
        <w:t xml:space="preserve">17. Appendices</w:t>
      </w:r>
    </w:p>
    <w:bookmarkStart w:id="202" w:name="X3fa50696d6e2531d34d9a3ff77dc0a2ba8099c2"/>
    <w:p>
      <w:pPr>
        <w:pStyle w:val="Heading2"/>
      </w:pPr>
      <w:r>
        <w:t xml:space="preserve">17.1 Cluster screening instrument</w:t>
      </w:r>
    </w:p>
    <w:p>
      <w:pPr>
        <w:pStyle w:val="FirstParagraph"/>
      </w:pPr>
      <w:r>
        <w:drawing>
          <wp:inline>
            <wp:extent cx="5334000" cy="7539317"/>
            <wp:effectExtent b="0" l="0" r="0" t="0"/>
            <wp:docPr descr="" title="" id="191" name="Picture"/>
            <a:graphic>
              <a:graphicData uri="http://schemas.openxmlformats.org/drawingml/2006/picture">
                <pic:pic>
                  <pic:nvPicPr>
                    <pic:cNvPr descr="./appendices/cluster-screening-instrument/cluster-screening-instrument-1.pdf" id="192" name="Picture"/>
                    <pic:cNvPicPr>
                      <a:picLocks noChangeArrowheads="1" noChangeAspect="1"/>
                    </pic:cNvPicPr>
                  </pic:nvPicPr>
                  <pic:blipFill>
                    <a:blip r:embed="rId19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4" name="Picture"/>
            <a:graphic>
              <a:graphicData uri="http://schemas.openxmlformats.org/drawingml/2006/picture">
                <pic:pic>
                  <pic:nvPicPr>
                    <pic:cNvPr descr="./appendices/cluster-screening-instrument/cluster-screening-instrument-2.pdf" id="195" name="Picture"/>
                    <pic:cNvPicPr>
                      <a:picLocks noChangeArrowheads="1" noChangeAspect="1"/>
                    </pic:cNvPicPr>
                  </pic:nvPicPr>
                  <pic:blipFill>
                    <a:blip r:embed="rId19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7" name="Picture"/>
            <a:graphic>
              <a:graphicData uri="http://schemas.openxmlformats.org/drawingml/2006/picture">
                <pic:pic>
                  <pic:nvPicPr>
                    <pic:cNvPr descr="./appendices/cluster-screening-instrument/cluster-screening-instrument-3.pdf" id="198" name="Picture"/>
                    <pic:cNvPicPr>
                      <a:picLocks noChangeArrowheads="1" noChangeAspect="1"/>
                    </pic:cNvPicPr>
                  </pic:nvPicPr>
                  <pic:blipFill>
                    <a:blip r:embed="rId19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0" name="Picture"/>
            <a:graphic>
              <a:graphicData uri="http://schemas.openxmlformats.org/drawingml/2006/picture">
                <pic:pic>
                  <pic:nvPicPr>
                    <pic:cNvPr descr="./appendices/cluster-screening-instrument/cluster-screening-instrument-4.pdf" id="201" name="Picture"/>
                    <pic:cNvPicPr>
                      <a:picLocks noChangeArrowheads="1" noChangeAspect="1"/>
                    </pic:cNvPicPr>
                  </pic:nvPicPr>
                  <pic:blipFill>
                    <a:blip r:embed="rId199"/>
                    <a:stretch>
                      <a:fillRect/>
                    </a:stretch>
                  </pic:blipFill>
                  <pic:spPr bwMode="auto">
                    <a:xfrm>
                      <a:off x="0" y="0"/>
                      <a:ext cx="5334000" cy="7539317"/>
                    </a:xfrm>
                    <a:prstGeom prst="rect">
                      <a:avLst/>
                    </a:prstGeom>
                    <a:noFill/>
                    <a:ln w="9525">
                      <a:noFill/>
                      <a:headEnd/>
                      <a:tailEnd/>
                    </a:ln>
                  </pic:spPr>
                </pic:pic>
              </a:graphicData>
            </a:graphic>
          </wp:inline>
        </w:drawing>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39">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58">
    <w:p>
      <w:pPr>
        <w:pStyle w:val="FootnoteText"/>
      </w:pPr>
      <w:r>
        <w:rPr>
          <w:rStyle w:val="FootnoteReference"/>
        </w:rPr>
        <w:footnoteRef/>
      </w:r>
      <w:r>
        <w:t xml:space="preserve"> </w:t>
      </w:r>
      <w:r>
        <w:t xml:space="preserve">Randomization will be done using bespoke code from previous trials.</w:t>
      </w:r>
    </w:p>
  </w:footnote>
  <w:footnote w:id="72">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4">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95">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8">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101">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102">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3">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4">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 Target="media/rId190.pdf" /><Relationship Type="http://schemas.openxmlformats.org/officeDocument/2006/relationships/image" Id="rId193" Target="media/rId193.pdf" /><Relationship Type="http://schemas.openxmlformats.org/officeDocument/2006/relationships/image" Id="rId196" Target="media/rId196.pdf" /><Relationship Type="http://schemas.openxmlformats.org/officeDocument/2006/relationships/image" Id="rId199" Target="media/rId199.pdf" /><Relationship Type="http://schemas.openxmlformats.org/officeDocument/2006/relationships/image" Id="rId79" Target="media/rId79.pdf" /><Relationship Type="http://schemas.openxmlformats.org/officeDocument/2006/relationships/image" Id="rId21" Target="media/rId21.pdf" /><Relationship Type="http://schemas.openxmlformats.org/officeDocument/2006/relationships/image" Id="rId31" Target="media/rId31.pdf" /><Relationship Type="http://schemas.openxmlformats.org/officeDocument/2006/relationships/hyperlink" Id="rId118" Target="" TargetMode="External" /><Relationship Type="http://schemas.openxmlformats.org/officeDocument/2006/relationships/hyperlink" Id="rId132"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30"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36"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34"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26"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28"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24"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22"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8" Target="" TargetMode="External" /><Relationship Type="http://schemas.openxmlformats.org/officeDocument/2006/relationships/hyperlink" Id="rId132"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30"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36"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34"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26"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28"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24"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22"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2024-01-20T06:49:52Z</dcterms:created>
  <dcterms:modified xsi:type="dcterms:W3CDTF">2024-01-20T06:49:52Z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0.5.0 2024-01-16</vt:lpwstr>
  </property>
  <property fmtid="{D5CDD505-2E9C-101B-9397-08002B2CF9AE}" pid="12" name="toc-title">
    <vt:lpwstr>Table of contents</vt:lpwstr>
  </property>
</Properties>
</file>