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0.2.0</w:t>
      </w:r>
      <w:r>
        <w:br/>
      </w:r>
      <w:r>
        <w:t xml:space="preserve">2023-12-11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Sponsor: Karolinska Institutet</w:t>
      </w:r>
    </w:p>
    <w:p>
      <w:pPr>
        <w:pStyle w:val="BodyText"/>
      </w:pPr>
      <w:r>
        <w:t xml:space="preserve">Co-sponsor: The George Institute for Global Health, India</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w:t>
      </w:r>
      <w:r>
        <w:rPr>
          <w:vertAlign w:val="superscript"/>
        </w:rPr>
        <w:t xml:space="preserve">1,2</w:t>
      </w:r>
      <w:r>
        <w:t xml:space="preserve">. Many training programmes have been developed to help physicians in the initial management of trauma patients</w:t>
      </w:r>
      <w:r>
        <w:rPr>
          <w:vertAlign w:val="superscript"/>
        </w:rPr>
        <w:t xml:space="preserve">3–6</w:t>
      </w:r>
      <w:r>
        <w:t xml:space="preserve">.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w:t>
      </w:r>
      <w:r>
        <w:rPr>
          <w:vertAlign w:val="superscript"/>
        </w:rPr>
        <w:t xml:space="preserve">7</w:t>
      </w:r>
      <w:r>
        <w:t xml:space="preserve">. Despite its widespread use, there are no controlled trials showing that ATLS</w:t>
      </w:r>
      <w:r>
        <w:rPr>
          <w:vertAlign w:val="superscript"/>
        </w:rPr>
        <w:t xml:space="preserve">®</w:t>
      </w:r>
      <w:r>
        <w:t xml:space="preserve"> </w:t>
      </w:r>
      <w:r>
        <w:t xml:space="preserve">improves patient outcomes</w:t>
      </w:r>
      <w:r>
        <w:rPr>
          <w:vertAlign w:val="superscript"/>
        </w:rPr>
        <w:t xml:space="preserve">3,4,6</w:t>
      </w:r>
      <w:r>
        <w:t xml:space="preserve">. Multiple systematic reviews emphasise the need for such trials</w:t>
      </w:r>
      <w:r>
        <w:rPr>
          <w:vertAlign w:val="superscript"/>
        </w:rPr>
        <w:t xml:space="preserve">3,4,6</w:t>
      </w:r>
      <w:r>
        <w:t xml:space="preserve">.</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w:t>
      </w:r>
      <w:r>
        <w:t xml:space="preserve"> </w:t>
      </w:r>
      <w:r>
        <w:t xml:space="preserve">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programme.</w:t>
      </w:r>
    </w:p>
    <w:p>
      <w:pPr>
        <w:pStyle w:val="BodyText"/>
      </w:pPr>
      <w:r>
        <w:rPr>
          <w:iCs/>
          <w:i/>
        </w:rPr>
        <w:t xml:space="preserve">Patients</w:t>
      </w:r>
      <w:r>
        <w:t xml:space="preserve"> </w:t>
      </w:r>
      <w:r>
        <w:t xml:space="preserve">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In-hospital data collection will be conducted under a waiver of informed consent. Patients will be informed about the trial and their right to opt out of data collection. Patients will be informed that they can withdraw their data from the trial at any time.</w:t>
      </w:r>
    </w:p>
    <w:p>
      <w:pPr>
        <w:pStyle w:val="BodyText"/>
      </w:pPr>
      <w:r>
        <w:rPr>
          <w:bCs/>
          <w:b/>
        </w:rPr>
        <w:t xml:space="preserve">Trial Period</w:t>
      </w:r>
      <w:r>
        <w:t xml:space="preserve"> </w:t>
      </w:r>
      <w:r>
        <w:t xml:space="preserve">2024-10-01 to 2029-10-01</w:t>
      </w:r>
    </w:p>
    <w:p>
      <w:r>
        <w:br w:type="page"/>
      </w:r>
    </w:p>
    <w:bookmarkEnd w:id="20"/>
    <w:bookmarkStart w:id="26" w:name="background-and-rationale"/>
    <w:p>
      <w:pPr>
        <w:pStyle w:val="Heading1"/>
      </w:pPr>
      <w:r>
        <w:t xml:space="preserve">2.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8</w:t>
      </w:r>
      <w:r>
        <w:t xml:space="preserve">. Traumatic brain injury and exsanguination are the most common causes of trauma deaths</w:t>
      </w:r>
      <w:r>
        <w:rPr>
          <w:vertAlign w:val="superscript"/>
        </w:rPr>
        <w:t xml:space="preserve">9,10</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9,11</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3–6</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7</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5</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3,4,6</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recruitment rate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5" w:name="updated-systematic-review"/>
    <w:p>
      <w:pPr>
        <w:pStyle w:val="Heading2"/>
      </w:pPr>
      <w:r>
        <w:t xml:space="preserve">2.1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4" w:name="fig-forest-plot"/>
          <w:p>
            <w:pPr>
              <w:jc w:val="center"/>
            </w:pPr>
            <w:r>
              <w:drawing>
                <wp:inline>
                  <wp:extent cx="5334000" cy="2667000"/>
                  <wp:effectExtent b="0" l="0" r="0" t="0"/>
                  <wp:docPr descr="" title="" id="22" name="Picture"/>
                  <a:graphic>
                    <a:graphicData uri="http://schemas.openxmlformats.org/drawingml/2006/picture">
                      <pic:pic>
                        <pic:nvPicPr>
                          <pic:cNvPr descr="forest-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4"/>
        </w:tc>
      </w:tr>
    </w:tbl>
    <w:bookmarkEnd w:id="25"/>
    <w:bookmarkEnd w:id="26"/>
    <w:bookmarkStart w:id="27" w:name="benefit-risk-evaluation"/>
    <w:p>
      <w:pPr>
        <w:pStyle w:val="Heading1"/>
      </w:pPr>
      <w:r>
        <w:t xml:space="preserve">3.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7"/>
    <w:bookmarkStart w:id="28" w:name="trial-aim"/>
    <w:p>
      <w:pPr>
        <w:pStyle w:val="Heading1"/>
      </w:pPr>
      <w:r>
        <w:t xml:space="preserve">4.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8"/>
    <w:bookmarkStart w:id="29" w:name="X00c24060cc0917b8d570def0c3baa97996a92f2"/>
    <w:p>
      <w:pPr>
        <w:pStyle w:val="Heading1"/>
      </w:pPr>
      <w:r>
        <w:t xml:space="preserve">5. Regulatory approvals and trial registration</w:t>
      </w:r>
    </w:p>
    <w:p>
      <w:pPr>
        <w:pStyle w:val="FirstParagraph"/>
      </w:pPr>
      <w:r>
        <w:t xml:space="preserve">This trial will be submitted to the Health Ministry Screening Committee at the Indian Council for Medical Research for their approval, and registered with Clinical Trials Registry-India and ClinicalTrials.gov.</w:t>
      </w:r>
    </w:p>
    <w:bookmarkEnd w:id="29"/>
    <w:bookmarkStart w:id="86" w:name="trial-design-and-procedures"/>
    <w:p>
      <w:pPr>
        <w:pStyle w:val="Heading1"/>
      </w:pPr>
      <w:r>
        <w:t xml:space="preserve">6. Trial design and procedures</w:t>
      </w:r>
    </w:p>
    <w:bookmarkStart w:id="30" w:name="overall-trial-design"/>
    <w:p>
      <w:pPr>
        <w:pStyle w:val="Heading2"/>
      </w:pPr>
      <w:r>
        <w:t xml:space="preserve">6.1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 tertiary hospital in India. We will conduct this trial in India because physicians providing initial trauma care in India are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bookmarkEnd w:id="30"/>
    <w:bookmarkStart w:id="35" w:name="design-justification"/>
    <w:p>
      <w:pPr>
        <w:pStyle w:val="Heading2"/>
      </w:pPr>
      <w:r>
        <w:t xml:space="preserve">6.2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4" w:name="fig-trial-design"/>
          <w:p>
            <w:pPr>
              <w:jc w:val="center"/>
            </w:pPr>
            <w:r>
              <w:drawing>
                <wp:inline>
                  <wp:extent cx="5334000" cy="2667000"/>
                  <wp:effectExtent b="0" l="0" r="0" t="0"/>
                  <wp:docPr descr="" title="" id="32" name="Picture"/>
                  <a:graphic>
                    <a:graphicData uri="http://schemas.openxmlformats.org/drawingml/2006/picture">
                      <pic:pic>
                        <pic:nvPicPr>
                          <pic:cNvPr descr="trial-design-figure-30-clusters-5-sequences-6-batches-6-batches-overlap-4-min-standard-care-4-min-intervention-1-transition-months-0-transition-overlap.pdf"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4"/>
        </w:tc>
      </w:tr>
    </w:tbl>
    <w:bookmarkEnd w:id="35"/>
    <w:bookmarkStart w:id="40" w:name="cluster-selection"/>
    <w:p>
      <w:pPr>
        <w:pStyle w:val="Heading2"/>
      </w:pPr>
      <w:r>
        <w:t xml:space="preserve">6.3 Cluster selection</w:t>
      </w:r>
    </w:p>
    <w:bookmarkStart w:id="36" w:name="eligibility-criteria"/>
    <w:p>
      <w:pPr>
        <w:pStyle w:val="Heading3"/>
      </w:pPr>
      <w:r>
        <w:t xml:space="preserve">6.3.1 Eligibility criteria</w:t>
      </w:r>
    </w:p>
    <w:p>
      <w:pPr>
        <w:pStyle w:val="FirstParagraph"/>
      </w:pPr>
      <w:r>
        <w:rPr>
          <w:bCs/>
          <w:b/>
        </w:rPr>
        <w:t xml:space="preserve">Clusters</w:t>
      </w:r>
      <w:r>
        <w:t xml:space="preserve"> </w:t>
      </w:r>
      <w:r>
        <w:t xml:space="preserve">must meet the following criteria:</w:t>
      </w:r>
    </w:p>
    <w:p>
      <w:pPr>
        <w:numPr>
          <w:ilvl w:val="0"/>
          <w:numId w:val="1001"/>
        </w:numPr>
        <w:pStyle w:val="Compact"/>
      </w:pPr>
      <w:r>
        <w:t xml:space="preserve">admits or refers/transfers for admission at least 400 patients with trauma per year or 35 patients with trauma per month for at least the last six months;</w:t>
      </w:r>
    </w:p>
    <w:p>
      <w:pPr>
        <w:numPr>
          <w:ilvl w:val="0"/>
          <w:numId w:val="1001"/>
        </w:numPr>
        <w:pStyle w:val="Compact"/>
      </w:pPr>
      <w:r>
        <w:t xml:space="preserve">receives no more than 25% of trauma patients as referrals/transfers from other hospitals;</w:t>
      </w:r>
    </w:p>
    <w:p>
      <w:pPr>
        <w:numPr>
          <w:ilvl w:val="0"/>
          <w:numId w:val="1001"/>
        </w:numPr>
        <w:pStyle w:val="Compact"/>
      </w:pPr>
      <w:r>
        <w:t xml:space="preserve">provides surgical and orthopaedic emergency services around the clock; and</w:t>
      </w:r>
    </w:p>
    <w:p>
      <w:pPr>
        <w:numPr>
          <w:ilvl w:val="0"/>
          <w:numId w:val="1001"/>
        </w:numPr>
        <w:pStyle w:val="Compact"/>
      </w:pPr>
      <w:r>
        <w:t xml:space="preserve">no more than 25% of physicians providing initial trauma care trained in any trauma life support programme.</w:t>
      </w:r>
    </w:p>
    <w:bookmarkEnd w:id="36"/>
    <w:bookmarkStart w:id="39" w:name="screening"/>
    <w:p>
      <w:pPr>
        <w:pStyle w:val="Heading3"/>
      </w:pPr>
      <w:r>
        <w:t xml:space="preserve">6.3.2 Screening</w:t>
      </w:r>
    </w:p>
    <w:p>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form</w:t>
      </w:r>
      <w:r>
        <w:rPr>
          <w:rStyle w:val="FootnoteReference"/>
        </w:rPr>
        <w:footnoteReference w:id="37"/>
      </w:r>
      <w:r>
        <w:t xml:space="preserve"> </w:t>
      </w:r>
      <w:r>
        <w:t xml:space="preserve">and logged in a cluster screening log</w:t>
      </w:r>
      <w:r>
        <w:rPr>
          <w:rStyle w:val="FootnoteReference"/>
        </w:rPr>
        <w:footnoteReference w:id="38"/>
      </w:r>
      <w:r>
        <w:t xml:space="preserve">.</w:t>
      </w:r>
    </w:p>
    <w:bookmarkEnd w:id="39"/>
    <w:bookmarkEnd w:id="40"/>
    <w:bookmarkStart w:id="45" w:name="patient-participants-selection"/>
    <w:p>
      <w:pPr>
        <w:pStyle w:val="Heading2"/>
      </w:pPr>
      <w:r>
        <w:t xml:space="preserve">6.4 Patient participants selection</w:t>
      </w:r>
    </w:p>
    <w:bookmarkStart w:id="41" w:name="inclusion-criteria"/>
    <w:p>
      <w:pPr>
        <w:pStyle w:val="Heading3"/>
      </w:pPr>
      <w:r>
        <w:t xml:space="preserve">6.4.1 Inclusion criteria</w:t>
      </w:r>
    </w:p>
    <w:p>
      <w:pPr>
        <w:pStyle w:val="FirstParagraph"/>
      </w:pPr>
      <w:r>
        <w:rPr>
          <w:bCs/>
          <w:b/>
        </w:rPr>
        <w:t xml:space="preserve">Patients participants</w:t>
      </w:r>
      <w:r>
        <w:t xml:space="preserve"> </w:t>
      </w:r>
      <w:r>
        <w:t xml:space="preserve">must meet the following criteria:</w:t>
      </w:r>
    </w:p>
    <w:p>
      <w:pPr>
        <w:numPr>
          <w:ilvl w:val="0"/>
          <w:numId w:val="1002"/>
        </w:numPr>
        <w:pStyle w:val="Compact"/>
      </w:pPr>
      <w:r>
        <w:t xml:space="preserve">age of at least 15 years;</w:t>
      </w:r>
    </w:p>
    <w:p>
      <w:pPr>
        <w:numPr>
          <w:ilvl w:val="0"/>
          <w:numId w:val="1002"/>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2"/>
        </w:numPr>
        <w:pStyle w:val="Compact"/>
      </w:pPr>
      <w:r>
        <w:t xml:space="preserve">admitted or died between arrival at the hospital and admission;</w:t>
      </w:r>
    </w:p>
    <w:p>
      <w:pPr>
        <w:numPr>
          <w:ilvl w:val="0"/>
          <w:numId w:val="1002"/>
        </w:numPr>
        <w:pStyle w:val="Compact"/>
      </w:pPr>
      <w:r>
        <w:t xml:space="preserve">referred/transferred from the emergency department of a participating hospital to another hospital for admission; and</w:t>
      </w:r>
    </w:p>
    <w:p>
      <w:pPr>
        <w:numPr>
          <w:ilvl w:val="0"/>
          <w:numId w:val="1002"/>
        </w:numPr>
        <w:pStyle w:val="Compact"/>
      </w:pPr>
      <w:r>
        <w:t xml:space="preserve">trauma occurred less than 48 hours before arrival at the hospital.</w:t>
      </w:r>
    </w:p>
    <w:bookmarkEnd w:id="41"/>
    <w:bookmarkStart w:id="42" w:name="exclusion-criteria"/>
    <w:p>
      <w:pPr>
        <w:pStyle w:val="Heading3"/>
      </w:pPr>
      <w:r>
        <w:t xml:space="preserve">6.4.2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3"/>
        </w:numPr>
        <w:pStyle w:val="Compact"/>
      </w:pPr>
      <w:r>
        <w:t xml:space="preserve">present with isolated limb injuries; or</w:t>
      </w:r>
    </w:p>
    <w:p>
      <w:pPr>
        <w:numPr>
          <w:ilvl w:val="0"/>
          <w:numId w:val="1003"/>
        </w:numPr>
        <w:pStyle w:val="Compact"/>
      </w:pPr>
      <w:r>
        <w:t xml:space="preserve">are directly admitted to a ward without being seen by a physician in the emergency department.</w:t>
      </w:r>
    </w:p>
    <w:bookmarkEnd w:id="42"/>
    <w:bookmarkStart w:id="43" w:name="screening-1"/>
    <w:p>
      <w:pPr>
        <w:pStyle w:val="Heading3"/>
      </w:pPr>
      <w:r>
        <w:t xml:space="preserve">6.4.3 Screening</w:t>
      </w:r>
    </w:p>
    <w:p>
      <w:pPr>
        <w:pStyle w:val="FirstParagraph"/>
      </w:pPr>
      <w:r>
        <w:t xml:space="preserve">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p>
    <w:bookmarkEnd w:id="43"/>
    <w:bookmarkStart w:id="44" w:name="withdrawal-criteria"/>
    <w:p>
      <w:pPr>
        <w:pStyle w:val="Heading3"/>
      </w:pPr>
      <w:r>
        <w:t xml:space="preserve">6.4.4 Withdrawal criteria</w:t>
      </w:r>
    </w:p>
    <w:p>
      <w:pPr>
        <w:pStyle w:val="FirstParagraph"/>
      </w:pPr>
      <w:r>
        <w:t xml:space="preserve">Patient participants can choose to withdraw their consent to out of hospital follow up at any time. If they withdraw their consent to out of hospital follow up the clinical research coordinator will not contact them for additional follow ups. They can also choose to have the data collected about them removed from the trial at any time. Withdrawal of consent to out of hospital follow up or removal of data from the trial will not affect their care in any way. If the patient participant withdraws consent, follow-up of this participant will be performed according to the participating hospitals routine.</w:t>
      </w:r>
    </w:p>
    <w:bookmarkEnd w:id="44"/>
    <w:bookmarkEnd w:id="45"/>
    <w:bookmarkStart w:id="47" w:name="procedures"/>
    <w:p>
      <w:pPr>
        <w:pStyle w:val="Heading2"/>
      </w:pPr>
      <w:r>
        <w:t xml:space="preserve">6.5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46"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46"/>
    <w:bookmarkEnd w:id="47"/>
    <w:bookmarkStart w:id="48" w:name="biological-sampling-procedures"/>
    <w:p>
      <w:pPr>
        <w:pStyle w:val="Heading2"/>
      </w:pPr>
      <w:r>
        <w:t xml:space="preserve">6.6 Biological sampling procedures</w:t>
      </w:r>
    </w:p>
    <w:p>
      <w:pPr>
        <w:pStyle w:val="FirstParagraph"/>
      </w:pPr>
      <w:r>
        <w:t xml:space="preserve">This trial does not include biological sampling.</w:t>
      </w:r>
    </w:p>
    <w:bookmarkEnd w:id="48"/>
    <w:bookmarkStart w:id="49" w:name="end-of-trial"/>
    <w:p>
      <w:pPr>
        <w:pStyle w:val="Heading2"/>
      </w:pPr>
      <w:r>
        <w:t xml:space="preserve">6.7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w:t>
      </w:r>
      <w:r>
        <w:t xml:space="preserve"> </w:t>
      </w:r>
      <w:r>
        <w:t xml:space="preserve">follow-up. Decisions on premature termination are taken by the sponsor.</w:t>
      </w:r>
    </w:p>
    <w:bookmarkEnd w:id="49"/>
    <w:bookmarkStart w:id="53" w:name="intervention-and-control-treatment"/>
    <w:p>
      <w:pPr>
        <w:pStyle w:val="Heading2"/>
      </w:pPr>
      <w:r>
        <w:t xml:space="preserve">6.8 Intervention and control treatment</w:t>
      </w:r>
    </w:p>
    <w:p>
      <w:pPr>
        <w:pStyle w:val="FirstParagraph"/>
      </w:pPr>
      <w:r>
        <w:t xml:space="preserve">The intervention will be ATLS®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We will train the number of physicians needed to reach the required patient sample size.</w:t>
      </w:r>
    </w:p>
    <w:p>
      <w:pPr>
        <w:pStyle w:val="BodyText"/>
      </w:pPr>
      <w:r>
        <w:rPr>
          <w:bCs/>
          <w:b/>
        </w:rPr>
        <w:t xml:space="preserve">Advanced Trauma Life Support® (ATLS®)</w:t>
      </w:r>
      <w:r>
        <w:rPr>
          <w:vertAlign w:val="superscript"/>
          <w:bCs/>
          <w:b/>
        </w:rPr>
        <w:t xml:space="preserve">7</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0" w:name="Xf02b29e15f63d0cbcdfc4516a30aea727e4ce25"/>
    <w:p>
      <w:pPr>
        <w:pStyle w:val="Heading3"/>
      </w:pPr>
      <w:r>
        <w:t xml:space="preserve">6.8.1 Description of investigational medicinal products</w:t>
      </w:r>
    </w:p>
    <w:p>
      <w:pPr>
        <w:pStyle w:val="FirstParagraph"/>
      </w:pPr>
      <w:r>
        <w:t xml:space="preserve">This trial does not include any investigational medicinal products.</w:t>
      </w:r>
    </w:p>
    <w:bookmarkEnd w:id="50"/>
    <w:bookmarkStart w:id="51" w:name="auxiliary-medicinal-products"/>
    <w:p>
      <w:pPr>
        <w:pStyle w:val="Heading3"/>
      </w:pPr>
      <w:r>
        <w:t xml:space="preserve">6.8.2 Auxiliary medicinal products</w:t>
      </w:r>
    </w:p>
    <w:p>
      <w:pPr>
        <w:pStyle w:val="FirstParagraph"/>
      </w:pPr>
      <w:r>
        <w:t xml:space="preserve">This trial does not include any auxiliary medicinal products.</w:t>
      </w:r>
    </w:p>
    <w:bookmarkEnd w:id="51"/>
    <w:bookmarkStart w:id="52" w:name="Xc2d650b6c6acd0528e005be9fdded9065220778"/>
    <w:p>
      <w:pPr>
        <w:pStyle w:val="Heading3"/>
      </w:pPr>
      <w:r>
        <w:t xml:space="preserve">6.8.3 Concomitant use of other medications or treatments</w:t>
      </w:r>
    </w:p>
    <w:p>
      <w:pPr>
        <w:pStyle w:val="FirstParagraph"/>
      </w:pPr>
      <w:r>
        <w:t xml:space="preserve">Medications or treatments considered necessary for the safety and well-being of the subject may be provided at the discretion of the investigators, unless otherwise specified in the exclusion criteria.</w:t>
      </w:r>
    </w:p>
    <w:bookmarkEnd w:id="52"/>
    <w:bookmarkEnd w:id="53"/>
    <w:bookmarkStart w:id="57" w:name="randomization"/>
    <w:p>
      <w:pPr>
        <w:pStyle w:val="Heading2"/>
      </w:pPr>
      <w:r>
        <w:t xml:space="preserve">6.9 Randomization</w:t>
      </w:r>
    </w:p>
    <w:p>
      <w:pPr>
        <w:pStyle w:val="FirstParagraph"/>
      </w:pPr>
      <w:r>
        <w:t xml:space="preserve">We will assign clusters to batches as they are found to be eligible and receive ethical approval, and will randomise the clusters to intervention implementation sequences within batches</w:t>
      </w:r>
      <w:r>
        <w:rPr>
          <w:rStyle w:val="FootnoteReference"/>
        </w:rPr>
        <w:footnoteReference w:id="54"/>
      </w:r>
      <w:r>
        <w:t xml:space="preserve">. Randomisation will be stratified by geographical region and anticipated cluster size</w:t>
      </w:r>
      <w:r>
        <w:rPr>
          <w:rStyle w:val="FootnoteReference"/>
        </w:rPr>
        <w:footnoteReference w:id="55"/>
      </w:r>
      <w:r>
        <w:t xml:space="preserve">. Randomisation will be conducted by an independent statistician, with the order concealed from study investigators until one month before the start of the transition date.</w:t>
      </w:r>
      <w:r>
        <w:rPr>
          <w:rStyle w:val="FootnoteReference"/>
        </w:rPr>
        <w:footnoteReference w:id="56"/>
      </w:r>
    </w:p>
    <w:bookmarkEnd w:id="57"/>
    <w:bookmarkStart w:id="58" w:name="blinding"/>
    <w:p>
      <w:pPr>
        <w:pStyle w:val="Heading2"/>
      </w:pPr>
      <w:r>
        <w:t xml:space="preserve">6.10 Blinding</w:t>
      </w:r>
    </w:p>
    <w:p>
      <w:pPr>
        <w:pStyle w:val="FirstParagraph"/>
      </w:pPr>
      <w:r>
        <w:t xml:space="preserve">It is not possible to blind a stepped-wedge trial, because all clusters receive the intervention.</w:t>
      </w:r>
    </w:p>
    <w:bookmarkEnd w:id="58"/>
    <w:bookmarkStart w:id="59" w:name="treatment-after-trial-end"/>
    <w:p>
      <w:pPr>
        <w:pStyle w:val="Heading2"/>
      </w:pPr>
      <w:r>
        <w:t xml:space="preserve">6.11 Treatment after trial end</w:t>
      </w:r>
    </w:p>
    <w:p>
      <w:pPr>
        <w:pStyle w:val="FirstParagraph"/>
      </w:pPr>
      <w:r>
        <w:t xml:space="preserve">When the trial ends, the intervention will have been implemented in all clusters.</w:t>
      </w:r>
    </w:p>
    <w:bookmarkEnd w:id="59"/>
    <w:bookmarkStart w:id="62" w:name="outcomes"/>
    <w:p>
      <w:pPr>
        <w:pStyle w:val="Heading2"/>
      </w:pPr>
      <w:r>
        <w:t xml:space="preserve">6.12 Outcomes</w:t>
      </w:r>
    </w:p>
    <w:bookmarkStart w:id="60" w:name="primary-outcome"/>
    <w:p>
      <w:pPr>
        <w:pStyle w:val="Heading3"/>
      </w:pPr>
      <w:r>
        <w:t xml:space="preserve">6.12.1 Primary outcome</w:t>
      </w:r>
    </w:p>
    <w:p>
      <w:pPr>
        <w:pStyle w:val="FirstParagraph"/>
      </w:pPr>
      <w:r>
        <w:t xml:space="preserve">The primary outcome will be in-hospital mortality within 30 days of arrival at the emergency department. Clinical research coordinators will extract information on death from patient hospital records or by calling the patient or a patient representative.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60"/>
    <w:bookmarkStart w:id="61" w:name="secondary-outcomes"/>
    <w:p>
      <w:pPr>
        <w:pStyle w:val="Heading3"/>
      </w:pPr>
      <w:r>
        <w:t xml:space="preserve">6.12.2 Secondary outcomes</w:t>
      </w:r>
    </w:p>
    <w:p>
      <w:pPr>
        <w:numPr>
          <w:ilvl w:val="0"/>
          <w:numId w:val="1004"/>
        </w:numPr>
        <w:pStyle w:val="Compact"/>
      </w:pPr>
      <w:r>
        <w:t xml:space="preserve">All cause mortality within 24 hours, 30 days, and three months of arrival at the emergency department. Data on this outcome will be collected from patient hospital records or by calling the patient or a patient representative.</w:t>
      </w:r>
    </w:p>
    <w:p>
      <w:pPr>
        <w:numPr>
          <w:ilvl w:val="0"/>
          <w:numId w:val="1004"/>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pPr>
        <w:numPr>
          <w:ilvl w:val="0"/>
          <w:numId w:val="1004"/>
        </w:numPr>
        <w:pStyle w:val="Compact"/>
      </w:pPr>
      <w:r>
        <w:t xml:space="preserve">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extreme pain or discomfort [^question:whodas];</w:t>
      </w:r>
    </w:p>
    <w:p>
      <w:pPr>
        <w:numPr>
          <w:ilvl w:val="0"/>
          <w:numId w:val="1004"/>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4"/>
        </w:numPr>
        <w:pStyle w:val="Compact"/>
      </w:pPr>
      <w:r>
        <w:t xml:space="preserve">Length of emergency department stay. Data on this outcome will be collected from patient hospital records.</w:t>
      </w:r>
    </w:p>
    <w:p>
      <w:pPr>
        <w:numPr>
          <w:ilvl w:val="0"/>
          <w:numId w:val="1004"/>
        </w:numPr>
        <w:pStyle w:val="Compact"/>
      </w:pPr>
      <w:r>
        <w:t xml:space="preserve">Length of hospital stay. Data on this outcome will be collected from patient hospital records.</w:t>
      </w:r>
    </w:p>
    <w:p>
      <w:pPr>
        <w:numPr>
          <w:ilvl w:val="0"/>
          <w:numId w:val="1004"/>
        </w:numPr>
        <w:pStyle w:val="Compact"/>
      </w:pPr>
      <w:r>
        <w:t xml:space="preserve">Intensive care unit admission. Data on this outcome will be collected from patient hospital records.</w:t>
      </w:r>
    </w:p>
    <w:p>
      <w:pPr>
        <w:numPr>
          <w:ilvl w:val="0"/>
          <w:numId w:val="1004"/>
        </w:numPr>
        <w:pStyle w:val="Compact"/>
      </w:pPr>
      <w:r>
        <w:t xml:space="preserve">Length of intensive care unit stay. Data on this outcome will be collected from patient hospital records.</w:t>
      </w:r>
    </w:p>
    <w:p>
      <w:pPr>
        <w:numPr>
          <w:ilvl w:val="0"/>
          <w:numId w:val="1004"/>
        </w:numPr>
        <w:pStyle w:val="Compact"/>
      </w:pPr>
      <w:r>
        <w:t xml:space="preserve">In-hospital pulmonary, septic, or renal complications [^question:complications].</w:t>
      </w:r>
    </w:p>
    <w:p>
      <w:pPr>
        <w:pStyle w:val="FirstParagraph"/>
      </w:pPr>
      <w:r>
        <w:t xml:space="preserve">[^question:whodas]</w:t>
      </w:r>
      <w:r>
        <w:t xml:space="preserve"> </w:t>
      </w:r>
      <w:r>
        <w:rPr>
          <w:bCs/>
          <w:b/>
        </w:rPr>
        <w:t xml:space="preserve">Question:</w:t>
      </w:r>
      <w:r>
        <w:t xml:space="preserve"> </w:t>
      </w:r>
      <w:r>
        <w:t xml:space="preserve">Should we measure functional outcome/disability with WHODAS instead?</w:t>
      </w:r>
    </w:p>
    <w:p>
      <w:pPr>
        <w:pStyle w:val="BodyText"/>
      </w:pPr>
      <w:r>
        <w:t xml:space="preserve">[^question:complications]</w:t>
      </w:r>
      <w:r>
        <w:t xml:space="preserve"> </w:t>
      </w:r>
      <w:r>
        <w:rPr>
          <w:bCs/>
          <w:b/>
        </w:rPr>
        <w:t xml:space="preserve">Question:</w:t>
      </w:r>
      <w:r>
        <w:t xml:space="preserve"> </w:t>
      </w:r>
      <w:r>
        <w:t xml:space="preserve">Should we remove complications because they are too difficult to measure?</w:t>
      </w:r>
    </w:p>
    <w:bookmarkEnd w:id="61"/>
    <w:bookmarkEnd w:id="62"/>
    <w:bookmarkStart w:id="69" w:name="handling-of-adverse-and-safety-events"/>
    <w:p>
      <w:pPr>
        <w:pStyle w:val="Heading2"/>
      </w:pPr>
      <w:r>
        <w:t xml:space="preserve">6.13 Handling of Adverse and Safety Events</w:t>
      </w:r>
    </w:p>
    <w:bookmarkStart w:id="66" w:name="definitions"/>
    <w:p>
      <w:pPr>
        <w:pStyle w:val="Heading3"/>
      </w:pPr>
      <w:r>
        <w:t xml:space="preserve">6.13.1 Definitions</w:t>
      </w:r>
    </w:p>
    <w:bookmarkStart w:id="63" w:name="adverse-event"/>
    <w:p>
      <w:pPr>
        <w:pStyle w:val="Heading4"/>
      </w:pPr>
      <w:r>
        <w:t xml:space="preserve">6.13.1.1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3"/>
    <w:bookmarkStart w:id="64" w:name="serious-adverse-event"/>
    <w:p>
      <w:pPr>
        <w:pStyle w:val="Heading4"/>
      </w:pPr>
      <w:r>
        <w:t xml:space="preserve">6.13.1.2 Serious Adverse Event</w:t>
      </w:r>
    </w:p>
    <w:p>
      <w:pPr>
        <w:pStyle w:val="FirstParagraph"/>
      </w:pPr>
      <w:r>
        <w:t xml:space="preserve">Any untoward medical occurrence in a trial subject that:</w:t>
      </w:r>
    </w:p>
    <w:p>
      <w:pPr>
        <w:numPr>
          <w:ilvl w:val="0"/>
          <w:numId w:val="1005"/>
        </w:numPr>
      </w:pPr>
      <w:r>
        <w:t xml:space="preserve">leads to death</w:t>
      </w:r>
    </w:p>
    <w:p>
      <w:pPr>
        <w:numPr>
          <w:ilvl w:val="0"/>
          <w:numId w:val="1005"/>
        </w:numPr>
      </w:pPr>
      <w:r>
        <w:t xml:space="preserve">is life-threatening</w:t>
      </w:r>
    </w:p>
    <w:p>
      <w:pPr>
        <w:numPr>
          <w:ilvl w:val="0"/>
          <w:numId w:val="1005"/>
        </w:numPr>
      </w:pPr>
      <w:r>
        <w:t xml:space="preserve">requires inpatient hospitalization or prolongation of existing</w:t>
      </w:r>
      <w:r>
        <w:t xml:space="preserve"> </w:t>
      </w:r>
      <w:r>
        <w:t xml:space="preserve">hospitalization</w:t>
      </w:r>
    </w:p>
    <w:p>
      <w:pPr>
        <w:numPr>
          <w:ilvl w:val="0"/>
          <w:numId w:val="1005"/>
        </w:numPr>
      </w:pPr>
      <w:r>
        <w:t xml:space="preserve">results in persistent or significant disability or incapacity</w:t>
      </w:r>
    </w:p>
    <w:p>
      <w:pPr>
        <w:numPr>
          <w:ilvl w:val="0"/>
          <w:numId w:val="1005"/>
        </w:numPr>
      </w:pPr>
      <w:r>
        <w:t xml:space="preserve">results in a congenital anomaly/malformation</w:t>
      </w:r>
    </w:p>
    <w:bookmarkEnd w:id="64"/>
    <w:bookmarkStart w:id="65" w:name="safety-event"/>
    <w:p>
      <w:pPr>
        <w:pStyle w:val="Heading4"/>
      </w:pPr>
      <w:r>
        <w:t xml:space="preserve">6.13.1.3 Safety Event</w:t>
      </w:r>
    </w:p>
    <w:p>
      <w:pPr>
        <w:pStyle w:val="FirstParagraph"/>
      </w:pPr>
      <w:r>
        <w:t xml:space="preserve">Any unexpected serious complication that might occur as a consequence of the trial and that are not part of the natural history of trauma.</w:t>
      </w:r>
    </w:p>
    <w:bookmarkEnd w:id="65"/>
    <w:bookmarkEnd w:id="66"/>
    <w:bookmarkStart w:id="67" w:name="Xe8021c2d0f171fd00b40703432ee87583bb2075"/>
    <w:p>
      <w:pPr>
        <w:pStyle w:val="Heading3"/>
      </w:pPr>
      <w:r>
        <w:t xml:space="preserve">6.13.2 Reporting and Assessment of Adverse and Safety Events</w:t>
      </w:r>
    </w:p>
    <w:p>
      <w:pPr>
        <w:pStyle w:val="FirstParagraph"/>
      </w:pPr>
      <w:r>
        <w:t xml:space="preserve">In alignment with other current trials including critically ill patients</w:t>
      </w:r>
      <w:r>
        <w:rPr>
          <w:vertAlign w:val="superscript"/>
        </w:rPr>
        <w:t xml:space="preserve">30</w:t>
      </w:r>
      <w:r>
        <w:t xml:space="preserve">, we will not collect adverse events or serious adverse events, because many of these events are expected in this patient population and we already collect many of these events, for example mortality and complications, outcomes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the reporting of such will have to be based on the intuition of the clinical research coordinators and local investigators. Examples of safety events could include missed injuries or missed investigations, which could be expected if certain injuries or investigations were identified or conducted more often during the standard care phase than during the intervention phase.</w:t>
      </w:r>
    </w:p>
    <w:p>
      <w:pPr>
        <w:pStyle w:val="BodyText"/>
      </w:pPr>
      <w:r>
        <w:t xml:space="preserve">All potential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bookmarkEnd w:id="67"/>
    <w:bookmarkStart w:id="68" w:name="follow-up-of-safety-events"/>
    <w:p>
      <w:pPr>
        <w:pStyle w:val="Heading3"/>
      </w:pPr>
      <w:r>
        <w:t xml:space="preserve">6.13.3 Follow up of Safety Events</w:t>
      </w:r>
    </w:p>
    <w:p>
      <w:pPr>
        <w:pStyle w:val="FirstParagraph"/>
      </w:pPr>
      <w:r>
        <w:t xml:space="preserve">All safety events should be followed up by the local investigator until they are fully evaluated.</w:t>
      </w:r>
    </w:p>
    <w:bookmarkEnd w:id="68"/>
    <w:bookmarkEnd w:id="69"/>
    <w:bookmarkStart w:id="71" w:name="Xa22bc42d15e6a967920815a76e3f87a417b33fc"/>
    <w:p>
      <w:pPr>
        <w:pStyle w:val="Heading2"/>
      </w:pPr>
      <w:r>
        <w:t xml:space="preserve">6.14 Independent Data Safety Monitoring Committee</w:t>
      </w:r>
    </w:p>
    <w:p>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analyses and review safety events reported by the trial management group. The Data Safety Monitoring Committee can at any time, based on its reviews, recommend to terminate the trial.</w:t>
      </w:r>
      <w:r>
        <w:rPr>
          <w:rStyle w:val="FootnoteReference"/>
        </w:rPr>
        <w:footnoteReference w:id="70"/>
      </w:r>
    </w:p>
    <w:bookmarkEnd w:id="71"/>
    <w:bookmarkStart w:id="79" w:name="statistics"/>
    <w:p>
      <w:pPr>
        <w:pStyle w:val="Heading2"/>
      </w:pPr>
      <w:r>
        <w:t xml:space="preserve">6.15 Statistics</w:t>
      </w:r>
    </w:p>
    <w:bookmarkStart w:id="73" w:name="general-principles"/>
    <w:p>
      <w:pPr>
        <w:pStyle w:val="Heading3"/>
      </w:pPr>
      <w:r>
        <w:t xml:space="preserve">6.15.1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2"/>
      </w:r>
      <w:r>
        <w:t xml:space="preserve">. Additional subgroup analyses will include age, sex, and clinical cohorts with blunt multisytem trauma, penetrating trauma, and severe isolated traumatic brain injury.</w:t>
      </w:r>
    </w:p>
    <w:bookmarkEnd w:id="73"/>
    <w:bookmarkStart w:id="74" w:name="analysis-models"/>
    <w:p>
      <w:pPr>
        <w:pStyle w:val="Heading3"/>
      </w:pPr>
      <w:r>
        <w:t xml:space="preserve">6.15.2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31</w:t>
      </w:r>
      <w:r>
        <w:t xml:space="preserve">.</w:t>
      </w:r>
    </w:p>
    <w:p>
      <w:pPr>
        <w:pStyle w:val="BodyText"/>
      </w:pPr>
      <w:r>
        <w:t xml:space="preserve">For binary outcomes, a mixed effects binomial regression with a log-link will be used to estimate the relative risk; and a binomial model with identity link used to estimate the risk difference, with estimation using REML. In the case of non-convergence of the binomial model with a log-link, a Poisson model with robust standard errors will be fitted. If the binomial model with the identity link does not converge then only a relative risk will be reported. If neither the log or identify link converge we will use the logistic link and report odds ratios.</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w:t>
      </w:r>
    </w:p>
    <w:bookmarkEnd w:id="74"/>
    <w:bookmarkStart w:id="75" w:name="additional-sensitivity-analyses"/>
    <w:p>
      <w:pPr>
        <w:pStyle w:val="Heading3"/>
      </w:pPr>
      <w:r>
        <w:t xml:space="preserve">6.15.3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5"/>
    <w:bookmarkStart w:id="76" w:name="X8ec26ac0c1a0fc3153cbf2da37e6e3209869316"/>
    <w:p>
      <w:pPr>
        <w:pStyle w:val="Heading3"/>
      </w:pPr>
      <w:r>
        <w:t xml:space="preserve">6.15.4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6"/>
    <w:bookmarkStart w:id="77" w:name="sample-size-calculations"/>
    <w:p>
      <w:pPr>
        <w:pStyle w:val="Heading3"/>
      </w:pPr>
      <w:r>
        <w:t xml:space="preserve">6.15.5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32,33</w:t>
      </w:r>
      <w:r>
        <w:t xml:space="preserve">, and a CAC of 0.9 but considered sensitivity across the range 0.8-1.0, based on our pilot study and current guidance</w:t>
      </w:r>
      <w:r>
        <w:rPr>
          <w:vertAlign w:val="superscript"/>
        </w:rPr>
        <w:t xml:space="preserve">34–36</w:t>
      </w:r>
      <w:r>
        <w:t xml:space="preserve">. We included the CAC to allow for variation in clustering over time. We assume that each cluster will contribute approximately 12 observations per month to the analysis, based on our previous work.</w:t>
      </w:r>
    </w:p>
    <w:bookmarkEnd w:id="77"/>
    <w:bookmarkStart w:id="78" w:name="interim-analysis"/>
    <w:p>
      <w:pPr>
        <w:pStyle w:val="Heading3"/>
      </w:pPr>
      <w:r>
        <w:t xml:space="preserve">6.15.6 Interim analysis</w:t>
      </w:r>
    </w:p>
    <w:p>
      <w:pPr>
        <w:pStyle w:val="FirstParagraph"/>
      </w:pPr>
      <w:r>
        <w:t xml:space="preserve">There will be two interim analyses, one after the first batch has completed the trial and one after half of the batches have completed the trial. The primary purpose of the interim analyses will be to assess the safety of the intervention, and assess if there is a significant increase in the primary outcome after ATLS</w:t>
      </w:r>
      <w:r>
        <w:rPr>
          <w:vertAlign w:val="superscript"/>
        </w:rPr>
        <w:t xml:space="preserve">®</w:t>
      </w:r>
      <w:r>
        <w:t xml:space="preserve"> </w:t>
      </w:r>
      <w:r>
        <w:t xml:space="preserve">training. The interim analyses will be conducted by the independent Data Safety Monitoring committee. The independent Data Safety Monitoring committee will use the Haybittle-Peto boundary to assess statistical significance, and will recommend stopping the trial if the p-value is less than 0.001. The secondary purpose of the interim analyses will be to assess the trial’s feasibility and recommend stopping the trial if the trial is not feasible, for example if clusters fail to adhere to the randomisation schedule or if there are substantial missing data in outcomes. The final purpose of the interim analysis will be to assess if sample size calculations should be revised. The independent Data Safety Monitoring committee will not have access to the trial’s data before the interim analyses.</w:t>
      </w:r>
    </w:p>
    <w:bookmarkEnd w:id="78"/>
    <w:bookmarkEnd w:id="79"/>
    <w:bookmarkStart w:id="81" w:name="quality-control-and-quality-assurance"/>
    <w:p>
      <w:pPr>
        <w:pStyle w:val="Heading2"/>
      </w:pPr>
      <w:r>
        <w:t xml:space="preserve">6.16 Quality Control and Quality Assurance</w:t>
      </w:r>
    </w:p>
    <w:p>
      <w:pPr>
        <w:pStyle w:val="FirstParagraph"/>
      </w:pPr>
      <w:r>
        <w:rPr>
          <w:iCs/>
          <w:i/>
        </w:rPr>
        <w:t xml:space="preserve">There may be less stringent rules for low-intervention clinical trials</w:t>
      </w:r>
      <w:r>
        <w:rPr>
          <w:iCs/>
          <w:i/>
        </w:rPr>
        <w:t xml:space="preserve"> </w:t>
      </w:r>
      <w:r>
        <w:rPr>
          <w:iCs/>
          <w:i/>
        </w:rPr>
        <w:t xml:space="preserve">(see cover page), e.g. limited monitoring requirements.</w:t>
      </w:r>
      <w:r>
        <w:rPr>
          <w:rStyle w:val="FootnoteReference"/>
        </w:rPr>
        <w:footnoteReference w:id="80"/>
      </w:r>
    </w:p>
    <w:bookmarkEnd w:id="81"/>
    <w:bookmarkStart w:id="83" w:name="quality-assurance-and-sponsor-oversight"/>
    <w:p>
      <w:pPr>
        <w:pStyle w:val="Heading2"/>
      </w:pPr>
      <w:r>
        <w:t xml:space="preserve">6.17 Quality Assurance and Sponsor oversight</w:t>
      </w:r>
    </w:p>
    <w:p>
      <w:pPr>
        <w:pStyle w:val="FirstParagraph"/>
      </w:pPr>
      <w:r>
        <w:rPr>
          <w:iCs/>
          <w:i/>
        </w:rPr>
        <w:t xml:space="preserve">In this section, describe which quality assurance systems the trial</w:t>
      </w:r>
      <w:r>
        <w:rPr>
          <w:iCs/>
          <w:i/>
        </w:rPr>
        <w:t xml:space="preserve"> </w:t>
      </w:r>
      <w:r>
        <w:rPr>
          <w:iCs/>
          <w:i/>
        </w:rPr>
        <w:t xml:space="preserve">will have to ensure and control the quality as well as the sponsor’s</w:t>
      </w:r>
      <w:r>
        <w:rPr>
          <w:iCs/>
          <w:i/>
        </w:rPr>
        <w:t xml:space="preserve"> </w:t>
      </w:r>
      <w:r>
        <w:rPr>
          <w:iCs/>
          <w:i/>
        </w:rPr>
        <w:t xml:space="preserve">methods for having oversight of the trial’s quality. For example,</w:t>
      </w:r>
      <w:r>
        <w:rPr>
          <w:iCs/>
          <w:i/>
        </w:rPr>
        <w:t xml:space="preserve"> </w:t>
      </w:r>
      <w:r>
        <w:rPr>
          <w:iCs/>
          <w:i/>
        </w:rPr>
        <w:t xml:space="preserve">communication plan, training of trial personnel, working manuals,</w:t>
      </w:r>
      <w:r>
        <w:rPr>
          <w:iCs/>
          <w:i/>
        </w:rPr>
        <w:t xml:space="preserve"> </w:t>
      </w:r>
      <w:r>
        <w:rPr>
          <w:iCs/>
          <w:i/>
        </w:rPr>
        <w:t xml:space="preserve">meetings, central/local monitoring, audits, etc.</w:t>
      </w:r>
    </w:p>
    <w:p>
      <w:pPr>
        <w:pStyle w:val="BodyText"/>
      </w:pPr>
      <w:r>
        <w:rPr>
          <w:iCs/>
          <w:i/>
        </w:rPr>
        <w:t xml:space="preserve">The sponsor’s quality-related work must be based on a risk analysis of</w:t>
      </w:r>
      <w:r>
        <w:rPr>
          <w:iCs/>
          <w:i/>
        </w:rPr>
        <w:t xml:space="preserve"> </w:t>
      </w:r>
      <w:r>
        <w:rPr>
          <w:iCs/>
          <w:i/>
        </w:rPr>
        <w:t xml:space="preserve">the trial as a whole: design, conduct, data collection, evaluation,</w:t>
      </w:r>
      <w:r>
        <w:rPr>
          <w:iCs/>
          <w:i/>
        </w:rPr>
        <w:t xml:space="preserve"> </w:t>
      </w:r>
      <w:r>
        <w:rPr>
          <w:iCs/>
          <w:i/>
        </w:rPr>
        <w:t xml:space="preserve">reporting and archiving.</w:t>
      </w:r>
    </w:p>
    <w:p>
      <w:pPr>
        <w:pStyle w:val="BodyText"/>
      </w:pPr>
      <w:r>
        <w:rPr>
          <w:iCs/>
          <w:i/>
        </w:rPr>
        <w:t xml:space="preserve">To enable monitoring and auditing, the protocol or other written</w:t>
      </w:r>
      <w:r>
        <w:rPr>
          <w:iCs/>
          <w:i/>
        </w:rPr>
        <w:t xml:space="preserve"> </w:t>
      </w:r>
      <w:r>
        <w:rPr>
          <w:iCs/>
          <w:i/>
        </w:rPr>
        <w:t xml:space="preserve">agreement must specify that the investigators allow trial-related</w:t>
      </w:r>
      <w:r>
        <w:rPr>
          <w:iCs/>
          <w:i/>
        </w:rPr>
        <w:t xml:space="preserve"> </w:t>
      </w:r>
      <w:r>
        <w:rPr>
          <w:iCs/>
          <w:i/>
        </w:rPr>
        <w:t xml:space="preserve">monitoring, auditing, and regulatory inspections by providing direct</w:t>
      </w:r>
      <w:r>
        <w:rPr>
          <w:iCs/>
          <w:i/>
        </w:rPr>
        <w:t xml:space="preserve"> </w:t>
      </w:r>
      <w:r>
        <w:rPr>
          <w:iCs/>
          <w:i/>
        </w:rPr>
        <w:t xml:space="preserve">access to the CRF, subject’s medical record and other source data and</w:t>
      </w:r>
      <w:r>
        <w:rPr>
          <w:iCs/>
          <w:i/>
        </w:rPr>
        <w:t xml:space="preserve"> </w:t>
      </w:r>
      <w:r>
        <w:rPr>
          <w:iCs/>
          <w:i/>
        </w:rPr>
        <w:t xml:space="preserve">other trial-specific documentation. Similarly, this also must be</w:t>
      </w:r>
      <w:r>
        <w:rPr>
          <w:iCs/>
          <w:i/>
        </w:rPr>
        <w:t xml:space="preserve"> </w:t>
      </w:r>
      <w:r>
        <w:rPr>
          <w:iCs/>
          <w:i/>
        </w:rPr>
        <w:t xml:space="preserve">apparent to the subjects in the Subject Information and Informed Consent</w:t>
      </w:r>
      <w:r>
        <w:rPr>
          <w:iCs/>
          <w:i/>
        </w:rPr>
        <w:t xml:space="preserve"> </w:t>
      </w:r>
      <w:r>
        <w:rPr>
          <w:iCs/>
          <w:i/>
        </w:rPr>
        <w:t xml:space="preserve">Form.</w:t>
      </w:r>
    </w:p>
    <w:p>
      <w:pPr>
        <w:pStyle w:val="BodyText"/>
      </w:pPr>
      <w:r>
        <w:rPr>
          <w:iCs/>
          <w:i/>
        </w:rPr>
        <w:t xml:space="preserve">The sponsor is responsible for the trial’s monitoring plan, which</w:t>
      </w:r>
      <w:r>
        <w:rPr>
          <w:iCs/>
          <w:i/>
        </w:rPr>
        <w:t xml:space="preserve"> </w:t>
      </w:r>
      <w:r>
        <w:rPr>
          <w:iCs/>
          <w:i/>
        </w:rPr>
        <w:t xml:space="preserve">should be based on the identified risks, follow-up of risks during the</w:t>
      </w:r>
      <w:r>
        <w:rPr>
          <w:iCs/>
          <w:i/>
        </w:rPr>
        <w:t xml:space="preserve"> </w:t>
      </w:r>
      <w:r>
        <w:rPr>
          <w:iCs/>
          <w:i/>
        </w:rPr>
        <w:t xml:space="preserve">trial and timeliness of the monitoring plan.</w:t>
      </w:r>
      <w:r>
        <w:rPr>
          <w:rStyle w:val="FootnoteReference"/>
        </w:rPr>
        <w:footnoteReference w:id="82"/>
      </w:r>
    </w:p>
    <w:bookmarkEnd w:id="83"/>
    <w:bookmarkStart w:id="85" w:name="monitoring"/>
    <w:p>
      <w:pPr>
        <w:pStyle w:val="Heading2"/>
      </w:pPr>
      <w:r>
        <w:t xml:space="preserve">6.18 Monitoring</w:t>
      </w:r>
    </w:p>
    <w:p>
      <w:pPr>
        <w:pStyle w:val="FirstParagraph"/>
      </w:pPr>
      <w:r>
        <w:rPr>
          <w:iCs/>
          <w:i/>
        </w:rPr>
        <w:t xml:space="preserve">The minimum level for quality control is that the following can be</w:t>
      </w:r>
      <w:r>
        <w:rPr>
          <w:iCs/>
          <w:i/>
        </w:rPr>
        <w:t xml:space="preserve"> </w:t>
      </w:r>
      <w:r>
        <w:rPr>
          <w:iCs/>
          <w:i/>
        </w:rPr>
        <w:t xml:space="preserve">verified:</w:t>
      </w:r>
    </w:p>
    <w:p>
      <w:pPr>
        <w:numPr>
          <w:ilvl w:val="0"/>
          <w:numId w:val="1006"/>
        </w:numPr>
      </w:pPr>
      <w:r>
        <w:rPr>
          <w:iCs/>
          <w:i/>
        </w:rPr>
        <w:t xml:space="preserve">that subjects exist</w:t>
      </w:r>
    </w:p>
    <w:p>
      <w:pPr>
        <w:numPr>
          <w:ilvl w:val="0"/>
          <w:numId w:val="1006"/>
        </w:numPr>
      </w:pPr>
      <w:r>
        <w:rPr>
          <w:iCs/>
          <w:i/>
        </w:rPr>
        <w:t xml:space="preserve">that informed consent has been signed prior to execution of any</w:t>
      </w:r>
      <w:r>
        <w:rPr>
          <w:iCs/>
          <w:i/>
        </w:rPr>
        <w:t xml:space="preserve"> </w:t>
      </w:r>
      <w:r>
        <w:rPr>
          <w:iCs/>
          <w:i/>
        </w:rPr>
        <w:t xml:space="preserve">trial-specific actions</w:t>
      </w:r>
    </w:p>
    <w:p>
      <w:pPr>
        <w:numPr>
          <w:ilvl w:val="0"/>
          <w:numId w:val="1006"/>
        </w:numPr>
      </w:pPr>
      <w:r>
        <w:rPr>
          <w:iCs/>
          <w:i/>
        </w:rPr>
        <w:t xml:space="preserve">that subjects are included according to the protocol’s inclusion</w:t>
      </w:r>
      <w:r>
        <w:rPr>
          <w:iCs/>
          <w:i/>
        </w:rPr>
        <w:t xml:space="preserve"> </w:t>
      </w:r>
      <w:r>
        <w:rPr>
          <w:iCs/>
          <w:i/>
        </w:rPr>
        <w:t xml:space="preserve">and exclusion criteria</w:t>
      </w:r>
    </w:p>
    <w:p>
      <w:pPr>
        <w:numPr>
          <w:ilvl w:val="0"/>
          <w:numId w:val="1006"/>
        </w:numPr>
      </w:pPr>
      <w:r>
        <w:rPr>
          <w:iCs/>
          <w:i/>
        </w:rPr>
        <w:t xml:space="preserve">that the trial’s main parameters and safety reporting are handled</w:t>
      </w:r>
      <w:r>
        <w:rPr>
          <w:iCs/>
          <w:i/>
        </w:rPr>
        <w:t xml:space="preserve"> </w:t>
      </w:r>
      <w:r>
        <w:rPr>
          <w:iCs/>
          <w:i/>
        </w:rPr>
        <w:t xml:space="preserve">correctly</w:t>
      </w:r>
    </w:p>
    <w:p>
      <w:pPr>
        <w:pStyle w:val="FirstParagraph"/>
      </w:pPr>
      <w:r>
        <w:rPr>
          <w:iCs/>
          <w:i/>
        </w:rPr>
        <w:t xml:space="preserve">Other tasks for a monitor include verifying that the trial’s essential</w:t>
      </w:r>
      <w:r>
        <w:rPr>
          <w:iCs/>
          <w:i/>
        </w:rPr>
        <w:t xml:space="preserve"> </w:t>
      </w:r>
      <w:r>
        <w:rPr>
          <w:iCs/>
          <w:i/>
        </w:rPr>
        <w:t xml:space="preserve">documents are complete (according to chapter 8, ICH-GCP (E6(R2)).</w:t>
      </w:r>
      <w:r>
        <w:rPr>
          <w:rStyle w:val="FootnoteReference"/>
        </w:rPr>
        <w:footnoteReference w:id="84"/>
      </w:r>
    </w:p>
    <w:bookmarkEnd w:id="85"/>
    <w:bookmarkEnd w:id="86"/>
    <w:bookmarkStart w:id="87" w:name="Xc375ff589a212c40edd22855353d68d440706fb"/>
    <w:p>
      <w:pPr>
        <w:pStyle w:val="Heading1"/>
      </w:pPr>
      <w:r>
        <w:t xml:space="preserve">7.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w:t>
      </w:r>
      <w:r>
        <w:t xml:space="preserve"> </w:t>
      </w:r>
      <w:r>
        <w:t xml:space="preserve">trial documentation of the principal investigator and the sponsor and</w:t>
      </w:r>
      <w:r>
        <w:t xml:space="preserve"> </w:t>
      </w:r>
      <w:r>
        <w:t xml:space="preserve">appropriate measures shall be taken. The deviations must be recorded in</w:t>
      </w:r>
      <w:r>
        <w:t xml:space="preserve"> </w:t>
      </w:r>
      <w:r>
        <w:t xml:space="preserve">the clinical trial report.</w:t>
      </w:r>
    </w:p>
    <w:bookmarkEnd w:id="87"/>
    <w:bookmarkStart w:id="88" w:name="audits-and-inspections"/>
    <w:p>
      <w:pPr>
        <w:pStyle w:val="Heading1"/>
      </w:pPr>
      <w:r>
        <w:t xml:space="preserve">8.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88"/>
    <w:bookmarkStart w:id="94" w:name="ethics"/>
    <w:p>
      <w:pPr>
        <w:pStyle w:val="Heading1"/>
      </w:pPr>
      <w:r>
        <w:t xml:space="preserve">9. Ethics</w:t>
      </w:r>
    </w:p>
    <w:bookmarkStart w:id="89" w:name="Xe0806e4a59e9522910932ff33dfe2dc5d651a67"/>
    <w:p>
      <w:pPr>
        <w:pStyle w:val="Heading2"/>
      </w:pPr>
      <w:r>
        <w:t xml:space="preserve">9.1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89"/>
    <w:bookmarkStart w:id="90" w:name="ethical-review-of-the-trial"/>
    <w:p>
      <w:pPr>
        <w:pStyle w:val="Heading2"/>
      </w:pPr>
      <w:r>
        <w:t xml:space="preserve">9.2 Ethical review of the trial</w:t>
      </w:r>
    </w:p>
    <w:p>
      <w:pPr>
        <w:pStyle w:val="FirstParagraph"/>
      </w:pPr>
      <w:r>
        <w:t xml:space="preserve">The final protocol will be submitted for ethical review at all participating hospitals, where possible, as well as the Swedish Ethical Review Atuhortiy.</w:t>
      </w:r>
    </w:p>
    <w:bookmarkEnd w:id="90"/>
    <w:bookmarkStart w:id="91" w:name="procedure-for-obtaining-informed-consent"/>
    <w:p>
      <w:pPr>
        <w:pStyle w:val="Heading2"/>
      </w:pPr>
      <w:r>
        <w:t xml:space="preserve">9.3 Procedure for obtaining informed consent</w:t>
      </w:r>
    </w:p>
    <w:p>
      <w:pPr>
        <w:pStyle w:val="FirstParagraph"/>
      </w:pPr>
      <w:r>
        <w:t xml:space="preserve">We will apply for a waiver of informed consent from the ethical review boards at the participating hospitals for collection of in-hospital data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w:t>
      </w:r>
    </w:p>
    <w:p>
      <w:pPr>
        <w:pStyle w:val="BodyText"/>
      </w:pPr>
      <w:r>
        <w:t xml:space="preserve">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coordinators will approach patients or patient representatives for consent by phone.</w:t>
      </w:r>
    </w:p>
    <w:bookmarkEnd w:id="91"/>
    <w:bookmarkStart w:id="93" w:name="data-protection"/>
    <w:p>
      <w:pPr>
        <w:pStyle w:val="Heading2"/>
      </w:pPr>
      <w:r>
        <w:t xml:space="preserve">9.4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92"/>
      </w:r>
      <w:r>
        <w:t xml:space="preserve">. 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w:t>
      </w:r>
      <w:r>
        <w:t xml:space="preserve"> </w:t>
      </w:r>
      <w:r>
        <w:t xml:space="preserve">history.</w:t>
      </w:r>
    </w:p>
    <w:bookmarkEnd w:id="93"/>
    <w:bookmarkEnd w:id="94"/>
    <w:bookmarkStart w:id="96" w:name="insurances"/>
    <w:p>
      <w:pPr>
        <w:pStyle w:val="Heading1"/>
      </w:pPr>
      <w:r>
        <w:t xml:space="preserve">10.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95"/>
      </w:r>
    </w:p>
    <w:bookmarkEnd w:id="96"/>
    <w:bookmarkStart w:id="97" w:name="substantial-changes-to-the-trial"/>
    <w:p>
      <w:pPr>
        <w:pStyle w:val="Heading1"/>
      </w:pPr>
      <w:r>
        <w:t xml:space="preserve">11.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97"/>
    <w:bookmarkStart w:id="110" w:name="Xc17b41b20b820bca94d2a36ea19933b641b018a"/>
    <w:p>
      <w:pPr>
        <w:pStyle w:val="Heading1"/>
      </w:pPr>
      <w:r>
        <w:t xml:space="preserve">12. Collection, handling, and archiving of data</w:t>
      </w:r>
    </w:p>
    <w:p>
      <w:pPr>
        <w:pStyle w:val="FirstParagraph"/>
      </w:pPr>
      <w:r>
        <w:t xml:space="preserve">Clinical research coordinators will collect data using a paper based Case Record Form (CRF)</w:t>
      </w:r>
      <w:r>
        <w:rPr>
          <w:rStyle w:val="FootnoteReference"/>
        </w:rPr>
        <w:footnoteReference w:id="98"/>
      </w:r>
      <w:r>
        <w:t xml:space="preserve">,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99"/>
      </w:r>
      <w:r>
        <w:t xml:space="preserve">. Access is granted by the project PI or authorized delegates. Metadata will be publicly accessible via a persistent DOI, and anonymised data will be released upon project completion. The data management plan is published (https://doi.org/10.5281/zenodo.7748764).</w:t>
      </w:r>
    </w:p>
    <w:bookmarkStart w:id="102" w:name="source-data"/>
    <w:p>
      <w:pPr>
        <w:pStyle w:val="Heading2"/>
      </w:pPr>
      <w:r>
        <w:t xml:space="preserve">12.1 Source data</w:t>
      </w:r>
    </w:p>
    <w:p>
      <w:pPr>
        <w:pStyle w:val="FirstParagraph"/>
      </w:pPr>
      <w:r>
        <w:t xml:space="preserve">The source data for each variable is given in</w:t>
      </w:r>
      <w:r>
        <w:t xml:space="preserve"> </w:t>
      </w:r>
      <w:hyperlink w:anchor="sec-variables">
        <w:r>
          <w:rPr>
            <w:rStyle w:val="Hyperlink"/>
          </w:rPr>
          <w:t xml:space="preserve">Section 12.2</w:t>
        </w:r>
      </w:hyperlink>
      <w:r>
        <w:t xml:space="preserve">. Whenever medical records are the source data, this includes imaging and lab reports. Whenever an interview is given as the source, the CRF will constitute the source data, as this is where the responses to questions will be recorded.</w:t>
      </w:r>
    </w:p>
    <w:p>
      <w:pPr>
        <w:pStyle w:val="BodyText"/>
      </w:pPr>
      <w:r>
        <w:t xml:space="preserve">The local investigator must keep source documents for each patient participant in the trial. A document describing what has been classified as</w:t>
      </w:r>
      <w:r>
        <w:t xml:space="preserve"> </w:t>
      </w:r>
      <w:r>
        <w:t xml:space="preserve">source data in the trial (source data reference document) should be included in the Investigator Site File (ISF)</w:t>
      </w:r>
      <w:r>
        <w:rPr>
          <w:rStyle w:val="FootnoteReference"/>
        </w:rPr>
        <w:footnoteReference w:id="100"/>
      </w:r>
      <w:r>
        <w:t xml:space="preserve">. The investigator must ensure that all source documents are accessible for monitoring and other quality control activities.</w:t>
      </w:r>
    </w:p>
    <w:p>
      <w:pPr>
        <w:pStyle w:val="BodyText"/>
      </w:pPr>
      <w:r>
        <w:t xml:space="preserve">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pPr>
        <w:pStyle w:val="BodyText"/>
      </w:pPr>
      <w:r>
        <w:t xml:space="preserve">Access to trial-related documentation, such as patient participants’ medical</w:t>
      </w:r>
      <w:r>
        <w:t xml:space="preserve"> </w:t>
      </w:r>
      <w:r>
        <w:t xml:space="preserve">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01"/>
      </w:r>
    </w:p>
    <w:bookmarkEnd w:id="102"/>
    <w:bookmarkStart w:id="109" w:name="sec-variables"/>
    <w:p>
      <w:pPr>
        <w:pStyle w:val="Heading2"/>
      </w:pPr>
      <w:r>
        <w:t xml:space="preserve">12.2 Variables</w:t>
      </w:r>
    </w:p>
    <w:bookmarkStart w:id="103" w:name="baseline"/>
    <w:p>
      <w:pPr>
        <w:pStyle w:val="Heading3"/>
      </w:pPr>
      <w:r>
        <w:t xml:space="preserve">12.2.1 Baseline</w:t>
      </w:r>
    </w:p>
    <w:p>
      <w:pPr>
        <w:numPr>
          <w:ilvl w:val="0"/>
          <w:numId w:val="1007"/>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07"/>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07"/>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07"/>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07"/>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07"/>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3"/>
    <w:bookmarkStart w:id="104" w:name="pre-hospital-data"/>
    <w:p>
      <w:pPr>
        <w:pStyle w:val="Heading3"/>
      </w:pPr>
      <w:r>
        <w:t xml:space="preserve">12.2.2 Pre-Hospital Data</w:t>
      </w:r>
    </w:p>
    <w:p>
      <w:pPr>
        <w:numPr>
          <w:ilvl w:val="0"/>
          <w:numId w:val="1008"/>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08"/>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08"/>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4"/>
    <w:bookmarkStart w:id="105" w:name="emergency-department-data"/>
    <w:p>
      <w:pPr>
        <w:pStyle w:val="Heading3"/>
      </w:pPr>
      <w:r>
        <w:t xml:space="preserve">12.2.3 Emergency Department Data</w:t>
      </w:r>
    </w:p>
    <w:p>
      <w:pPr>
        <w:numPr>
          <w:ilvl w:val="0"/>
          <w:numId w:val="1009"/>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5"/>
    <w:bookmarkStart w:id="106" w:name="hospital-data"/>
    <w:p>
      <w:pPr>
        <w:pStyle w:val="Heading3"/>
      </w:pPr>
      <w:r>
        <w:t xml:space="preserve">12.2.4 Hospital Data</w:t>
      </w:r>
    </w:p>
    <w:p>
      <w:pPr>
        <w:numPr>
          <w:ilvl w:val="0"/>
          <w:numId w:val="1010"/>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0"/>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6"/>
    <w:bookmarkStart w:id="107" w:name="injury-data"/>
    <w:p>
      <w:pPr>
        <w:pStyle w:val="Heading3"/>
      </w:pPr>
      <w:r>
        <w:t xml:space="preserve">12.2.5 Injury Data</w:t>
      </w:r>
    </w:p>
    <w:p>
      <w:pPr>
        <w:numPr>
          <w:ilvl w:val="0"/>
          <w:numId w:val="1011"/>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07"/>
    <w:bookmarkStart w:id="108" w:name="outcomes-1"/>
    <w:p>
      <w:pPr>
        <w:pStyle w:val="Heading3"/>
      </w:pPr>
      <w:r>
        <w:t xml:space="preserve">12.2.6 Outcomes</w:t>
      </w:r>
    </w:p>
    <w:p>
      <w:pPr>
        <w:numPr>
          <w:ilvl w:val="0"/>
          <w:numId w:val="1012"/>
        </w:numPr>
        <w:pStyle w:val="Compact"/>
      </w:pPr>
      <w:r>
        <w:rPr>
          <w:bCs/>
          <w:b/>
        </w:rPr>
        <w:t xml:space="preserve">Pulmonary complication</w:t>
      </w:r>
      <w:r>
        <w:t xml:space="preserve"> </w:t>
      </w:r>
      <w:r>
        <w:t xml:space="preserve">(</w:t>
      </w:r>
      <w:r>
        <w:rPr>
          <w:bCs/>
          <w:b/>
        </w:rPr>
        <w:t xml:space="preserve">Definition needed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Septic complication</w:t>
      </w:r>
      <w:r>
        <w:t xml:space="preserve"> </w:t>
      </w:r>
      <w:r>
        <w:t xml:space="preserve">(</w:t>
      </w:r>
      <w:r>
        <w:rPr>
          <w:bCs/>
          <w:b/>
        </w:rPr>
        <w:t xml:space="preserve">Definition needed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Renal complication</w:t>
      </w:r>
      <w:r>
        <w:t xml:space="preserve"> </w:t>
      </w:r>
      <w:r>
        <w:t xml:space="preserve">(An increase in serum creatinine of at least 1.5 times compared to the first recorded creatinine, within 7 days of arrival to the participating centre, or the need for renal replacement theraphy),</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2"/>
        </w:numPr>
        <w:pStyle w:val="Compact"/>
      </w:pPr>
      <w:r>
        <w:rPr>
          <w:bCs/>
          <w:b/>
        </w:rPr>
        <w:t xml:space="preserve">Disability</w:t>
      </w:r>
      <w:r>
        <w:t xml:space="preserve"> </w:t>
      </w:r>
      <w:r>
        <w:t xml:space="preserve">(The World Health Organization Disability Assessment Schedule (WHODAS)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2"/>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08"/>
    <w:bookmarkEnd w:id="109"/>
    <w:bookmarkEnd w:id="110"/>
    <w:bookmarkStart w:id="111" w:name="trial-organization"/>
    <w:p>
      <w:pPr>
        <w:pStyle w:val="Heading1"/>
      </w:pPr>
      <w:r>
        <w:t xml:space="preserve">13. Trial Organization</w:t>
      </w:r>
    </w:p>
    <w:p>
      <w:pPr>
        <w:pStyle w:val="FirstParagraph"/>
      </w:pPr>
      <w:r>
        <w:rPr>
          <w:bCs/>
          <w:b/>
        </w:rPr>
        <w:t xml:space="preserve">More information will be added here</w:t>
      </w:r>
    </w:p>
    <w:bookmarkEnd w:id="111"/>
    <w:bookmarkStart w:id="112" w:name="funding"/>
    <w:p>
      <w:pPr>
        <w:pStyle w:val="Heading1"/>
      </w:pPr>
      <w:r>
        <w:t xml:space="preserve">14. Funding</w:t>
      </w:r>
    </w:p>
    <w:p>
      <w:pPr>
        <w:numPr>
          <w:ilvl w:val="0"/>
          <w:numId w:val="1013"/>
        </w:numPr>
        <w:pStyle w:val="Compact"/>
      </w:pPr>
      <w:r>
        <w:t xml:space="preserve">Swedish Research Council (reg. no. 2023-03128)</w:t>
      </w:r>
    </w:p>
    <w:bookmarkEnd w:id="112"/>
    <w:bookmarkStart w:id="113" w:name="Xa02c8ea30126bed8a88472fd16e8658d6d979bd"/>
    <w:p>
      <w:pPr>
        <w:pStyle w:val="Heading1"/>
      </w:pPr>
      <w:r>
        <w:t xml:space="preserve">15. Notification of trial completion, reporting, and publication</w:t>
      </w:r>
    </w:p>
    <w:p>
      <w:pPr>
        <w:pStyle w:val="FirstParagraph"/>
      </w:pPr>
      <w:r>
        <w:rPr>
          <w:bCs/>
          <w:b/>
        </w:rPr>
        <w:t xml:space="preserve">More information will be added here</w:t>
      </w:r>
    </w:p>
    <w:bookmarkEnd w:id="113"/>
    <w:bookmarkStart w:id="183" w:name="references"/>
    <w:p>
      <w:pPr>
        <w:pStyle w:val="Heading1"/>
      </w:pPr>
      <w:r>
        <w:t xml:space="preserve">16. References</w:t>
      </w:r>
    </w:p>
    <w:bookmarkStart w:id="182" w:name="refs"/>
    <w:bookmarkStart w:id="115" w:name="ref-injuries2020"/>
    <w:p>
      <w:pPr>
        <w:pStyle w:val="Bibliography"/>
      </w:pPr>
      <w:r>
        <w:t xml:space="preserve">1.</w:t>
      </w:r>
      <w:r>
        <w:t xml:space="preserve"> </w:t>
      </w:r>
      <w:r>
        <w:t xml:space="preserve">	</w:t>
      </w:r>
      <w:r>
        <w:t xml:space="preserve">GBD 2019 Diseases and Injuries Collaborators.</w:t>
      </w:r>
      <w:r>
        <w:t xml:space="preserve"> </w:t>
      </w:r>
      <w:hyperlink r:id="rId114">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15"/>
    <w:bookmarkStart w:id="117" w:name="ref-GBD2020"/>
    <w:p>
      <w:pPr>
        <w:pStyle w:val="Bibliography"/>
      </w:pPr>
      <w:r>
        <w:t xml:space="preserve">2.</w:t>
      </w:r>
      <w:r>
        <w:t xml:space="preserve"> </w:t>
      </w:r>
      <w:r>
        <w:t xml:space="preserve">	</w:t>
      </w:r>
      <w:r>
        <w:t xml:space="preserve">GBD 2019 Diseases and Injuries Collaborators.</w:t>
      </w:r>
      <w:r>
        <w:t xml:space="preserve"> </w:t>
      </w:r>
      <w:hyperlink r:id="rId116">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117"/>
    <w:bookmarkStart w:id="119" w:name="ref-Mohammad2013"/>
    <w:p>
      <w:pPr>
        <w:pStyle w:val="Bibliography"/>
      </w:pPr>
      <w:r>
        <w:t xml:space="preserve">3.</w:t>
      </w:r>
      <w:r>
        <w:t xml:space="preserve"> </w:t>
      </w:r>
      <w:r>
        <w:t xml:space="preserve">	</w:t>
      </w:r>
      <w:r>
        <w:t xml:space="preserve">Mohammad, A.</w:t>
      </w:r>
      <w:r>
        <w:t xml:space="preserve"> </w:t>
      </w:r>
      <w:r>
        <w:rPr>
          <w:iCs/>
          <w:i/>
        </w:rPr>
        <w:t xml:space="preserve">et al.</w:t>
      </w:r>
      <w:r>
        <w:t xml:space="preserve"> </w:t>
      </w:r>
      <w:hyperlink r:id="rId118">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119"/>
    <w:bookmarkStart w:id="121" w:name="ref-Jayaraman2014"/>
    <w:p>
      <w:pPr>
        <w:pStyle w:val="Bibliography"/>
      </w:pPr>
      <w:r>
        <w:t xml:space="preserve">4.</w:t>
      </w:r>
      <w:r>
        <w:t xml:space="preserve"> </w:t>
      </w:r>
      <w:r>
        <w:t xml:space="preserve">	</w:t>
      </w:r>
      <w:r>
        <w:t xml:space="preserve">Jayaraman, S.</w:t>
      </w:r>
      <w:r>
        <w:t xml:space="preserve"> </w:t>
      </w:r>
      <w:r>
        <w:rPr>
          <w:iCs/>
          <w:i/>
        </w:rPr>
        <w:t xml:space="preserve">et al.</w:t>
      </w:r>
      <w:r>
        <w:t xml:space="preserve"> </w:t>
      </w:r>
      <w:hyperlink r:id="rId120">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21"/>
    <w:bookmarkStart w:id="123" w:name="ref-Kadhum2020"/>
    <w:p>
      <w:pPr>
        <w:pStyle w:val="Bibliography"/>
      </w:pPr>
      <w:r>
        <w:t xml:space="preserve">5.</w:t>
      </w:r>
      <w:r>
        <w:t xml:space="preserve"> </w:t>
      </w:r>
      <w:r>
        <w:t xml:space="preserve">	</w:t>
      </w:r>
      <w:r>
        <w:t xml:space="preserve">Kadhum, M.</w:t>
      </w:r>
      <w:r>
        <w:t xml:space="preserve"> </w:t>
      </w:r>
      <w:r>
        <w:rPr>
          <w:iCs/>
          <w:i/>
        </w:rPr>
        <w:t xml:space="preserve">et al.</w:t>
      </w:r>
      <w:r>
        <w:t xml:space="preserve"> </w:t>
      </w:r>
      <w:hyperlink r:id="rId122">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23"/>
    <w:bookmarkStart w:id="125" w:name="ref-Jin2021"/>
    <w:p>
      <w:pPr>
        <w:pStyle w:val="Bibliography"/>
      </w:pPr>
      <w:r>
        <w:t xml:space="preserve">6.</w:t>
      </w:r>
      <w:r>
        <w:t xml:space="preserve"> </w:t>
      </w:r>
      <w:r>
        <w:t xml:space="preserve">	</w:t>
      </w:r>
      <w:r>
        <w:t xml:space="preserve">Jin, J.</w:t>
      </w:r>
      <w:r>
        <w:t xml:space="preserve"> </w:t>
      </w:r>
      <w:r>
        <w:rPr>
          <w:iCs/>
          <w:i/>
        </w:rPr>
        <w:t xml:space="preserve">et al.</w:t>
      </w:r>
      <w:r>
        <w:t xml:space="preserve"> </w:t>
      </w:r>
      <w:hyperlink r:id="rId124">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25"/>
    <w:bookmarkStart w:id="126" w:name="ref-acsAtls2018"/>
    <w:p>
      <w:pPr>
        <w:pStyle w:val="Bibliography"/>
      </w:pPr>
      <w:r>
        <w:t xml:space="preserve">7.</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26"/>
    <w:bookmarkStart w:id="128" w:name="ref-Rauf2019"/>
    <w:p>
      <w:pPr>
        <w:pStyle w:val="Bibliography"/>
      </w:pPr>
      <w:r>
        <w:t xml:space="preserve">8.</w:t>
      </w:r>
      <w:r>
        <w:t xml:space="preserve"> </w:t>
      </w:r>
      <w:r>
        <w:t xml:space="preserve">	</w:t>
      </w:r>
      <w:r>
        <w:t xml:space="preserve">Rauf, R.</w:t>
      </w:r>
      <w:r>
        <w:t xml:space="preserve"> </w:t>
      </w:r>
      <w:r>
        <w:rPr>
          <w:iCs/>
          <w:i/>
        </w:rPr>
        <w:t xml:space="preserve">et al.</w:t>
      </w:r>
      <w:r>
        <w:t xml:space="preserve"> </w:t>
      </w:r>
      <w:hyperlink r:id="rId127">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28"/>
    <w:bookmarkStart w:id="130" w:name="ref-Roy2017"/>
    <w:p>
      <w:pPr>
        <w:pStyle w:val="Bibliography"/>
      </w:pPr>
      <w:r>
        <w:t xml:space="preserve">9.</w:t>
      </w:r>
      <w:r>
        <w:t xml:space="preserve"> </w:t>
      </w:r>
      <w:r>
        <w:t xml:space="preserve">	</w:t>
      </w:r>
      <w:r>
        <w:t xml:space="preserve">Roy, N.</w:t>
      </w:r>
      <w:r>
        <w:t xml:space="preserve"> </w:t>
      </w:r>
      <w:r>
        <w:rPr>
          <w:iCs/>
          <w:i/>
        </w:rPr>
        <w:t xml:space="preserve">et al.</w:t>
      </w:r>
      <w:r>
        <w:t xml:space="preserve"> </w:t>
      </w:r>
      <w:hyperlink r:id="rId129">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30"/>
    <w:bookmarkStart w:id="132" w:name="ref-Callcut2019"/>
    <w:p>
      <w:pPr>
        <w:pStyle w:val="Bibliography"/>
      </w:pPr>
      <w:r>
        <w:t xml:space="preserve">10.</w:t>
      </w:r>
      <w:r>
        <w:t xml:space="preserve"> </w:t>
      </w:r>
      <w:r>
        <w:t xml:space="preserve">	</w:t>
      </w:r>
      <w:r>
        <w:t xml:space="preserve">Callcut, R. A.</w:t>
      </w:r>
      <w:r>
        <w:t xml:space="preserve"> </w:t>
      </w:r>
      <w:r>
        <w:rPr>
          <w:iCs/>
          <w:i/>
        </w:rPr>
        <w:t xml:space="preserve">et al.</w:t>
      </w:r>
      <w:r>
        <w:t xml:space="preserve"> </w:t>
      </w:r>
      <w:hyperlink r:id="rId131">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32"/>
    <w:bookmarkStart w:id="134" w:name="ref-Ghorbani2018"/>
    <w:p>
      <w:pPr>
        <w:pStyle w:val="Bibliography"/>
      </w:pPr>
      <w:r>
        <w:t xml:space="preserve">11.</w:t>
      </w:r>
      <w:r>
        <w:t xml:space="preserve"> </w:t>
      </w:r>
      <w:r>
        <w:t xml:space="preserve">	</w:t>
      </w:r>
      <w:r>
        <w:t xml:space="preserve">Ghorbani, P.</w:t>
      </w:r>
      <w:r>
        <w:t xml:space="preserve"> </w:t>
      </w:r>
      <w:r>
        <w:rPr>
          <w:iCs/>
          <w:i/>
        </w:rPr>
        <w:t xml:space="preserve">et al.</w:t>
      </w:r>
      <w:r>
        <w:t xml:space="preserve"> </w:t>
      </w:r>
      <w:hyperlink r:id="rId133">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34"/>
    <w:bookmarkStart w:id="135"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5"/>
    <w:bookmarkStart w:id="136"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114">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36"/>
    <w:bookmarkStart w:id="138"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37">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38"/>
    <w:bookmarkStart w:id="140"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39">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40"/>
    <w:bookmarkStart w:id="142"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41">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42"/>
    <w:bookmarkStart w:id="143"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3"/>
    <w:bookmarkStart w:id="145"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44">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45"/>
    <w:bookmarkStart w:id="147"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46">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47"/>
    <w:bookmarkStart w:id="149"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48">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49"/>
    <w:bookmarkStart w:id="151"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50">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51"/>
    <w:bookmarkStart w:id="153"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52">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53"/>
    <w:bookmarkStart w:id="155"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54">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55"/>
    <w:bookmarkStart w:id="157"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56">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57"/>
    <w:bookmarkStart w:id="159" w:name="ref-Bellanova2016"/>
    <w:p>
      <w:pPr>
        <w:pStyle w:val="Bibliography"/>
      </w:pPr>
      <w:r>
        <w:t xml:space="preserve">25.</w:t>
      </w:r>
      <w:r>
        <w:t xml:space="preserve"> </w:t>
      </w:r>
      <w:r>
        <w:t xml:space="preserve">	</w:t>
      </w:r>
      <w:r>
        <w:t xml:space="preserve">Giovanni Bellanova, R. B., Francesco Buccelletti.</w:t>
      </w:r>
      <w:r>
        <w:t xml:space="preserve"> </w:t>
      </w:r>
      <w:hyperlink r:id="rId158">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59"/>
    <w:bookmarkStart w:id="161"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60">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61"/>
    <w:bookmarkStart w:id="163"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62">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63"/>
    <w:bookmarkStart w:id="165"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64">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65"/>
    <w:bookmarkStart w:id="167"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66">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67"/>
    <w:bookmarkStart w:id="169" w:name="ref-STEPCARE2023"/>
    <w:p>
      <w:pPr>
        <w:pStyle w:val="Bibliography"/>
      </w:pPr>
      <w:r>
        <w:t xml:space="preserve">30.</w:t>
      </w:r>
      <w:r>
        <w:t xml:space="preserve"> </w:t>
      </w:r>
      <w:r>
        <w:t xml:space="preserve">	</w:t>
      </w:r>
      <w:r>
        <w:t xml:space="preserve">Nielsen, Niklas.</w:t>
      </w:r>
      <w:r>
        <w:t xml:space="preserve"> </w:t>
      </w:r>
      <w:hyperlink r:id="rId168">
        <w:r>
          <w:rPr>
            <w:rStyle w:val="Hyperlink"/>
          </w:rPr>
          <w:t xml:space="preserve">Sedation,</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Pressure</w:t>
        </w:r>
        <w:r>
          <w:rPr>
            <w:rStyle w:val="Hyperlink"/>
          </w:rPr>
          <w:t xml:space="preserve"> </w:t>
        </w:r>
        <w:r>
          <w:rPr>
            <w:rStyle w:val="Hyperlink"/>
          </w:rPr>
          <w:t xml:space="preserve">after</w:t>
        </w:r>
        <w:r>
          <w:rPr>
            <w:rStyle w:val="Hyperlink"/>
          </w:rPr>
          <w:t xml:space="preserve"> </w:t>
        </w:r>
        <w:r>
          <w:rPr>
            <w:rStyle w:val="Hyperlink"/>
          </w:rPr>
          <w:t xml:space="preserve">Cardiac</w:t>
        </w:r>
        <w:r>
          <w:rPr>
            <w:rStyle w:val="Hyperlink"/>
          </w:rPr>
          <w:t xml:space="preserve"> </w:t>
        </w:r>
        <w:r>
          <w:rPr>
            <w:rStyle w:val="Hyperlink"/>
          </w:rPr>
          <w:t xml:space="preserve">Arrest</w:t>
        </w:r>
        <w:r>
          <w:rPr>
            <w:rStyle w:val="Hyperlink"/>
          </w:rPr>
          <w:t xml:space="preserve"> </w:t>
        </w:r>
        <w:r>
          <w:rPr>
            <w:rStyle w:val="Hyperlink"/>
          </w:rPr>
          <w:t xml:space="preserve">and</w:t>
        </w:r>
        <w:r>
          <w:rPr>
            <w:rStyle w:val="Hyperlink"/>
          </w:rPr>
          <w:t xml:space="preserve"> </w:t>
        </w:r>
        <w:r>
          <w:rPr>
            <w:rStyle w:val="Hyperlink"/>
          </w:rPr>
          <w:t xml:space="preserve">Resuscitation</w:t>
        </w:r>
        <w:r>
          <w:rPr>
            <w:rStyle w:val="Hyperlink"/>
          </w:rPr>
          <w:t xml:space="preserve"> </w:t>
        </w:r>
        <w:r>
          <w:rPr>
            <w:rStyle w:val="Hyperlink"/>
          </w:rPr>
          <w:t xml:space="preserve">– the</w:t>
        </w:r>
        <w:r>
          <w:rPr>
            <w:rStyle w:val="Hyperlink"/>
          </w:rPr>
          <w:t xml:space="preserve"> </w:t>
        </w:r>
        <w:r>
          <w:rPr>
            <w:rStyle w:val="Hyperlink"/>
          </w:rPr>
          <w:t xml:space="preserve">STEPCARE</w:t>
        </w:r>
        <w:r>
          <w:rPr>
            <w:rStyle w:val="Hyperlink"/>
          </w:rPr>
          <w:t xml:space="preserve"> </w:t>
        </w:r>
        <w:r>
          <w:rPr>
            <w:rStyle w:val="Hyperlink"/>
          </w:rPr>
          <w:t xml:space="preserve">trial</w:t>
        </w:r>
      </w:hyperlink>
      <w:r>
        <w:t xml:space="preserve">. (2023).</w:t>
      </w:r>
    </w:p>
    <w:bookmarkEnd w:id="169"/>
    <w:bookmarkStart w:id="171" w:name="ref-Li2020"/>
    <w:p>
      <w:pPr>
        <w:pStyle w:val="Bibliography"/>
      </w:pPr>
      <w:r>
        <w:t xml:space="preserve">31.</w:t>
      </w:r>
      <w:r>
        <w:t xml:space="preserve"> </w:t>
      </w:r>
      <w:r>
        <w:t xml:space="preserve">	</w:t>
      </w:r>
      <w:r>
        <w:t xml:space="preserve">Li, F.</w:t>
      </w:r>
      <w:r>
        <w:t xml:space="preserve"> </w:t>
      </w:r>
      <w:r>
        <w:rPr>
          <w:iCs/>
          <w:i/>
        </w:rPr>
        <w:t xml:space="preserve">et al.</w:t>
      </w:r>
      <w:r>
        <w:t xml:space="preserve"> </w:t>
      </w:r>
      <w:hyperlink r:id="rId170">
        <w:r>
          <w:rPr>
            <w:rStyle w:val="Hyperlink"/>
          </w:rPr>
          <w:t xml:space="preserve">Mixed-effects models for the design and analysis of stepped wedge cluster randomized trials: An overview</w:t>
        </w:r>
      </w:hyperlink>
      <w:r>
        <w:t xml:space="preserve">.</w:t>
      </w:r>
      <w:r>
        <w:t xml:space="preserve"> </w:t>
      </w:r>
      <w:r>
        <w:rPr>
          <w:iCs/>
          <w:i/>
        </w:rPr>
        <w:t xml:space="preserve">Stat Methods Med Res</w:t>
      </w:r>
      <w:r>
        <w:t xml:space="preserve"> </w:t>
      </w:r>
      <w:r>
        <w:rPr>
          <w:bCs/>
          <w:b/>
        </w:rPr>
        <w:t xml:space="preserve">30</w:t>
      </w:r>
      <w:r>
        <w:t xml:space="preserve">, 612–639 (2020).</w:t>
      </w:r>
    </w:p>
    <w:bookmarkEnd w:id="171"/>
    <w:bookmarkStart w:id="173" w:name="ref-Campbell2005"/>
    <w:p>
      <w:pPr>
        <w:pStyle w:val="Bibliography"/>
      </w:pPr>
      <w:r>
        <w:t xml:space="preserve">32.</w:t>
      </w:r>
      <w:r>
        <w:t xml:space="preserve"> </w:t>
      </w:r>
      <w:r>
        <w:t xml:space="preserve">	</w:t>
      </w:r>
      <w:r>
        <w:t xml:space="preserve">Campbell, M. K.</w:t>
      </w:r>
      <w:r>
        <w:t xml:space="preserve"> </w:t>
      </w:r>
      <w:r>
        <w:rPr>
          <w:iCs/>
          <w:i/>
        </w:rPr>
        <w:t xml:space="preserve">et al.</w:t>
      </w:r>
      <w:r>
        <w:t xml:space="preserve"> </w:t>
      </w:r>
      <w:hyperlink r:id="rId172">
        <w:r>
          <w:rPr>
            <w:rStyle w:val="Hyperlink"/>
          </w:rPr>
          <w:t xml:space="preserve">Determinants of the intracluster correlation coefficient in cluster randomized trials: The case of implementation research</w:t>
        </w:r>
      </w:hyperlink>
      <w:r>
        <w:t xml:space="preserve">.</w:t>
      </w:r>
      <w:r>
        <w:t xml:space="preserve"> </w:t>
      </w:r>
      <w:r>
        <w:rPr>
          <w:iCs/>
          <w:i/>
        </w:rPr>
        <w:t xml:space="preserve">Clinical Trials</w:t>
      </w:r>
      <w:r>
        <w:t xml:space="preserve"> </w:t>
      </w:r>
      <w:r>
        <w:rPr>
          <w:bCs/>
          <w:b/>
        </w:rPr>
        <w:t xml:space="preserve">2</w:t>
      </w:r>
      <w:r>
        <w:t xml:space="preserve">, 99–107 (2005).</w:t>
      </w:r>
    </w:p>
    <w:bookmarkEnd w:id="173"/>
    <w:bookmarkStart w:id="175" w:name="ref-Eldridge2015"/>
    <w:p>
      <w:pPr>
        <w:pStyle w:val="Bibliography"/>
      </w:pPr>
      <w:r>
        <w:t xml:space="preserve">33.</w:t>
      </w:r>
      <w:r>
        <w:t xml:space="preserve"> </w:t>
      </w:r>
      <w:r>
        <w:t xml:space="preserve">	</w:t>
      </w:r>
      <w:r>
        <w:t xml:space="preserve">Eldridge, S. M.</w:t>
      </w:r>
      <w:r>
        <w:t xml:space="preserve"> </w:t>
      </w:r>
      <w:r>
        <w:rPr>
          <w:iCs/>
          <w:i/>
        </w:rPr>
        <w:t xml:space="preserve">et al.</w:t>
      </w:r>
      <w:r>
        <w:t xml:space="preserve"> </w:t>
      </w:r>
      <w:hyperlink r:id="rId174">
        <w:r>
          <w:rPr>
            <w:rStyle w:val="Hyperlink"/>
          </w:rPr>
          <w:t xml:space="preserve">How big should the pilot study for my cluster randomised trial be?</w:t>
        </w:r>
      </w:hyperlink>
      <w:r>
        <w:t xml:space="preserve"> </w:t>
      </w:r>
      <w:r>
        <w:rPr>
          <w:iCs/>
          <w:i/>
        </w:rPr>
        <w:t xml:space="preserve">Stat Methods Med Res</w:t>
      </w:r>
      <w:r>
        <w:t xml:space="preserve"> </w:t>
      </w:r>
      <w:r>
        <w:rPr>
          <w:bCs/>
          <w:b/>
        </w:rPr>
        <w:t xml:space="preserve">25</w:t>
      </w:r>
      <w:r>
        <w:t xml:space="preserve">, 1039–1056 (2015).</w:t>
      </w:r>
    </w:p>
    <w:bookmarkEnd w:id="175"/>
    <w:bookmarkStart w:id="177" w:name="ref-Hemming2020Feb"/>
    <w:p>
      <w:pPr>
        <w:pStyle w:val="Bibliography"/>
      </w:pPr>
      <w:r>
        <w:t xml:space="preserve">34.</w:t>
      </w:r>
      <w:r>
        <w:t xml:space="preserve"> </w:t>
      </w:r>
      <w:r>
        <w:t xml:space="preserve">	</w:t>
      </w:r>
      <w:r>
        <w:t xml:space="preserve">Hemming, K.</w:t>
      </w:r>
      <w:r>
        <w:t xml:space="preserve"> </w:t>
      </w:r>
      <w:r>
        <w:rPr>
          <w:iCs/>
          <w:i/>
        </w:rPr>
        <w:t xml:space="preserve">et al.</w:t>
      </w:r>
      <w:r>
        <w:t xml:space="preserve"> </w:t>
      </w:r>
      <w:hyperlink r:id="rId176">
        <w:r>
          <w:rPr>
            <w:rStyle w:val="Hyperlink"/>
          </w:rPr>
          <w:t xml:space="preserve">A tutorial on sample size calculation for multiple-period cluster randomized parallel, cross-over and stepped-wedge trials using the shiny CRT calculator</w:t>
        </w:r>
      </w:hyperlink>
      <w:r>
        <w:t xml:space="preserve">.</w:t>
      </w:r>
      <w:r>
        <w:t xml:space="preserve"> </w:t>
      </w:r>
      <w:r>
        <w:rPr>
          <w:iCs/>
          <w:i/>
        </w:rPr>
        <w:t xml:space="preserve">Int J Epidemiol</w:t>
      </w:r>
      <w:r>
        <w:t xml:space="preserve"> </w:t>
      </w:r>
      <w:r>
        <w:rPr>
          <w:bCs/>
          <w:b/>
        </w:rPr>
        <w:t xml:space="preserve">49</w:t>
      </w:r>
      <w:r>
        <w:t xml:space="preserve">, 979–995 (2020).</w:t>
      </w:r>
    </w:p>
    <w:bookmarkEnd w:id="177"/>
    <w:bookmarkStart w:id="179" w:name="ref-Martin2016"/>
    <w:p>
      <w:pPr>
        <w:pStyle w:val="Bibliography"/>
      </w:pPr>
      <w:r>
        <w:t xml:space="preserve">35.</w:t>
      </w:r>
      <w:r>
        <w:t xml:space="preserve"> </w:t>
      </w:r>
      <w:r>
        <w:t xml:space="preserve">	</w:t>
      </w:r>
      <w:r>
        <w:t xml:space="preserve">Martin, J.</w:t>
      </w:r>
      <w:r>
        <w:t xml:space="preserve"> </w:t>
      </w:r>
      <w:r>
        <w:rPr>
          <w:iCs/>
          <w:i/>
        </w:rPr>
        <w:t xml:space="preserve">et al.</w:t>
      </w:r>
      <w:r>
        <w:t xml:space="preserve"> </w:t>
      </w:r>
      <w:hyperlink r:id="rId178">
        <w:r>
          <w:rPr>
            <w:rStyle w:val="Hyperlink"/>
          </w:rPr>
          <w:t xml:space="preserve">Intra-cluster and inter-period correlation coefficients for cross-sectional cluster randomised controlled trials for type-2 diabetes in UK primary care</w:t>
        </w:r>
      </w:hyperlink>
      <w:r>
        <w:t xml:space="preserve">.</w:t>
      </w:r>
      <w:r>
        <w:t xml:space="preserve"> </w:t>
      </w:r>
      <w:r>
        <w:rPr>
          <w:iCs/>
          <w:i/>
        </w:rPr>
        <w:t xml:space="preserve">Trials</w:t>
      </w:r>
      <w:r>
        <w:t xml:space="preserve"> </w:t>
      </w:r>
      <w:r>
        <w:rPr>
          <w:bCs/>
          <w:b/>
        </w:rPr>
        <w:t xml:space="preserve">17</w:t>
      </w:r>
      <w:r>
        <w:t xml:space="preserve">, (2016).</w:t>
      </w:r>
    </w:p>
    <w:bookmarkEnd w:id="179"/>
    <w:bookmarkStart w:id="181" w:name="ref-Korevaar2021"/>
    <w:p>
      <w:pPr>
        <w:pStyle w:val="Bibliography"/>
      </w:pPr>
      <w:r>
        <w:t xml:space="preserve">36.</w:t>
      </w:r>
      <w:r>
        <w:t xml:space="preserve"> </w:t>
      </w:r>
      <w:r>
        <w:t xml:space="preserve">	</w:t>
      </w:r>
      <w:r>
        <w:t xml:space="preserve">Korevaar, E.</w:t>
      </w:r>
      <w:r>
        <w:t xml:space="preserve"> </w:t>
      </w:r>
      <w:r>
        <w:rPr>
          <w:iCs/>
          <w:i/>
        </w:rPr>
        <w:t xml:space="preserve">et al.</w:t>
      </w:r>
      <w:r>
        <w:t xml:space="preserve"> </w:t>
      </w:r>
      <w:hyperlink r:id="rId180">
        <w:r>
          <w:rPr>
            <w:rStyle w:val="Hyperlink"/>
          </w:rPr>
          <w:t xml:space="preserve">Intra-cluster correlations from the CLustered OUtcome dataset bank to inform the design of longitudinal cluster trials</w:t>
        </w:r>
      </w:hyperlink>
      <w:r>
        <w:t xml:space="preserve">.</w:t>
      </w:r>
      <w:r>
        <w:t xml:space="preserve"> </w:t>
      </w:r>
      <w:r>
        <w:rPr>
          <w:iCs/>
          <w:i/>
        </w:rPr>
        <w:t xml:space="preserve">Clinical Trials</w:t>
      </w:r>
      <w:r>
        <w:t xml:space="preserve"> </w:t>
      </w:r>
      <w:r>
        <w:rPr>
          <w:bCs/>
          <w:b/>
        </w:rPr>
        <w:t xml:space="preserve">18</w:t>
      </w:r>
      <w:r>
        <w:t xml:space="preserve">, 529–540 (2021).</w:t>
      </w:r>
    </w:p>
    <w:bookmarkEnd w:id="181"/>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rPr>
          <w:bCs/>
          <w:b/>
        </w:rPr>
        <w:t xml:space="preserve">TODO</w:t>
      </w:r>
      <w:r>
        <w:t xml:space="preserve"> </w:t>
      </w:r>
      <w:r>
        <w:t xml:space="preserve">We need to create a form that we can use to screen clusters.</w:t>
      </w:r>
    </w:p>
  </w:footnote>
  <w:footnote w:id="38">
    <w:p>
      <w:pPr>
        <w:pStyle w:val="FootnoteText"/>
      </w:pPr>
      <w:r>
        <w:rPr>
          <w:rStyle w:val="FootnoteReference"/>
        </w:rPr>
        <w:footnoteRef/>
      </w:r>
      <w:r>
        <w:t xml:space="preserve"> </w:t>
      </w:r>
      <w:r>
        <w:rPr>
          <w:bCs/>
          <w:b/>
        </w:rPr>
        <w:t xml:space="preserve">TODO</w:t>
      </w:r>
      <w:r>
        <w:t xml:space="preserve"> </w:t>
      </w:r>
      <w:r>
        <w:t xml:space="preserve">We need to create a log that we can use to log the screening process.</w:t>
      </w:r>
    </w:p>
  </w:footnote>
  <w:footnote w:id="54">
    <w:p>
      <w:pPr>
        <w:pStyle w:val="FootnoteText"/>
      </w:pPr>
      <w:r>
        <w:rPr>
          <w:rStyle w:val="FootnoteReference"/>
        </w:rPr>
        <w:footnoteRef/>
      </w:r>
      <w:r>
        <w:t xml:space="preserve"> </w:t>
      </w:r>
      <w:r>
        <w:rPr>
          <w:bCs/>
          <w:b/>
        </w:rPr>
        <w:t xml:space="preserve">TODO</w:t>
      </w:r>
      <w:r>
        <w:t xml:space="preserve"> </w:t>
      </w:r>
      <w:r>
        <w:t xml:space="preserve">Add details on software used to randomise clusters.</w:t>
      </w:r>
    </w:p>
  </w:footnote>
  <w:footnote w:id="55">
    <w:p>
      <w:pPr>
        <w:pStyle w:val="FootnoteText"/>
      </w:pPr>
      <w:r>
        <w:rPr>
          <w:rStyle w:val="FootnoteReference"/>
        </w:rPr>
        <w:footnoteRef/>
      </w:r>
      <w:r>
        <w:t xml:space="preserve"> </w:t>
      </w:r>
      <w:r>
        <w:rPr>
          <w:bCs/>
          <w:b/>
        </w:rPr>
        <w:t xml:space="preserve">Question:</w:t>
      </w:r>
      <w:r>
        <w:t xml:space="preserve"> </w:t>
      </w:r>
      <w:r>
        <w:t xml:space="preserve">Is it still relevant to stratify by geographical region and anticipated cluster size in the stepped-wedge design?</w:t>
      </w:r>
    </w:p>
  </w:footnote>
  <w:footnote w:id="56">
    <w:p>
      <w:pPr>
        <w:pStyle w:val="FootnoteText"/>
      </w:pPr>
      <w:r>
        <w:rPr>
          <w:rStyle w:val="FootnoteReference"/>
        </w:rPr>
        <w:footnoteRef/>
      </w:r>
      <w:r>
        <w:t xml:space="preserve"> </w:t>
      </w:r>
      <w:r>
        <w:rPr>
          <w:bCs/>
          <w:b/>
        </w:rPr>
        <w:t xml:space="preserve">Question:</w:t>
      </w:r>
      <w:r>
        <w:t xml:space="preserve"> </w:t>
      </w:r>
      <w:r>
        <w:t xml:space="preserve">Is it logistically feasible to conceal the randomisation order until one month before the start of the transition date? We need to book ATLS training slots in advance.</w:t>
      </w:r>
    </w:p>
  </w:footnote>
  <w:footnote w:id="70">
    <w:p>
      <w:pPr>
        <w:pStyle w:val="FootnoteText"/>
      </w:pPr>
      <w:r>
        <w:rPr>
          <w:rStyle w:val="FootnoteReference"/>
        </w:rPr>
        <w:footnoteRef/>
      </w:r>
      <w:r>
        <w:t xml:space="preserve"> </w:t>
      </w:r>
      <w:r>
        <w:rPr>
          <w:bCs/>
          <w:b/>
        </w:rPr>
        <w:t xml:space="preserve">TODO</w:t>
      </w:r>
      <w:r>
        <w:t xml:space="preserve"> </w:t>
      </w:r>
      <w:r>
        <w:t xml:space="preserve">Identify four members of the independent Data Safety Monitoring committee.</w:t>
      </w:r>
    </w:p>
  </w:footnote>
  <w:footnote w:id="72">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 w:id="80">
    <w:p>
      <w:pPr>
        <w:pStyle w:val="FootnoteText"/>
      </w:pPr>
      <w:r>
        <w:rPr>
          <w:rStyle w:val="FootnoteReference"/>
        </w:rPr>
        <w:footnoteRef/>
      </w:r>
      <w:r>
        <w:t xml:space="preserve"> </w:t>
      </w:r>
      <w:r>
        <w:rPr>
          <w:bCs/>
          <w:b/>
        </w:rPr>
        <w:t xml:space="preserve">TODO TGI</w:t>
      </w:r>
      <w:r>
        <w:t xml:space="preserve"> </w:t>
      </w:r>
      <w:r>
        <w:t xml:space="preserve">Add a section on quality control.</w:t>
      </w:r>
    </w:p>
  </w:footnote>
  <w:footnote w:id="82">
    <w:p>
      <w:pPr>
        <w:pStyle w:val="FootnoteText"/>
      </w:pPr>
      <w:r>
        <w:rPr>
          <w:rStyle w:val="FootnoteReference"/>
        </w:rPr>
        <w:footnoteRef/>
      </w:r>
      <w:r>
        <w:t xml:space="preserve"> </w:t>
      </w:r>
      <w:r>
        <w:rPr>
          <w:bCs/>
          <w:b/>
        </w:rPr>
        <w:t xml:space="preserve">TODO TGI</w:t>
      </w:r>
      <w:r>
        <w:t xml:space="preserve"> </w:t>
      </w:r>
      <w:r>
        <w:t xml:space="preserve">Add a section on quality assurance.</w:t>
      </w:r>
    </w:p>
  </w:footnote>
  <w:footnote w:id="84">
    <w:p>
      <w:pPr>
        <w:pStyle w:val="FootnoteText"/>
      </w:pPr>
      <w:r>
        <w:rPr>
          <w:rStyle w:val="FootnoteReference"/>
        </w:rPr>
        <w:footnoteRef/>
      </w:r>
      <w:r>
        <w:t xml:space="preserve"> </w:t>
      </w:r>
      <w:r>
        <w:rPr>
          <w:bCs/>
          <w:b/>
        </w:rPr>
        <w:t xml:space="preserve">TODO TGI</w:t>
      </w:r>
      <w:r>
        <w:t xml:space="preserve"> </w:t>
      </w:r>
      <w:r>
        <w:t xml:space="preserve">Add a section on monitoring.</w:t>
      </w:r>
    </w:p>
  </w:footnote>
  <w:footnote w:id="92">
    <w:p>
      <w:pPr>
        <w:pStyle w:val="FootnoteText"/>
      </w:pPr>
      <w:r>
        <w:rPr>
          <w:rStyle w:val="FootnoteReference"/>
        </w:rPr>
        <w:footnoteRef/>
      </w:r>
      <w:r>
        <w:t xml:space="preserve"> </w:t>
      </w:r>
      <w:r>
        <w:rPr>
          <w:bCs/>
          <w:b/>
        </w:rPr>
        <w:t xml:space="preserve">TODO:</w:t>
      </w:r>
      <w:r>
        <w:t xml:space="preserve"> </w:t>
      </w:r>
      <w:r>
        <w:t xml:space="preserve">Describe data protection mechanisms, or cross-reference the section on</w:t>
      </w:r>
      <w:r>
        <w:t xml:space="preserve"> </w:t>
      </w:r>
      <w:r>
        <w:t xml:space="preserve">“</w:t>
      </w:r>
      <w:r>
        <w:t xml:space="preserve">Collection, handling and archiving of data</w:t>
      </w:r>
      <w:r>
        <w:t xml:space="preserve">”</w:t>
      </w:r>
    </w:p>
  </w:footnote>
  <w:footnote w:id="95">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 w:id="98">
    <w:p>
      <w:pPr>
        <w:pStyle w:val="FootnoteText"/>
      </w:pPr>
      <w:r>
        <w:rPr>
          <w:rStyle w:val="FootnoteReference"/>
        </w:rPr>
        <w:footnoteRef/>
      </w:r>
      <w:r>
        <w:t xml:space="preserve"> </w:t>
      </w:r>
      <w:r>
        <w:rPr>
          <w:bCs/>
          <w:b/>
        </w:rPr>
        <w:t xml:space="preserve">TODO:</w:t>
      </w:r>
      <w:r>
        <w:t xml:space="preserve"> </w:t>
      </w:r>
      <w:r>
        <w:t xml:space="preserve">Create a CRF template and attach.</w:t>
      </w:r>
    </w:p>
  </w:footnote>
  <w:footnote w:id="99">
    <w:p>
      <w:pPr>
        <w:pStyle w:val="FootnoteText"/>
      </w:pPr>
      <w:r>
        <w:rPr>
          <w:rStyle w:val="FootnoteReference"/>
        </w:rPr>
        <w:footnoteRef/>
      </w:r>
      <w:r>
        <w:t xml:space="preserve"> </w:t>
      </w:r>
      <w:r>
        <w:rPr>
          <w:bCs/>
          <w:b/>
        </w:rPr>
        <w:t xml:space="preserve">TODO TGI:</w:t>
      </w:r>
      <w:r>
        <w:t xml:space="preserve"> </w:t>
      </w:r>
      <w:r>
        <w:t xml:space="preserve">Please check that this is correct.</w:t>
      </w:r>
    </w:p>
  </w:footnote>
  <w:footnote w:id="100">
    <w:p>
      <w:pPr>
        <w:pStyle w:val="FootnoteText"/>
      </w:pPr>
      <w:r>
        <w:rPr>
          <w:rStyle w:val="FootnoteReference"/>
        </w:rPr>
        <w:footnoteRef/>
      </w:r>
      <w:r>
        <w:t xml:space="preserve"> </w:t>
      </w:r>
      <w:r>
        <w:rPr>
          <w:bCs/>
          <w:b/>
        </w:rPr>
        <w:t xml:space="preserve">TODO:</w:t>
      </w:r>
      <w:r>
        <w:t xml:space="preserve"> </w:t>
      </w:r>
      <w:r>
        <w:t xml:space="preserve">Create an ISF template.</w:t>
      </w:r>
    </w:p>
  </w:footnote>
  <w:footnote w:id="101">
    <w:p>
      <w:pPr>
        <w:pStyle w:val="FootnoteText"/>
      </w:pPr>
      <w:r>
        <w:rPr>
          <w:rStyle w:val="FootnoteReference"/>
        </w:rPr>
        <w:footnoteRef/>
      </w:r>
      <w:r>
        <w:t xml:space="preserve"> </w:t>
      </w:r>
      <w:r>
        <w:rPr>
          <w:bCs/>
          <w:b/>
        </w:rPr>
        <w:t xml:space="preserve">TODO TGI:</w:t>
      </w:r>
      <w:r>
        <w:t xml:space="preserve"> </w:t>
      </w:r>
      <w:r>
        <w:t xml:space="preserve">Please check that this applies.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df" /><Relationship Type="http://schemas.openxmlformats.org/officeDocument/2006/relationships/image" Id="rId31" Target="media/rId31.pdf" /><Relationship Type="http://schemas.openxmlformats.org/officeDocument/2006/relationships/hyperlink" Id="rId114" Target="" TargetMode="External" /><Relationship Type="http://schemas.openxmlformats.org/officeDocument/2006/relationships/hyperlink" Id="rId120" Target="https://doi.org/10.1002/14651858.cd004173.pub4" TargetMode="External" /><Relationship Type="http://schemas.openxmlformats.org/officeDocument/2006/relationships/hyperlink" Id="rId166" Target="https://doi.org/10.1002/sim.9438" TargetMode="External" /><Relationship Type="http://schemas.openxmlformats.org/officeDocument/2006/relationships/hyperlink" Id="rId118"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24" Target="https://doi.org/10.1007/s00268-021-06065-9" TargetMode="External" /><Relationship Type="http://schemas.openxmlformats.org/officeDocument/2006/relationships/hyperlink" Id="rId137" Target="https://doi.org/10.1007/s002689900171" TargetMode="External" /><Relationship Type="http://schemas.openxmlformats.org/officeDocument/2006/relationships/hyperlink" Id="rId148" Target="https://doi.org/10.1016/j.ajem.2004.08.013" TargetMode="External" /><Relationship Type="http://schemas.openxmlformats.org/officeDocument/2006/relationships/hyperlink" Id="rId122" Target="https://doi.org/10.1016/j.injury.2019.10.084" TargetMode="External" /><Relationship Type="http://schemas.openxmlformats.org/officeDocument/2006/relationships/hyperlink" Id="rId152" Target="https://doi.org/10.1016/j.resuscitation.2010.10.005" TargetMode="External" /><Relationship Type="http://schemas.openxmlformats.org/officeDocument/2006/relationships/hyperlink" Id="rId141" Target="https://doi.org/10.1016/s0002-9610(88)80150-8" TargetMode="External" /><Relationship Type="http://schemas.openxmlformats.org/officeDocument/2006/relationships/hyperlink" Id="rId116" Target="https://doi.org/10.1016/s0140-6736(20)30925-9" TargetMode="External" /><Relationship Type="http://schemas.openxmlformats.org/officeDocument/2006/relationships/hyperlink" Id="rId146" Target="https://doi.org/10.1067/msy.2001.115898" TargetMode="External" /><Relationship Type="http://schemas.openxmlformats.org/officeDocument/2006/relationships/hyperlink" Id="rId164" Target="https://doi.org/10.1093/ije/dyaa077" TargetMode="External" /><Relationship Type="http://schemas.openxmlformats.org/officeDocument/2006/relationships/hyperlink" Id="rId176" Target="https://doi.org/10.1093/ije/dyz237" TargetMode="External" /><Relationship Type="http://schemas.openxmlformats.org/officeDocument/2006/relationships/hyperlink" Id="rId144" Target="https://doi.org/10.1097/00005373-199306000-00022" TargetMode="External" /><Relationship Type="http://schemas.openxmlformats.org/officeDocument/2006/relationships/hyperlink" Id="rId139" Target="https://doi.org/10.1097/00005373-199901000-00013" TargetMode="External" /><Relationship Type="http://schemas.openxmlformats.org/officeDocument/2006/relationships/hyperlink" Id="rId131" Target="https://doi.org/10.1097/ta.0000000000002205" TargetMode="External" /><Relationship Type="http://schemas.openxmlformats.org/officeDocument/2006/relationships/hyperlink" Id="rId154" Target="https://doi.org/10.1097/ta.0b013e31829880a0" TargetMode="External" /><Relationship Type="http://schemas.openxmlformats.org/officeDocument/2006/relationships/hyperlink" Id="rId133" Target="https://doi.org/10.1111/aas.13151" TargetMode="External" /><Relationship Type="http://schemas.openxmlformats.org/officeDocument/2006/relationships/hyperlink" Id="rId162" Target="https://doi.org/10.1136/bmj.h391" TargetMode="External" /><Relationship Type="http://schemas.openxmlformats.org/officeDocument/2006/relationships/hyperlink" Id="rId160" Target="https://doi.org/10.1136/bmjopen-2021-057504" TargetMode="External" /><Relationship Type="http://schemas.openxmlformats.org/officeDocument/2006/relationships/hyperlink" Id="rId174" Target="https://doi.org/10.1177/0962280215588242" TargetMode="External" /><Relationship Type="http://schemas.openxmlformats.org/officeDocument/2006/relationships/hyperlink" Id="rId170" Target="https://doi.org/10.1177/0962280220932962" TargetMode="External" /><Relationship Type="http://schemas.openxmlformats.org/officeDocument/2006/relationships/hyperlink" Id="rId180" Target="https://doi.org/10.1177/17407745211020852" TargetMode="External" /><Relationship Type="http://schemas.openxmlformats.org/officeDocument/2006/relationships/hyperlink" Id="rId129" Target="https://doi.org/10.1186/s12913-017-2085-7" TargetMode="External" /><Relationship Type="http://schemas.openxmlformats.org/officeDocument/2006/relationships/hyperlink" Id="rId178" Target="https://doi.org/10.1186/s13063-016-1532-9" TargetMode="External" /><Relationship Type="http://schemas.openxmlformats.org/officeDocument/2006/relationships/hyperlink" Id="rId172" Target="https://doi.org/10.1191/1740774505cn071oa" TargetMode="External" /><Relationship Type="http://schemas.openxmlformats.org/officeDocument/2006/relationships/hyperlink" Id="rId127" Target="https://doi.org/10.1371/journal.pone.0212095" TargetMode="External" /><Relationship Type="http://schemas.openxmlformats.org/officeDocument/2006/relationships/hyperlink" Id="rId158" Target="https://pubmed.ncbi.nlm.nih.gov/27025984/" TargetMode="External" /><Relationship Type="http://schemas.openxmlformats.org/officeDocument/2006/relationships/hyperlink" Id="rId168" Target="https://stepcare.org/protocol" TargetMode="External" /><Relationship Type="http://schemas.openxmlformats.org/officeDocument/2006/relationships/hyperlink" Id="rId150"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114" Target="" TargetMode="External" /><Relationship Type="http://schemas.openxmlformats.org/officeDocument/2006/relationships/hyperlink" Id="rId120" Target="https://doi.org/10.1002/14651858.cd004173.pub4" TargetMode="External" /><Relationship Type="http://schemas.openxmlformats.org/officeDocument/2006/relationships/hyperlink" Id="rId166" Target="https://doi.org/10.1002/sim.9438" TargetMode="External" /><Relationship Type="http://schemas.openxmlformats.org/officeDocument/2006/relationships/hyperlink" Id="rId118"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24" Target="https://doi.org/10.1007/s00268-021-06065-9" TargetMode="External" /><Relationship Type="http://schemas.openxmlformats.org/officeDocument/2006/relationships/hyperlink" Id="rId137" Target="https://doi.org/10.1007/s002689900171" TargetMode="External" /><Relationship Type="http://schemas.openxmlformats.org/officeDocument/2006/relationships/hyperlink" Id="rId148" Target="https://doi.org/10.1016/j.ajem.2004.08.013" TargetMode="External" /><Relationship Type="http://schemas.openxmlformats.org/officeDocument/2006/relationships/hyperlink" Id="rId122" Target="https://doi.org/10.1016/j.injury.2019.10.084" TargetMode="External" /><Relationship Type="http://schemas.openxmlformats.org/officeDocument/2006/relationships/hyperlink" Id="rId152" Target="https://doi.org/10.1016/j.resuscitation.2010.10.005" TargetMode="External" /><Relationship Type="http://schemas.openxmlformats.org/officeDocument/2006/relationships/hyperlink" Id="rId141" Target="https://doi.org/10.1016/s0002-9610(88)80150-8" TargetMode="External" /><Relationship Type="http://schemas.openxmlformats.org/officeDocument/2006/relationships/hyperlink" Id="rId116" Target="https://doi.org/10.1016/s0140-6736(20)30925-9" TargetMode="External" /><Relationship Type="http://schemas.openxmlformats.org/officeDocument/2006/relationships/hyperlink" Id="rId146" Target="https://doi.org/10.1067/msy.2001.115898" TargetMode="External" /><Relationship Type="http://schemas.openxmlformats.org/officeDocument/2006/relationships/hyperlink" Id="rId164" Target="https://doi.org/10.1093/ije/dyaa077" TargetMode="External" /><Relationship Type="http://schemas.openxmlformats.org/officeDocument/2006/relationships/hyperlink" Id="rId176" Target="https://doi.org/10.1093/ije/dyz237" TargetMode="External" /><Relationship Type="http://schemas.openxmlformats.org/officeDocument/2006/relationships/hyperlink" Id="rId144" Target="https://doi.org/10.1097/00005373-199306000-00022" TargetMode="External" /><Relationship Type="http://schemas.openxmlformats.org/officeDocument/2006/relationships/hyperlink" Id="rId139" Target="https://doi.org/10.1097/00005373-199901000-00013" TargetMode="External" /><Relationship Type="http://schemas.openxmlformats.org/officeDocument/2006/relationships/hyperlink" Id="rId131" Target="https://doi.org/10.1097/ta.0000000000002205" TargetMode="External" /><Relationship Type="http://schemas.openxmlformats.org/officeDocument/2006/relationships/hyperlink" Id="rId154" Target="https://doi.org/10.1097/ta.0b013e31829880a0" TargetMode="External" /><Relationship Type="http://schemas.openxmlformats.org/officeDocument/2006/relationships/hyperlink" Id="rId133" Target="https://doi.org/10.1111/aas.13151" TargetMode="External" /><Relationship Type="http://schemas.openxmlformats.org/officeDocument/2006/relationships/hyperlink" Id="rId162" Target="https://doi.org/10.1136/bmj.h391" TargetMode="External" /><Relationship Type="http://schemas.openxmlformats.org/officeDocument/2006/relationships/hyperlink" Id="rId160" Target="https://doi.org/10.1136/bmjopen-2021-057504" TargetMode="External" /><Relationship Type="http://schemas.openxmlformats.org/officeDocument/2006/relationships/hyperlink" Id="rId174" Target="https://doi.org/10.1177/0962280215588242" TargetMode="External" /><Relationship Type="http://schemas.openxmlformats.org/officeDocument/2006/relationships/hyperlink" Id="rId170" Target="https://doi.org/10.1177/0962280220932962" TargetMode="External" /><Relationship Type="http://schemas.openxmlformats.org/officeDocument/2006/relationships/hyperlink" Id="rId180" Target="https://doi.org/10.1177/17407745211020852" TargetMode="External" /><Relationship Type="http://schemas.openxmlformats.org/officeDocument/2006/relationships/hyperlink" Id="rId129" Target="https://doi.org/10.1186/s12913-017-2085-7" TargetMode="External" /><Relationship Type="http://schemas.openxmlformats.org/officeDocument/2006/relationships/hyperlink" Id="rId178" Target="https://doi.org/10.1186/s13063-016-1532-9" TargetMode="External" /><Relationship Type="http://schemas.openxmlformats.org/officeDocument/2006/relationships/hyperlink" Id="rId172" Target="https://doi.org/10.1191/1740774505cn071oa" TargetMode="External" /><Relationship Type="http://schemas.openxmlformats.org/officeDocument/2006/relationships/hyperlink" Id="rId127" Target="https://doi.org/10.1371/journal.pone.0212095" TargetMode="External" /><Relationship Type="http://schemas.openxmlformats.org/officeDocument/2006/relationships/hyperlink" Id="rId158" Target="https://pubmed.ncbi.nlm.nih.gov/27025984/" TargetMode="External" /><Relationship Type="http://schemas.openxmlformats.org/officeDocument/2006/relationships/hyperlink" Id="rId168" Target="https://stepcare.org/protocol" TargetMode="External" /><Relationship Type="http://schemas.openxmlformats.org/officeDocument/2006/relationships/hyperlink" Id="rId150"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2023-12-12T09:04:33Z</dcterms:created>
  <dcterms:modified xsi:type="dcterms:W3CDTF">2023-12-12T09:04:33Z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0.2.0 2023-12-11</vt:lpwstr>
  </property>
  <property fmtid="{D5CDD505-2E9C-101B-9397-08002B2CF9AE}" pid="12" name="toc-title">
    <vt:lpwstr>Table of contents</vt:lpwstr>
  </property>
</Properties>
</file>