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Override PartName="/word/media/rId181.pdf" ContentType="application/pdf"/>
  <Override PartName="/word/media/rId184.pdf" ContentType="application/pdf"/>
  <Override PartName="/word/media/rId187.pdf" ContentType="application/pdf"/>
  <Override PartName="/word/media/rId190.pdf" ContentType="application/pdf"/>
  <Override PartName="/word/media/rId194.pdf" ContentType="application/pdf"/>
  <Override PartName="/word/media/rId197.pdf" ContentType="application/pdf"/>
  <Override PartName="/word/media/rId200.pdf" ContentType="application/pdf"/>
  <Override PartName="/word/media/rId203.pdf" ContentType="application/pdf"/>
  <Override PartName="/word/media/rId206.pdf" ContentType="application/pdf"/>
  <Override PartName="/word/media/rId209.pdf" ContentType="application/pdf"/>
  <Override PartName="/word/media/rId79.pdf" ContentType="application/pdf"/>
  <Override PartName="/word/media/rId22.pdf" ContentType="application/pdf"/>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Clinical</w:t>
      </w:r>
      <w:r>
        <w:t xml:space="preserve"> </w:t>
      </w:r>
      <w:r>
        <w:t xml:space="preserve">Trial</w:t>
      </w:r>
      <w:r>
        <w:t xml:space="preserve"> </w:t>
      </w:r>
      <w:r>
        <w:t xml:space="preserve">Protocol</w:t>
      </w:r>
      <w:r>
        <w:br/>
      </w:r>
      <w:r>
        <w:t xml:space="preserve">Version</w:t>
      </w:r>
      <w:r>
        <w:t xml:space="preserve"> </w:t>
      </w:r>
      <w:r>
        <w:t xml:space="preserve">0.6.1</w:t>
      </w:r>
      <w:r>
        <w:br/>
      </w:r>
      <w:r>
        <w:t xml:space="preserve">2024-02-22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r>
        <w:rPr>
          <w:bCs/>
          <w:b/>
        </w:rPr>
        <w:t xml:space="preserve">ATLS</w:t>
      </w:r>
      <w:r>
        <w:rPr>
          <w:vertAlign w:val="superscript"/>
          <w:bCs/>
          <w:b/>
        </w:rPr>
        <w:t xml:space="preserve">®</w:t>
      </w:r>
      <w:r>
        <w:rPr>
          <w:bCs/>
          <w:b/>
        </w:rPr>
        <w:t xml:space="preserve"> </w:t>
      </w:r>
      <w:r>
        <w:rPr>
          <w:bCs/>
          <w:b/>
        </w:rPr>
        <w:t xml:space="preserve">vs Standard Care in Adult Trauma Patients</w:t>
      </w:r>
    </w:p>
    <w:p>
      <w:pPr>
        <w:pStyle w:val="BodyText"/>
      </w:pPr>
      <w:r>
        <w:t xml:space="preserve">Clinical Trials Registry-India ID:</w:t>
      </w:r>
    </w:p>
    <w:p>
      <w:pPr>
        <w:pStyle w:val="BodyText"/>
      </w:pPr>
      <w:r>
        <w:t xml:space="preserve">ClinicalTrials.gov ID:</w:t>
      </w:r>
    </w:p>
    <w:p>
      <w:pPr>
        <w:pStyle w:val="BodyText"/>
      </w:pPr>
      <w:r>
        <w:t xml:space="preserve">Coordinator:</w:t>
      </w:r>
    </w:p>
    <w:p>
      <w:pPr>
        <w:pStyle w:val="BodyText"/>
      </w:pPr>
      <w:r>
        <w:t xml:space="preserve">Sponsor:</w:t>
      </w:r>
    </w:p>
    <w:p>
      <w:r>
        <w:br w:type="page"/>
      </w:r>
    </w:p>
    <w:bookmarkStart w:id="20" w:name="changelog"/>
    <w:p>
      <w:pPr>
        <w:pStyle w:val="Heading1"/>
      </w:pPr>
      <w:r>
        <w:t xml:space="preserve">1. Changelog</w:t>
      </w:r>
    </w:p>
    <w:p>
      <w:pPr>
        <w:pStyle w:val="FirstParagraph"/>
      </w:pPr>
      <w:r>
        <w:rPr>
          <w:bCs/>
          <w:b/>
        </w:rPr>
        <w:t xml:space="preserve">After version 1.0.0 is approved, all major and minor version updates to the protocol will be documented here. A full changelog will also be kept separately, that documents all</w:t>
      </w:r>
      <w:r>
        <w:rPr>
          <w:bCs/>
          <w:b/>
        </w:rPr>
        <w:t xml:space="preserve"> </w:t>
      </w:r>
      <w:r>
        <w:rPr>
          <w:bCs/>
          <w:b/>
        </w:rPr>
        <w:t xml:space="preserve">“</w:t>
      </w:r>
      <w:r>
        <w:rPr>
          <w:bCs/>
          <w:b/>
        </w:rPr>
        <w:t xml:space="preserve">patch</w:t>
      </w:r>
      <w:r>
        <w:rPr>
          <w:bCs/>
          <w:b/>
        </w:rPr>
        <w:t xml:space="preserve">”</w:t>
      </w:r>
      <w:r>
        <w:rPr>
          <w:bCs/>
          <w:b/>
        </w:rPr>
        <w:t xml:space="preserve"> </w:t>
      </w:r>
      <w:r>
        <w:rPr>
          <w:bCs/>
          <w:b/>
        </w:rPr>
        <w:t xml:space="preserve">updates as well (for example spelling and grammar edits).</w:t>
      </w:r>
    </w:p>
    <w:p>
      <w:r>
        <w:br w:type="page"/>
      </w:r>
    </w:p>
    <w:bookmarkEnd w:id="20"/>
    <w:bookmarkStart w:id="21" w:name="synopsis"/>
    <w:p>
      <w:pPr>
        <w:pStyle w:val="Heading1"/>
      </w:pPr>
      <w:r>
        <w:t xml:space="preserve">2.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p>
      <w:r>
        <w:br w:type="page"/>
      </w:r>
    </w:p>
    <w:bookmarkEnd w:id="21"/>
    <w:bookmarkStart w:id="27" w:name="background-and-rationale"/>
    <w:p>
      <w:pPr>
        <w:pStyle w:val="Heading1"/>
      </w:pPr>
      <w:r>
        <w:t xml:space="preserve">3. Background and rationale</w:t>
      </w:r>
    </w:p>
    <w:p>
      <w:pPr>
        <w:pStyle w:val="FirstParagraph"/>
      </w:pPr>
      <w:r>
        <w:t xml:space="preserve">Each year, 4.3 million people die from trauma</w:t>
      </w:r>
      <w:r>
        <w:rPr>
          <w:vertAlign w:val="superscript"/>
        </w:rPr>
        <w:t xml:space="preserve">1</w:t>
      </w:r>
      <w:r>
        <w:t xml:space="preserve">. Among people aged 10-24 and 25-49 years trauma is the largest cause of disability adjusted life years</w:t>
      </w:r>
      <w:r>
        <w:rPr>
          <w:vertAlign w:val="superscript"/>
        </w:rPr>
        <w:t xml:space="preserve">2</w:t>
      </w:r>
      <w:r>
        <w:t xml:space="preserve">. Most deaths from trauma occur within the first 24-48 hours</w:t>
      </w:r>
      <w:r>
        <w:rPr>
          <w:vertAlign w:val="superscript"/>
        </w:rPr>
        <w:t xml:space="preserve">3</w:t>
      </w:r>
      <w:r>
        <w:t xml:space="preserve">. Traumatic brain injury and exsanguination are the most common causes of trauma deaths</w:t>
      </w:r>
      <w:r>
        <w:rPr>
          <w:vertAlign w:val="superscript"/>
        </w:rPr>
        <w:t xml:space="preserve">4,5</w:t>
      </w:r>
      <w:r>
        <w:t xml:space="preserve">. Most preventable trauma deaths are caused by clinical judgement errors during initial resuscitation or early care including airway management and haemorrhage control, even though the deaths occur later during the hospital stay</w:t>
      </w:r>
      <w:r>
        <w:rPr>
          <w:vertAlign w:val="superscript"/>
        </w:rPr>
        <w:t xml:space="preserve">4,6</w:t>
      </w:r>
      <w:r>
        <w:t xml:space="preserve">.</w:t>
      </w:r>
    </w:p>
    <w:p>
      <w:pPr>
        <w:pStyle w:val="BodyText"/>
      </w:pPr>
      <w:r>
        <w:t xml:space="preserve">Several trauma life support training programmes have been developed to improve the early management of patients in the hospital by providing a structured framework for assessment and treatment</w:t>
      </w:r>
      <w:r>
        <w:rPr>
          <w:vertAlign w:val="superscript"/>
        </w:rPr>
        <w:t xml:space="preserve">7–10</w:t>
      </w:r>
      <w:r>
        <w:t xml:space="preserve">. 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programme and more than one million physicians in over 80 countries have been trained in the programme since the first course in 1978</w:t>
      </w:r>
      <w:r>
        <w:rPr>
          <w:vertAlign w:val="superscript"/>
        </w:rPr>
        <w:t xml:space="preserve">11</w:t>
      </w:r>
      <w:r>
        <w:t xml:space="preserve">. In the US and many other countries training in ATLS</w:t>
      </w:r>
      <w:r>
        <w:rPr>
          <w:vertAlign w:val="superscript"/>
        </w:rPr>
        <w:t xml:space="preserve">®</w:t>
      </w:r>
      <w:r>
        <w:t xml:space="preserve"> </w:t>
      </w:r>
      <w:r>
        <w:t xml:space="preserve">is virtually mandatory for trauma care physicians</w:t>
      </w:r>
      <w:r>
        <w:rPr>
          <w:vertAlign w:val="superscript"/>
        </w:rPr>
        <w:t xml:space="preserve">12</w:t>
      </w:r>
      <w:r>
        <w:t xml:space="preserve">. Uptake in low- and middle income countries (LMIC) has been slow, potentially due to high costs</w:t>
      </w:r>
      <w:r>
        <w:rPr>
          <w:vertAlign w:val="superscript"/>
        </w:rPr>
        <w:t xml:space="preserve">9</w:t>
      </w:r>
      <w:r>
        <w:t xml:space="preserve">.</w:t>
      </w:r>
    </w:p>
    <w:p>
      <w:pPr>
        <w:pStyle w:val="BodyText"/>
      </w:pPr>
      <w:r>
        <w:t xml:space="preserve">There are three randomised controlled studies showing that ATLS</w:t>
      </w:r>
      <w:r>
        <w:rPr>
          <w:vertAlign w:val="superscript"/>
        </w:rPr>
        <w:t xml:space="preserve">®</w:t>
      </w:r>
      <w:r>
        <w:t xml:space="preserve"> </w:t>
      </w:r>
      <w:r>
        <w:t xml:space="preserve">improves knowledge and clinical skills</w:t>
      </w:r>
      <w:r>
        <w:rPr>
          <w:vertAlign w:val="superscript"/>
        </w:rPr>
        <w:t xml:space="preserve">13–15</w:t>
      </w:r>
      <w:r>
        <w:t xml:space="preserve">, but there are no randomised controlled trials or high-quality quasi-experimental trials indicating that ATLS</w:t>
      </w:r>
      <w:r>
        <w:rPr>
          <w:vertAlign w:val="superscript"/>
        </w:rPr>
        <w:t xml:space="preserve">®</w:t>
      </w:r>
      <w:r>
        <w:t xml:space="preserve"> </w:t>
      </w:r>
      <w:r>
        <w:t xml:space="preserve">improves patient outcomes</w:t>
      </w:r>
      <w:r>
        <w:rPr>
          <w:vertAlign w:val="superscript"/>
        </w:rPr>
        <w:t xml:space="preserve">7,8,10</w:t>
      </w:r>
      <w:r>
        <w:t xml:space="preserve">. We conducted an updated systematic review for project (unpublished), and estimated a pooled risk ratio of 0.82 (95% CI 0.60; 1.11) from ten heterogeneous (I</w:t>
      </w:r>
      <w:r>
        <w:rPr>
          <w:vertAlign w:val="superscript"/>
        </w:rPr>
        <w:t xml:space="preserve">2</w:t>
      </w:r>
      <w:r>
        <w:t xml:space="preserve"> </w:t>
      </w:r>
      <w:r>
        <w:t xml:space="preserve">0.91) retrospective or small studies on the effect of ATLS on mortality (see</w:t>
      </w:r>
      <w:r>
        <w:t xml:space="preserve"> </w:t>
      </w:r>
      <w:hyperlink w:anchor="fig-forest-plot">
        <w:r>
          <w:rPr>
            <w:rStyle w:val="Hyperlink"/>
          </w:rPr>
          <w:t xml:space="preserve">Figure 1</w:t>
        </w:r>
      </w:hyperlink>
      <w:r>
        <w:t xml:space="preserve">)</w:t>
      </w:r>
      <w:r>
        <w:rPr>
          <w:vertAlign w:val="superscript"/>
        </w:rPr>
        <w:t xml:space="preserve">16–25</w:t>
      </w:r>
      <w:r>
        <w:t xml:space="preserve">. No study assessed functional outcomes.</w:t>
      </w:r>
    </w:p>
    <w:p>
      <w:pPr>
        <w:pStyle w:val="BodyText"/>
      </w:pPr>
      <w:r>
        <w:t xml:space="preserve">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 xml:space="preserve">26</w:t>
      </w:r>
      <w:r>
        <w:t xml:space="preserve">.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pPr>
        <w:pStyle w:val="BodyText"/>
      </w:pPr>
      <w:r>
        <w:t xml:space="preserve">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bookmarkStart w:id="26" w:name="updated-systematic-review"/>
    <w:p>
      <w:pPr>
        <w:pStyle w:val="Heading2"/>
      </w:pPr>
      <w:r>
        <w:t xml:space="preserve">3.1 Updated systematic review</w:t>
      </w:r>
    </w:p>
    <w:p>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type="pct" w:w="5000"/>
        <w:tblLook w:firstRow="0" w:lastRow="0" w:firstColumn="0" w:lastColumn="0" w:noHBand="0" w:noVBand="0" w:val="0000"/>
        <w:jc w:val="start"/>
      </w:tblPr>
      <w:tblGrid>
        <w:gridCol w:w="7920"/>
      </w:tblGrid>
      <w:tr>
        <w:tc>
          <w:tcPr/>
          <w:bookmarkStart w:id="25" w:name="fig-forest-plot"/>
          <w:p>
            <w:pPr>
              <w:jc w:val="center"/>
            </w:pPr>
            <w:r>
              <w:drawing>
                <wp:inline>
                  <wp:extent cx="5334000" cy="2667000"/>
                  <wp:effectExtent b="0" l="0" r="0" t="0"/>
                  <wp:docPr descr="" title="" id="23" name="Picture"/>
                  <a:graphic>
                    <a:graphicData uri="http://schemas.openxmlformats.org/drawingml/2006/picture">
                      <pic:pic>
                        <pic:nvPicPr>
                          <pic:cNvPr descr="forest-plot.pdf"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the updated system review. The forest plot shows the effect of ATLS on mortality. Abbreviations: RR, risk ratio; CI, confidence interval; ATLS, Advanced Trauma Life Support; I</w:t>
            </w:r>
            <w:r>
              <w:rPr>
                <w:vertAlign w:val="superscript"/>
              </w:rPr>
              <w:t xml:space="preserve">2</w:t>
            </w:r>
            <w:r>
              <w:t xml:space="preserve">, heterogeneity.</w:t>
            </w:r>
          </w:p>
          <w:bookmarkEnd w:id="25"/>
        </w:tc>
      </w:tr>
    </w:tbl>
    <w:bookmarkEnd w:id="26"/>
    <w:bookmarkEnd w:id="27"/>
    <w:bookmarkStart w:id="28" w:name="benefit-risk-evaluation"/>
    <w:p>
      <w:pPr>
        <w:pStyle w:val="Heading1"/>
      </w:pPr>
      <w:r>
        <w:t xml:space="preserve">4. Benefit-risk evaluation</w:t>
      </w:r>
    </w:p>
    <w:p>
      <w:pPr>
        <w:pStyle w:val="FirstParagraph"/>
      </w:pPr>
      <w:r>
        <w:t xml:space="preserve">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pPr>
        <w:pStyle w:val="BodyText"/>
      </w:pPr>
      <w:r>
        <w:t xml:space="preserve">The long-term risks of the research and the risk that the research will be used in detrimental ways are minimal. Our trial will assess the effect of Advanced Trauma Life Support</w:t>
      </w:r>
      <w:r>
        <w:rPr>
          <w:vertAlign w:val="superscript"/>
        </w:rPr>
        <w:t xml:space="preserve">®</w:t>
      </w:r>
      <w:r>
        <w:t xml:space="preserve"> </w:t>
      </w:r>
      <w:r>
        <w:t xml:space="preserve">(ATLS</w:t>
      </w:r>
      <w:r>
        <w:rPr>
          <w:vertAlign w:val="superscript"/>
        </w:rPr>
        <w:t xml:space="preserve">®</w:t>
      </w:r>
      <w:r>
        <w:t xml:space="preserve">) on patient outcomes. Training in ATLS</w:t>
      </w:r>
      <w:r>
        <w:rPr>
          <w:vertAlign w:val="superscript"/>
        </w:rPr>
        <w:t xml:space="preserve">®</w:t>
      </w:r>
      <w:r>
        <w:t xml:space="preserve"> </w:t>
      </w:r>
      <w:r>
        <w:t xml:space="preserve">is standard in many health care systems and it is unlikely that training physicians in this programme induces any harm to participants.</w:t>
      </w:r>
    </w:p>
    <w:p>
      <w:pPr>
        <w:pStyle w:val="BodyText"/>
      </w:pPr>
      <w:r>
        <w:t xml:space="preserve">We consider these risks weighed up by the potential direct benefit for the participants in the intervention phase, if ATLS</w:t>
      </w:r>
      <w:r>
        <w:rPr>
          <w:vertAlign w:val="superscript"/>
        </w:rPr>
        <w:t xml:space="preserve">®</w:t>
      </w:r>
      <w:r>
        <w:t xml:space="preserve"> </w:t>
      </w:r>
      <w:r>
        <w:t xml:space="preserve">is found to improve patient outcomes, and by the potential for improved care for the trauma patient population.</w:t>
      </w:r>
    </w:p>
    <w:bookmarkEnd w:id="28"/>
    <w:bookmarkStart w:id="29" w:name="trial-aim"/>
    <w:p>
      <w:pPr>
        <w:pStyle w:val="Heading1"/>
      </w:pPr>
      <w:r>
        <w:t xml:space="preserve">5. Trial aim</w:t>
      </w:r>
    </w:p>
    <w:p>
      <w:pPr>
        <w:pStyle w:val="FirstParagraph"/>
      </w:pPr>
      <w:r>
        <w:t xml:space="preserve">To compare the effects of ATLS</w:t>
      </w:r>
      <w:r>
        <w:rPr>
          <w:vertAlign w:val="superscript"/>
        </w:rPr>
        <w:t xml:space="preserve">®</w:t>
      </w:r>
      <w:r>
        <w:t xml:space="preserve"> </w:t>
      </w:r>
      <w:r>
        <w:t xml:space="preserve">training with standard care on outcomes in adult trauma patients.</w:t>
      </w:r>
    </w:p>
    <w:bookmarkEnd w:id="29"/>
    <w:bookmarkStart w:id="30" w:name="X00c24060cc0917b8d570def0c3baa97996a92f2"/>
    <w:p>
      <w:pPr>
        <w:pStyle w:val="Heading1"/>
      </w:pPr>
      <w:r>
        <w:t xml:space="preserve">6. Regulatory approvals and trial registration</w:t>
      </w:r>
    </w:p>
    <w:p>
      <w:pPr>
        <w:pStyle w:val="FirstParagraph"/>
      </w:pPr>
      <w:r>
        <w:t xml:space="preserve">We will submit this trial to the Health Ministry Screening Committee at the Indian Council for Medical Research for their approval. We will apply for ethical approvals from each participating hospital, The George Institute for Global Health in India and the Swedish Ethical Review Authority. We will register this trial with Clinical Trials Registry-India and ClinicalTrials.gov.</w:t>
      </w:r>
    </w:p>
    <w:bookmarkEnd w:id="30"/>
    <w:bookmarkStart w:id="89" w:name="trial-design-and-procedures"/>
    <w:p>
      <w:pPr>
        <w:pStyle w:val="Heading1"/>
      </w:pPr>
      <w:r>
        <w:t xml:space="preserve">7. Trial design and procedures</w:t>
      </w:r>
    </w:p>
    <w:bookmarkStart w:id="31" w:name="overall-trial-design"/>
    <w:p>
      <w:pPr>
        <w:pStyle w:val="Heading2"/>
      </w:pPr>
      <w:r>
        <w:t xml:space="preserve">7.1 Overall trial design</w:t>
      </w:r>
    </w:p>
    <w:p>
      <w:pPr>
        <w:pStyle w:val="FirstParagraph"/>
      </w:pPr>
      <w:r>
        <w:t xml:space="preserve">We will conduct a batched stepped-wedge cluster randomised controlled trial (see</w:t>
      </w:r>
      <w:r>
        <w:t xml:space="preserve"> </w:t>
      </w:r>
      <w:hyperlink w:anchor="fig-trial-design">
        <w:r>
          <w:rPr>
            <w:rStyle w:val="Hyperlink"/>
          </w:rPr>
          <w:t xml:space="preserve">Figure 2</w:t>
        </w:r>
      </w:hyperlink>
      <w:r>
        <w:t xml:space="preserve">). The stepped-wedge trial is a uni-directional cross-over trial but the time point when clusters cross-over from standard care to the intervention is randomised</w:t>
      </w:r>
      <w:r>
        <w:rPr>
          <w:vertAlign w:val="superscript"/>
        </w:rPr>
        <w:t xml:space="preserve">27</w:t>
      </w:r>
      <w:r>
        <w:t xml:space="preserve">.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 xml:space="preserve">®</w:t>
      </w:r>
      <w:r>
        <w:t xml:space="preserve"> </w:t>
      </w:r>
      <w:r>
        <w:t xml:space="preserve">or similar programmes.</w:t>
      </w:r>
    </w:p>
    <w:p>
      <w:pPr>
        <w:pStyle w:val="BodyText"/>
      </w:pPr>
      <w:r>
        <w:t xml:space="preserve">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 months.</w:t>
      </w:r>
    </w:p>
    <w:bookmarkEnd w:id="31"/>
    <w:bookmarkStart w:id="36" w:name="design-justification"/>
    <w:p>
      <w:pPr>
        <w:pStyle w:val="Heading2"/>
      </w:pPr>
      <w:r>
        <w:t xml:space="preserve">7.2 Design justification</w:t>
      </w:r>
    </w:p>
    <w:p>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 xml:space="preserve">28</w:t>
      </w:r>
      <w:r>
        <w:t xml:space="preserve">. In this trial, the number of clusters is limited because of the costs associated with ATLS</w:t>
      </w:r>
      <w:r>
        <w:rPr>
          <w:vertAlign w:val="superscript"/>
        </w:rPr>
        <w:t xml:space="preserve">®</w:t>
      </w:r>
      <w:r>
        <w:t xml:space="preserve"> </w:t>
      </w:r>
      <w:r>
        <w:t xml:space="preserve">training and the available slots for ATLS</w:t>
      </w:r>
      <w:r>
        <w:rPr>
          <w:vertAlign w:val="superscript"/>
        </w:rPr>
        <w:t xml:space="preserve">®</w:t>
      </w:r>
      <w:r>
        <w:t xml:space="preserve"> </w:t>
      </w:r>
      <w:r>
        <w:t xml:space="preserve">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 xml:space="preserve">29</w:t>
      </w:r>
      <w:r>
        <w:t xml:space="preserve">.</w:t>
      </w:r>
    </w:p>
    <w:tbl>
      <w:tblPr>
        <w:tblStyle w:val="Table"/>
        <w:tblW w:type="pct" w:w="5000"/>
        <w:tblLook w:firstRow="0" w:lastRow="0" w:firstColumn="0" w:lastColumn="0" w:noHBand="0" w:noVBand="0" w:val="0000"/>
        <w:jc w:val="start"/>
      </w:tblPr>
      <w:tblGrid>
        <w:gridCol w:w="7920"/>
      </w:tblGrid>
      <w:tr>
        <w:tc>
          <w:tcPr/>
          <w:bookmarkStart w:id="35" w:name="fig-trial-design"/>
          <w:p>
            <w:pPr>
              <w:jc w:val="center"/>
            </w:pPr>
            <w:r>
              <w:drawing>
                <wp:inline>
                  <wp:extent cx="5334000" cy="2667000"/>
                  <wp:effectExtent b="0" l="0" r="0" t="0"/>
                  <wp:docPr descr="" title="" id="33" name="Picture"/>
                  <a:graphic>
                    <a:graphicData uri="http://schemas.openxmlformats.org/drawingml/2006/picture">
                      <pic:pic>
                        <pic:nvPicPr>
                          <pic:cNvPr descr="trial-design-figure-30-clusters-5-sequences-6-batches-6-batches-overlap-4-min-standard-care-4-min-intervention-1-transition-months-0-transition-overlap.pdf"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bookmarkEnd w:id="35"/>
        </w:tc>
      </w:tr>
    </w:tbl>
    <w:bookmarkEnd w:id="36"/>
    <w:bookmarkStart w:id="37" w:name="eligibility-criteria"/>
    <w:p>
      <w:pPr>
        <w:pStyle w:val="Heading2"/>
      </w:pPr>
      <w:r>
        <w:t xml:space="preserve">7.3 Eligibility criteria</w:t>
      </w:r>
    </w:p>
    <w:p>
      <w:pPr>
        <w:pStyle w:val="FirstParagraph"/>
      </w:pPr>
      <w:r>
        <w:t xml:space="preserve">Our trial include eligibility criteria on three levels: hospitals, clusters and patient participants. We include eligibility on both the hospital and cluster level to facilitate the screening process.</w:t>
      </w:r>
    </w:p>
    <w:bookmarkEnd w:id="37"/>
    <w:bookmarkStart w:id="43" w:name="hospital-selection"/>
    <w:p>
      <w:pPr>
        <w:pStyle w:val="Heading2"/>
      </w:pPr>
      <w:r>
        <w:t xml:space="preserve">7.4 Hospital selection</w:t>
      </w:r>
    </w:p>
    <w:p>
      <w:pPr>
        <w:pStyle w:val="FirstParagraph"/>
      </w:pPr>
      <w:r>
        <w:t xml:space="preserve">Hospitals will be secondary or tertiary hospitals providing trauma care in India.</w:t>
      </w:r>
    </w:p>
    <w:bookmarkStart w:id="38" w:name="inclusions-criteria"/>
    <w:p>
      <w:pPr>
        <w:pStyle w:val="Heading3"/>
      </w:pPr>
      <w:r>
        <w:t xml:space="preserve">7.4.1 Inclusions criteria</w:t>
      </w:r>
    </w:p>
    <w:p>
      <w:pPr>
        <w:pStyle w:val="FirstParagraph"/>
      </w:pPr>
      <w:r>
        <w:rPr>
          <w:bCs/>
          <w:b/>
        </w:rPr>
        <w:t xml:space="preserve">Hospitals</w:t>
      </w:r>
      <w:r>
        <w:t xml:space="preserve"> </w:t>
      </w:r>
      <w:r>
        <w:t xml:space="preserve">must meet the following criteria:</w:t>
      </w:r>
    </w:p>
    <w:p>
      <w:pPr>
        <w:numPr>
          <w:ilvl w:val="0"/>
          <w:numId w:val="1001"/>
        </w:numPr>
        <w:pStyle w:val="Compact"/>
      </w:pPr>
      <w:r>
        <w:t xml:space="preserve">admit or refer/transfer for admission at least 400 patients with trauma per year or 35 patients with trauma per month for at least the last six months;</w:t>
      </w:r>
    </w:p>
    <w:p>
      <w:pPr>
        <w:numPr>
          <w:ilvl w:val="0"/>
          <w:numId w:val="1001"/>
        </w:numPr>
        <w:pStyle w:val="Compact"/>
      </w:pPr>
      <w:r>
        <w:t xml:space="preserve">provide surgical and orthopaedic emergency services around the clock; and</w:t>
      </w:r>
    </w:p>
    <w:p>
      <w:pPr>
        <w:numPr>
          <w:ilvl w:val="0"/>
          <w:numId w:val="1001"/>
        </w:numPr>
        <w:pStyle w:val="Compact"/>
      </w:pPr>
      <w:r>
        <w:t xml:space="preserve">have at most 25% of physicians providing initial trauma care trained in a formalised trauma life support training programme, like ATLS</w:t>
      </w:r>
      <w:r>
        <w:rPr>
          <w:vertAlign w:val="superscript"/>
        </w:rPr>
        <w:t xml:space="preserve">®</w:t>
      </w:r>
      <w:r>
        <w:t xml:space="preserve"> </w:t>
      </w:r>
      <w:r>
        <w:t xml:space="preserve">or Primary Trauma Care (PTC).</w:t>
      </w:r>
    </w:p>
    <w:bookmarkEnd w:id="38"/>
    <w:bookmarkStart w:id="41" w:name="exclusion-criteria"/>
    <w:p>
      <w:pPr>
        <w:pStyle w:val="Heading3"/>
      </w:pPr>
      <w:r>
        <w:t xml:space="preserve">7.4.2 Exclusion criteria</w:t>
      </w:r>
    </w:p>
    <w:p>
      <w:pPr>
        <w:pStyle w:val="FirstParagraph"/>
      </w:pPr>
      <w:r>
        <w:rPr>
          <w:bCs/>
          <w:b/>
        </w:rPr>
        <w:t xml:space="preserve">Hospitals</w:t>
      </w:r>
      <w:r>
        <w:t xml:space="preserve"> </w:t>
      </w:r>
      <w:r>
        <w:t xml:space="preserve">are excluded if they meet any of the following criteria:</w:t>
      </w:r>
    </w:p>
    <w:p>
      <w:pPr>
        <w:numPr>
          <w:ilvl w:val="0"/>
          <w:numId w:val="1002"/>
        </w:numPr>
        <w:pStyle w:val="Compact"/>
      </w:pPr>
      <w:r>
        <w:t xml:space="preserve">the hospital of the cluster implements a formalised trauma life support training programme</w:t>
      </w:r>
      <w:r>
        <w:t xml:space="preserve"> </w:t>
      </w:r>
      <w:r>
        <w:rPr>
          <w:rStyle w:val="FootnoteReference"/>
        </w:rPr>
        <w:footnoteReference w:id="39"/>
      </w:r>
      <w:r>
        <w:t xml:space="preserve"> </w:t>
      </w:r>
      <w:r>
        <w:t xml:space="preserve">during the trial period; or</w:t>
      </w:r>
    </w:p>
    <w:p>
      <w:pPr>
        <w:numPr>
          <w:ilvl w:val="0"/>
          <w:numId w:val="1002"/>
        </w:numPr>
        <w:pStyle w:val="Compact"/>
      </w:pPr>
      <w:r>
        <w:t xml:space="preserve">the hospital of the cluster plan to implement or implements other major interventions</w:t>
      </w:r>
      <w:r>
        <w:rPr>
          <w:rStyle w:val="FootnoteReference"/>
        </w:rPr>
        <w:footnoteReference w:id="40"/>
      </w:r>
      <w:r>
        <w:t xml:space="preserve"> </w:t>
      </w:r>
      <w:r>
        <w:t xml:space="preserve">that affects trauma care during the trial period.</w:t>
      </w:r>
    </w:p>
    <w:bookmarkEnd w:id="41"/>
    <w:bookmarkStart w:id="42" w:name="screening"/>
    <w:p>
      <w:pPr>
        <w:pStyle w:val="Heading3"/>
      </w:pPr>
      <w:r>
        <w:t xml:space="preserve">7.4.3 Screening</w:t>
      </w:r>
    </w:p>
    <w:p>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using a two-step procedure. First, we will approach hospitals to complete an initial hospital screening instrument (see Appendix</w:t>
      </w:r>
      <w:r>
        <w:t xml:space="preserve"> </w:t>
      </w:r>
      <w:hyperlink w:anchor="X6651722c1859312d91791f28b527f979d4c4c33">
        <w:r>
          <w:rPr>
            <w:rStyle w:val="Hyperlink"/>
          </w:rPr>
          <w:t xml:space="preserve">Section 19.1</w:t>
        </w:r>
      </w:hyperlink>
      <w:r>
        <w:t xml:space="preserve">). We will then discuss each eligible hospital individually in the Trial Management Group before deciding whether to include it in the trial. We have this discussion because we strive to include hospitals that to a large extent conducts primary resuscitation of trauma patients, rather than hospitals that primarily receives transferred patients from other hospitals, but this is difficult to formalise in the eligibility criteria. We will then perform a more in-depth interview with selected hospitals (See Appendix</w:t>
      </w:r>
      <w:r>
        <w:t xml:space="preserve"> </w:t>
      </w:r>
      <w:hyperlink w:anchor="X262d92c087f9db09afb96fa2e4272c0b9027027">
        <w:r>
          <w:rPr>
            <w:rStyle w:val="Hyperlink"/>
          </w:rPr>
          <w:t xml:space="preserve">Section 19.2</w:t>
        </w:r>
      </w:hyperlink>
      <w:r>
        <w:t xml:space="preserve">).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 All screening steps and decisions will be logged using REDCap</w:t>
      </w:r>
      <w:r>
        <w:rPr>
          <w:vertAlign w:val="superscript"/>
        </w:rPr>
        <w:t xml:space="preserve">30,31</w:t>
      </w:r>
      <w:r>
        <w:t xml:space="preserve">.</w:t>
      </w:r>
    </w:p>
    <w:bookmarkEnd w:id="42"/>
    <w:bookmarkEnd w:id="43"/>
    <w:bookmarkStart w:id="46" w:name="cluster-selection"/>
    <w:p>
      <w:pPr>
        <w:pStyle w:val="Heading2"/>
      </w:pPr>
      <w:r>
        <w:t xml:space="preserve">7.5 Cluster selection</w:t>
      </w:r>
    </w:p>
    <w:p>
      <w:pPr>
        <w:pStyle w:val="FirstParagraph"/>
      </w:pPr>
      <w:r>
        <w:t xml:space="preserve">Clusters are one or more units of physicians providing initial trauma care in the emergency department of secondary or tertiary hospitals in India.</w:t>
      </w:r>
    </w:p>
    <w:bookmarkStart w:id="44" w:name="inclusion-criteria"/>
    <w:p>
      <w:pPr>
        <w:pStyle w:val="Heading3"/>
      </w:pPr>
      <w:r>
        <w:t xml:space="preserve">7.5.1 Inclusion criteria</w:t>
      </w:r>
    </w:p>
    <w:p>
      <w:pPr>
        <w:pStyle w:val="FirstParagraph"/>
      </w:pPr>
      <w:r>
        <w:rPr>
          <w:bCs/>
          <w:b/>
        </w:rPr>
        <w:t xml:space="preserve">Clusters</w:t>
      </w:r>
      <w:r>
        <w:t xml:space="preserve"> </w:t>
      </w:r>
      <w:r>
        <w:t xml:space="preserve">must meet the following criteria:</w:t>
      </w:r>
    </w:p>
    <w:p>
      <w:pPr>
        <w:numPr>
          <w:ilvl w:val="0"/>
          <w:numId w:val="1003"/>
        </w:numPr>
        <w:pStyle w:val="Compact"/>
      </w:pPr>
      <w:r>
        <w:t xml:space="preserve">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p>
    <w:p>
      <w:pPr>
        <w:numPr>
          <w:ilvl w:val="0"/>
          <w:numId w:val="1003"/>
        </w:numPr>
        <w:pStyle w:val="Compact"/>
      </w:pPr>
      <w:r>
        <w:t xml:space="preserve">the hospital of the cluster provides surgical and orthopaedic emergency services around the clock; and</w:t>
      </w:r>
    </w:p>
    <w:p>
      <w:pPr>
        <w:numPr>
          <w:ilvl w:val="0"/>
          <w:numId w:val="1003"/>
        </w:numPr>
        <w:pStyle w:val="Compact"/>
      </w:pPr>
      <w:r>
        <w:t xml:space="preserve">no more than 25% of physicians providing initial trauma care trained in a formalised trauma life support training programme.</w:t>
      </w:r>
    </w:p>
    <w:bookmarkEnd w:id="44"/>
    <w:bookmarkStart w:id="45" w:name="screening-1"/>
    <w:p>
      <w:pPr>
        <w:pStyle w:val="Heading3"/>
      </w:pPr>
      <w:r>
        <w:t xml:space="preserve">7.5.2 Screening</w:t>
      </w:r>
    </w:p>
    <w:p>
      <w:pPr>
        <w:pStyle w:val="FirstParagraph"/>
      </w:pPr>
      <w:r>
        <w:t xml:space="preserve">The screening of clusters is part of the hospital screening process.</w:t>
      </w:r>
    </w:p>
    <w:bookmarkEnd w:id="45"/>
    <w:bookmarkEnd w:id="46"/>
    <w:bookmarkStart w:id="51" w:name="patient-participants-selection"/>
    <w:p>
      <w:pPr>
        <w:pStyle w:val="Heading2"/>
      </w:pPr>
      <w:r>
        <w:t xml:space="preserve">7.6 Patient participants selection</w:t>
      </w:r>
    </w:p>
    <w:p>
      <w:pPr>
        <w:pStyle w:val="FirstParagraph"/>
      </w:pPr>
      <w:r>
        <w:t xml:space="preserve">Patient participants are adult trauma patients who presents to the emergency department of participating hospitals and are admitted or transferred for admission.</w:t>
      </w:r>
    </w:p>
    <w:bookmarkStart w:id="47" w:name="inclusion-criteria-1"/>
    <w:p>
      <w:pPr>
        <w:pStyle w:val="Heading3"/>
      </w:pPr>
      <w:r>
        <w:t xml:space="preserve">7.6.1 Inclusion criteria</w:t>
      </w:r>
    </w:p>
    <w:p>
      <w:pPr>
        <w:pStyle w:val="FirstParagraph"/>
      </w:pPr>
      <w:r>
        <w:rPr>
          <w:bCs/>
          <w:b/>
        </w:rPr>
        <w:t xml:space="preserve">Patients participants</w:t>
      </w:r>
      <w:r>
        <w:t xml:space="preserve"> </w:t>
      </w:r>
      <w:r>
        <w:t xml:space="preserve">must meet the following criteria:</w:t>
      </w:r>
    </w:p>
    <w:p>
      <w:pPr>
        <w:numPr>
          <w:ilvl w:val="0"/>
          <w:numId w:val="1004"/>
        </w:numPr>
        <w:pStyle w:val="Compact"/>
      </w:pPr>
      <w:r>
        <w:t xml:space="preserve">age of at least 15 years;</w:t>
      </w:r>
    </w:p>
    <w:p>
      <w:pPr>
        <w:numPr>
          <w:ilvl w:val="0"/>
          <w:numId w:val="1004"/>
        </w:numPr>
        <w:pStyle w:val="Compact"/>
      </w:pPr>
      <w:r>
        <w:t xml:space="preserve">present to the emergency department of participating hospitals, with a history of trauma defined as having any of the reasons listed in the International Classification of Diseases chapter XX as the reason for presenting;</w:t>
      </w:r>
    </w:p>
    <w:p>
      <w:pPr>
        <w:numPr>
          <w:ilvl w:val="0"/>
          <w:numId w:val="1004"/>
        </w:numPr>
        <w:pStyle w:val="Compact"/>
      </w:pPr>
      <w:r>
        <w:t xml:space="preserve">admitted or died between arrival at the hospital and admission, or referred/transferred from the emergency department of a participating hospital to another hospital for admission; and</w:t>
      </w:r>
    </w:p>
    <w:p>
      <w:pPr>
        <w:numPr>
          <w:ilvl w:val="0"/>
          <w:numId w:val="1004"/>
        </w:numPr>
        <w:pStyle w:val="Compact"/>
      </w:pPr>
      <w:r>
        <w:t xml:space="preserve">trauma occurred less than 48 hours before arrival at the hospital.</w:t>
      </w:r>
    </w:p>
    <w:bookmarkEnd w:id="47"/>
    <w:bookmarkStart w:id="48" w:name="exclusion-criteria-1"/>
    <w:p>
      <w:pPr>
        <w:pStyle w:val="Heading3"/>
      </w:pPr>
      <w:r>
        <w:t xml:space="preserve">7.6.2 Exclusion criteria</w:t>
      </w:r>
    </w:p>
    <w:p>
      <w:pPr>
        <w:pStyle w:val="FirstParagraph"/>
      </w:pPr>
      <w:r>
        <w:rPr>
          <w:bCs/>
          <w:b/>
        </w:rPr>
        <w:t xml:space="preserve">Patients participants</w:t>
      </w:r>
      <w:r>
        <w:t xml:space="preserve"> </w:t>
      </w:r>
      <w:r>
        <w:t xml:space="preserve">are excluded if they meet the following criteria:</w:t>
      </w:r>
    </w:p>
    <w:p>
      <w:pPr>
        <w:numPr>
          <w:ilvl w:val="0"/>
          <w:numId w:val="1005"/>
        </w:numPr>
        <w:pStyle w:val="Compact"/>
      </w:pPr>
      <w:r>
        <w:t xml:space="preserve">present with isolated limb injuries; or</w:t>
      </w:r>
    </w:p>
    <w:p>
      <w:pPr>
        <w:numPr>
          <w:ilvl w:val="0"/>
          <w:numId w:val="1005"/>
        </w:numPr>
        <w:pStyle w:val="Compact"/>
      </w:pPr>
      <w:r>
        <w:t xml:space="preserve">are directly admitted to a ward without being seen by a physician in the emergency department.</w:t>
      </w:r>
    </w:p>
    <w:bookmarkEnd w:id="48"/>
    <w:bookmarkStart w:id="49" w:name="screening-2"/>
    <w:p>
      <w:pPr>
        <w:pStyle w:val="Heading3"/>
      </w:pPr>
      <w:r>
        <w:t xml:space="preserve">7.6.3 Screening</w:t>
      </w:r>
    </w:p>
    <w:p>
      <w:pPr>
        <w:pStyle w:val="FirstParagraph"/>
      </w:pPr>
      <w:r>
        <w:t xml:space="preserve">Clinical research coordinators will screen patient participants either as they arrive to the emergency department or using emergency department registers. Once the patient is admitted, the clinical research coordinators will approach eligible patients or their representatives to provide study information and inform participants that they can opt out from the study at any time before final analysis. Patients who are transferred before they have had an opportunity to be informed about the study will be contacted by phone. Phone numbers will be extracted from the emergency department registers, and will be securely held only by the clinical research coordinators at each sites</w:t>
      </w:r>
    </w:p>
    <w:bookmarkEnd w:id="49"/>
    <w:bookmarkStart w:id="50" w:name="withdrawal-criteria"/>
    <w:p>
      <w:pPr>
        <w:pStyle w:val="Heading3"/>
      </w:pPr>
      <w:r>
        <w:t xml:space="preserve">7.6.4 Withdrawal criteria</w:t>
      </w:r>
    </w:p>
    <w:p>
      <w:pPr>
        <w:pStyle w:val="FirstParagraph"/>
      </w:pPr>
      <w:r>
        <w:t xml:space="preserve">Patient participants can choose to withdraw their consent at any time before the final analysis. If they withdraw their consent the clinical research coordinator will not contact them for additional follow ups. They can also choose to have the data collected about them removed from the trial at any time before final analysis of the data. Withdrawal of consent or removal of data from the trial will not affect their care in any way. If the patient participant withdraws consent, follow-up of this participant will be performed according to the participating hospitals routine.</w:t>
      </w:r>
    </w:p>
    <w:bookmarkEnd w:id="50"/>
    <w:bookmarkEnd w:id="51"/>
    <w:bookmarkStart w:id="53" w:name="procedures"/>
    <w:p>
      <w:pPr>
        <w:pStyle w:val="Heading2"/>
      </w:pPr>
      <w:r>
        <w:t xml:space="preserve">7.7 Procedures</w:t>
      </w:r>
    </w:p>
    <w:p>
      <w:pPr>
        <w:pStyle w:val="FirstParagraph"/>
      </w:pPr>
      <w:r>
        <w:rPr>
          <w:bCs/>
          <w:b/>
        </w:rPr>
        <w:t xml:space="preserve">?@tbl-procedures</w:t>
      </w:r>
      <w:r>
        <w:t xml:space="preserve"> </w:t>
      </w:r>
      <w:r>
        <w:t xml:space="preserve">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bookmarkStart w:id="52" w:name="tbl-procedure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6"/>
          </w:tcPr>
          <w:p>
            <w:pPr>
              <w:spacing w:before="0" w:after="60"/>
              <w:keepNext/>
              <w:jc w:val="center"/>
            </w:pPr>
            <w:r>
              <w:rPr>
                <w:rFonts w:ascii="Calibri" w:hAnsi="Calibri"/>
                <w:sz w:val="20"/>
              </w:rPr>
              <w:t xml:space="default">Follow up</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Procedure</w:t>
            </w:r>
          </w:p>
        </w:tc>
        <w:tc>
          <w:tcPr>
            <w:tcBorders>
              <w:bottom w:val="single" w:sz="16" w:space="0" w:color="D3D3D3"/>
            </w:tcBorders>
          </w:tcPr>
          <w:p>
            <w:pPr>
              <w:spacing w:before="0" w:after="60"/>
              <w:keepNext/>
              <w:jc w:val="start"/>
            </w:pPr>
            <w:r>
              <w:rPr>
                <w:rFonts w:ascii="Calibri" w:hAnsi="Calibri"/>
                <w:sz w:val="20"/>
              </w:rPr>
              <w:t xml:space="default">Screening</w:t>
            </w:r>
          </w:p>
        </w:tc>
        <w:tc>
          <w:tcPr>
            <w:tcBorders>
              <w:bottom w:val="single" w:sz="16" w:space="0" w:color="D3D3D3"/>
            </w:tcBorders>
          </w:tcPr>
          <w:p>
            <w:pPr>
              <w:spacing w:before="0" w:after="60"/>
              <w:keepNext/>
              <w:jc w:val="start"/>
            </w:pPr>
            <w:r>
              <w:rPr>
                <w:rFonts w:ascii="Calibri" w:hAnsi="Calibri"/>
                <w:sz w:val="20"/>
              </w:rPr>
              <w:t xml:space="default">Daily</w:t>
            </w:r>
          </w:p>
        </w:tc>
        <w:tc>
          <w:tcPr>
            <w:tcBorders>
              <w:bottom w:val="single" w:sz="16" w:space="0" w:color="D3D3D3"/>
            </w:tcBorders>
          </w:tcPr>
          <w:p>
            <w:pPr>
              <w:spacing w:before="0" w:after="60"/>
              <w:keepNext/>
              <w:jc w:val="start"/>
            </w:pPr>
            <w:r>
              <w:rPr>
                <w:rFonts w:ascii="Calibri" w:hAnsi="Calibri"/>
                <w:sz w:val="20"/>
              </w:rPr>
              <w:t xml:space="default">24 hours</w:t>
            </w:r>
          </w:p>
        </w:tc>
        <w:tc>
          <w:tcPr>
            <w:tcBorders>
              <w:bottom w:val="single" w:sz="16" w:space="0" w:color="D3D3D3"/>
            </w:tcBorders>
          </w:tcPr>
          <w:p>
            <w:pPr>
              <w:spacing w:before="0" w:after="60"/>
              <w:keepNext/>
              <w:jc w:val="start"/>
            </w:pPr>
            <w:r>
              <w:rPr>
                <w:rFonts w:ascii="Calibri" w:hAnsi="Calibri"/>
                <w:sz w:val="20"/>
              </w:rPr>
              <w:t xml:space="default">Discharge</w:t>
            </w:r>
          </w:p>
        </w:tc>
        <w:tc>
          <w:tcPr>
            <w:tcBorders>
              <w:bottom w:val="single" w:sz="16" w:space="0" w:color="D3D3D3"/>
            </w:tcBorders>
          </w:tcPr>
          <w:p>
            <w:pPr>
              <w:spacing w:before="0" w:after="60"/>
              <w:keepNext/>
              <w:jc w:val="start"/>
            </w:pPr>
            <w:r>
              <w:rPr>
                <w:rFonts w:ascii="Calibri" w:hAnsi="Calibri"/>
                <w:sz w:val="20"/>
              </w:rPr>
              <w:t xml:space="default">Within 7 days of discharge</w:t>
            </w:r>
          </w:p>
        </w:tc>
        <w:tc>
          <w:tcPr>
            <w:tcBorders>
              <w:bottom w:val="single" w:sz="16" w:space="0" w:color="D3D3D3"/>
            </w:tcBorders>
          </w:tcPr>
          <w:p>
            <w:pPr>
              <w:spacing w:before="0" w:after="60"/>
              <w:keepNext/>
              <w:jc w:val="start"/>
            </w:pPr>
            <w:r>
              <w:rPr>
                <w:rFonts w:ascii="Calibri" w:hAnsi="Calibri"/>
                <w:sz w:val="20"/>
              </w:rPr>
              <w:t xml:space="default">30 days</w:t>
            </w:r>
          </w:p>
        </w:tc>
        <w:tc>
          <w:tcPr>
            <w:tcBorders>
              <w:bottom w:val="single" w:sz="16" w:space="0" w:color="D3D3D3"/>
              <w:end w:val="single" w:space="0" w:color="D3D3D3"/>
            </w:tcBorders>
          </w:tcPr>
          <w:p>
            <w:pPr>
              <w:spacing w:before="0" w:after="60"/>
              <w:keepNext/>
              <w:jc w:val="start"/>
            </w:pPr>
            <w:r>
              <w:rPr>
                <w:rFonts w:ascii="Calibri" w:hAnsi="Calibri"/>
                <w:sz w:val="20"/>
              </w:rPr>
              <w:t xml:space="default">90 days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Eligibility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Study information</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Informed consent for follow up</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data collection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 of safety events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Mortality data collection</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EQ-5D/WHODAS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 of Trial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Clinical research coordinators will inform patient participants about the study, including that they are free to withdraw their data from the study at any time, and approach them for informed consent for follow up either in person or telephonically.</w:t>
            </w:r>
          </w:p>
        </w:tc>
      </w:tr>
      <w:tr>
        <w:trPr>
          <w:cantSplit/>
        </w:trPr>
        <w:tc>
          <w:tcPr>
            <w:gridSpan w:val="8"/>
          </w:tcPr>
          <w:p>
            <w:pPr>
              <w:spacing w:before="0" w:after="60"/>
              <w:keepNext/>
            </w:pPr>
            <w:r>
              <w:rPr>
                <w:vertAlign w:val="superscript"/>
                <w:i/>
                <w:rFonts w:ascii="Calibri" w:hAnsi="Calibri"/>
                <w:sz w:val="20"/>
              </w:rPr>
              <w:t xml:space="default">2</w:t>
            </w:r>
            <w:r>
              <w:rPr>
                <w:rFonts w:ascii="Calibri" w:hAnsi="Calibri"/>
                <w:sz w:val="20"/>
              </w:rPr>
              <w:t xml:space="default">Mortality data will be collected from the hospital records and from the patient participants or their caregivers by telephone.</w:t>
            </w:r>
          </w:p>
        </w:tc>
      </w:tr>
    </w:tbl>
    <w:p>
      <w:pPr>
        <w:pStyle w:val="BodyText"/>
      </w:pPr>
      <w:r>
        <w:rPr>
          <w:bCs/>
          <w:b/>
        </w:rPr>
        <w:t xml:space="preserve">?(caption)</w:t>
      </w:r>
    </w:p>
    <w:bookmarkEnd w:id="52"/>
    <w:bookmarkEnd w:id="53"/>
    <w:bookmarkStart w:id="54" w:name="biological-sampling-procedures"/>
    <w:p>
      <w:pPr>
        <w:pStyle w:val="Heading2"/>
      </w:pPr>
      <w:r>
        <w:t xml:space="preserve">7.8 Biological sampling procedures</w:t>
      </w:r>
    </w:p>
    <w:p>
      <w:pPr>
        <w:pStyle w:val="FirstParagraph"/>
      </w:pPr>
      <w:r>
        <w:t xml:space="preserve">This trial does not include biological sampling.</w:t>
      </w:r>
    </w:p>
    <w:bookmarkEnd w:id="54"/>
    <w:bookmarkStart w:id="55" w:name="end-of-trial"/>
    <w:p>
      <w:pPr>
        <w:pStyle w:val="Heading2"/>
      </w:pPr>
      <w:r>
        <w:t xml:space="preserve">7.9 End of Trial</w:t>
      </w:r>
    </w:p>
    <w:p>
      <w:pPr>
        <w:pStyle w:val="FirstParagraph"/>
      </w:pPr>
      <w:r>
        <w:t xml:space="preserve">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Trial Steering Committee and Trial Management Group.</w:t>
      </w:r>
    </w:p>
    <w:bookmarkEnd w:id="55"/>
    <w:bookmarkStart w:id="59" w:name="intervention-and-control-treatment"/>
    <w:p>
      <w:pPr>
        <w:pStyle w:val="Heading2"/>
      </w:pPr>
      <w:r>
        <w:t xml:space="preserve">7.10 Intervention and control treatment</w:t>
      </w:r>
    </w:p>
    <w:p>
      <w:pPr>
        <w:pStyle w:val="FirstParagraph"/>
      </w:pPr>
      <w:r>
        <w:t xml:space="preserve">The intervention will be ATLS</w:t>
      </w:r>
      <w:r>
        <w:rPr>
          <w:vertAlign w:val="superscript"/>
        </w:rPr>
        <w:t xml:space="preserve">®</w:t>
      </w:r>
      <w:r>
        <w:t xml:space="preserve"> </w:t>
      </w:r>
      <w:r>
        <w:t xml:space="preserve">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 xml:space="preserve">®</w:t>
      </w:r>
      <w:r>
        <w:t xml:space="preserve"> </w:t>
      </w:r>
      <w:r>
        <w:t xml:space="preserve">before their randomised implementation sequence as very low.</w:t>
      </w:r>
    </w:p>
    <w:p>
      <w:pPr>
        <w:pStyle w:val="BodyText"/>
      </w:pPr>
      <w:r>
        <w:t xml:space="preserve">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pPr>
        <w:pStyle w:val="BodyText"/>
      </w:pPr>
      <w:r>
        <w:rPr>
          <w:bCs/>
          <w:b/>
        </w:rPr>
        <w:t xml:space="preserve">Advanced Trauma Life Support</w:t>
      </w:r>
      <w:r>
        <w:rPr>
          <w:vertAlign w:val="superscript"/>
          <w:bCs/>
          <w:b/>
        </w:rPr>
        <w:t xml:space="preserve">®</w:t>
      </w:r>
      <w:r>
        <w:rPr>
          <w:bCs/>
          <w:b/>
        </w:rPr>
        <w:t xml:space="preserve"> </w:t>
      </w:r>
      <w:r>
        <w:rPr>
          <w:bCs/>
          <w:b/>
        </w:rPr>
        <w:t xml:space="preserve">(ATLS</w:t>
      </w:r>
      <w:r>
        <w:rPr>
          <w:vertAlign w:val="superscript"/>
          <w:bCs/>
          <w:b/>
        </w:rPr>
        <w:t xml:space="preserve">®</w:t>
      </w:r>
      <w:r>
        <w:rPr>
          <w:bCs/>
          <w:b/>
        </w:rPr>
        <w:t xml:space="preserve">)</w:t>
      </w:r>
      <w:r>
        <w:rPr>
          <w:vertAlign w:val="superscript"/>
          <w:bCs/>
          <w:b/>
        </w:rPr>
        <w:t xml:space="preserve">11</w:t>
      </w:r>
      <w:r>
        <w:t xml:space="preserve"> </w:t>
      </w:r>
      <w:r>
        <w:t xml:space="preserve">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Standard care</w:t>
      </w:r>
      <w:r>
        <w:t xml:space="preserve"> </w:t>
      </w:r>
      <w:r>
        <w:t xml:space="preserve">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Start w:id="56" w:name="Xf02b29e15f63d0cbcdfc4516a30aea727e4ce25"/>
    <w:p>
      <w:pPr>
        <w:pStyle w:val="Heading3"/>
      </w:pPr>
      <w:r>
        <w:t xml:space="preserve">7.10.1 Description of investigational medicinal products</w:t>
      </w:r>
    </w:p>
    <w:p>
      <w:pPr>
        <w:pStyle w:val="FirstParagraph"/>
      </w:pPr>
      <w:r>
        <w:t xml:space="preserve">This trial does not include any investigational medicinal products.</w:t>
      </w:r>
    </w:p>
    <w:bookmarkEnd w:id="56"/>
    <w:bookmarkStart w:id="57" w:name="auxiliary-medicinal-products"/>
    <w:p>
      <w:pPr>
        <w:pStyle w:val="Heading3"/>
      </w:pPr>
      <w:r>
        <w:t xml:space="preserve">7.10.2 Auxiliary medicinal products</w:t>
      </w:r>
    </w:p>
    <w:p>
      <w:pPr>
        <w:pStyle w:val="FirstParagraph"/>
      </w:pPr>
      <w:r>
        <w:t xml:space="preserve">This trial does not include any auxiliary medicinal products.</w:t>
      </w:r>
    </w:p>
    <w:bookmarkEnd w:id="57"/>
    <w:bookmarkStart w:id="58" w:name="Xc2d650b6c6acd0528e005be9fdded9065220778"/>
    <w:p>
      <w:pPr>
        <w:pStyle w:val="Heading3"/>
      </w:pPr>
      <w:r>
        <w:t xml:space="preserve">7.10.3 Concomitant use of other medications or treatments</w:t>
      </w:r>
    </w:p>
    <w:p>
      <w:pPr>
        <w:pStyle w:val="FirstParagraph"/>
      </w:pPr>
      <w:r>
        <w:t xml:space="preserve">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bookmarkEnd w:id="58"/>
    <w:bookmarkEnd w:id="59"/>
    <w:bookmarkStart w:id="61" w:name="randomization"/>
    <w:p>
      <w:pPr>
        <w:pStyle w:val="Heading2"/>
      </w:pPr>
      <w:r>
        <w:t xml:space="preserve">7.11 Randomization</w:t>
      </w:r>
    </w:p>
    <w:p>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implementation sequences within that batch</w:t>
      </w:r>
      <w:r>
        <w:rPr>
          <w:rStyle w:val="FootnoteReference"/>
        </w:rPr>
        <w:footnoteReference w:id="60"/>
      </w:r>
      <w:r>
        <w:t xml:space="preserve">.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61"/>
    <w:bookmarkStart w:id="62" w:name="blinding"/>
    <w:p>
      <w:pPr>
        <w:pStyle w:val="Heading2"/>
      </w:pPr>
      <w:r>
        <w:t xml:space="preserve">7.12 Blinding</w:t>
      </w:r>
    </w:p>
    <w:p>
      <w:pPr>
        <w:pStyle w:val="FirstParagraph"/>
      </w:pPr>
      <w:r>
        <w:t xml:space="preserve">It is not possible to blind a stepped-wedge trial, because all clusters receive the intervention.</w:t>
      </w:r>
    </w:p>
    <w:bookmarkEnd w:id="62"/>
    <w:bookmarkStart w:id="63" w:name="treatment-after-trial-end"/>
    <w:p>
      <w:pPr>
        <w:pStyle w:val="Heading2"/>
      </w:pPr>
      <w:r>
        <w:t xml:space="preserve">7.13 Treatment after trial end</w:t>
      </w:r>
    </w:p>
    <w:p>
      <w:pPr>
        <w:pStyle w:val="FirstParagraph"/>
      </w:pPr>
      <w:r>
        <w:t xml:space="preserve">When the trial ends, the intervention will have been implemented in all clusters.</w:t>
      </w:r>
    </w:p>
    <w:bookmarkEnd w:id="63"/>
    <w:bookmarkStart w:id="66" w:name="outcomes"/>
    <w:p>
      <w:pPr>
        <w:pStyle w:val="Heading2"/>
      </w:pPr>
      <w:r>
        <w:t xml:space="preserve">7.14 Outcomes</w:t>
      </w:r>
    </w:p>
    <w:bookmarkStart w:id="64" w:name="primary-outcome"/>
    <w:p>
      <w:pPr>
        <w:pStyle w:val="Heading3"/>
      </w:pPr>
      <w:r>
        <w:t xml:space="preserve">7.14.1 Primary outcome</w:t>
      </w:r>
    </w:p>
    <w:p>
      <w:pPr>
        <w:pStyle w:val="FirstParagraph"/>
      </w:pPr>
      <w:r>
        <w:t xml:space="preserve">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bookmarkEnd w:id="64"/>
    <w:bookmarkStart w:id="65" w:name="secondary-outcomes"/>
    <w:p>
      <w:pPr>
        <w:pStyle w:val="Heading3"/>
      </w:pPr>
      <w:r>
        <w:t xml:space="preserve">7.14.2 Secondary outcomes</w:t>
      </w:r>
    </w:p>
    <w:p>
      <w:pPr>
        <w:numPr>
          <w:ilvl w:val="0"/>
          <w:numId w:val="1006"/>
        </w:numPr>
        <w:pStyle w:val="Compact"/>
      </w:pPr>
      <w:r>
        <w:t xml:space="preserve">All cause mortality within 24 hours and three months of arrival at the emergency department. Data on this outcome will be collected in the same way as for the primary outcome.</w:t>
      </w:r>
    </w:p>
    <w:p>
      <w:pPr>
        <w:numPr>
          <w:ilvl w:val="0"/>
          <w:numId w:val="1006"/>
        </w:numPr>
        <w:pStyle w:val="Compact"/>
      </w:pPr>
      <w:r>
        <w:t xml:space="preserve">In-hospital mortality within 30 days of arrival at the emergency department. Data on this outcome will be collected in the same way as for the primary outcome.</w:t>
      </w:r>
    </w:p>
    <w:p>
      <w:pPr>
        <w:numPr>
          <w:ilvl w:val="0"/>
          <w:numId w:val="1006"/>
        </w:numPr>
        <w:pStyle w:val="Compact"/>
      </w:pPr>
      <w:r>
        <w:t xml:space="preserve">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pPr>
        <w:numPr>
          <w:ilvl w:val="0"/>
          <w:numId w:val="1006"/>
        </w:numPr>
        <w:pStyle w:val="Compact"/>
      </w:pPr>
      <w:r>
        <w:t xml:space="preserve">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 This data will also be collected from a stratified random sample of participants.</w:t>
      </w:r>
    </w:p>
    <w:p>
      <w:pPr>
        <w:numPr>
          <w:ilvl w:val="0"/>
          <w:numId w:val="1006"/>
        </w:numPr>
        <w:pStyle w:val="Compact"/>
      </w:pPr>
      <w:r>
        <w:t xml:space="preserve">Return to work at 30 days and three months after arrival at the emergency department. Data on this outcome will be collected in person if the patient is still in hospital, or by phone if the patient has been discharged.</w:t>
      </w:r>
    </w:p>
    <w:p>
      <w:pPr>
        <w:numPr>
          <w:ilvl w:val="0"/>
          <w:numId w:val="1006"/>
        </w:numPr>
        <w:pStyle w:val="Compact"/>
      </w:pPr>
      <w:r>
        <w:t xml:space="preserve">Length of emergency department stay. Data on this outcome will be collected from patient hospital records.</w:t>
      </w:r>
    </w:p>
    <w:p>
      <w:pPr>
        <w:numPr>
          <w:ilvl w:val="0"/>
          <w:numId w:val="1006"/>
        </w:numPr>
        <w:pStyle w:val="Compact"/>
      </w:pPr>
      <w:r>
        <w:t xml:space="preserve">Length of hospital stay. Data on this outcome will be collected from patient hospital records.</w:t>
      </w:r>
    </w:p>
    <w:p>
      <w:pPr>
        <w:numPr>
          <w:ilvl w:val="0"/>
          <w:numId w:val="1006"/>
        </w:numPr>
        <w:pStyle w:val="Compact"/>
      </w:pPr>
      <w:r>
        <w:t xml:space="preserve">Intensive care unit admission. Data on this outcome will be collected from patient hospital records.</w:t>
      </w:r>
    </w:p>
    <w:p>
      <w:pPr>
        <w:numPr>
          <w:ilvl w:val="0"/>
          <w:numId w:val="1006"/>
        </w:numPr>
        <w:pStyle w:val="Compact"/>
      </w:pPr>
      <w:r>
        <w:t xml:space="preserve">Length of intensive care unit stay. Data on this outcome will be collected from patient hospital records.</w:t>
      </w:r>
    </w:p>
    <w:bookmarkEnd w:id="65"/>
    <w:bookmarkEnd w:id="66"/>
    <w:bookmarkStart w:id="73" w:name="handling-of-adverse-and-safety-events"/>
    <w:p>
      <w:pPr>
        <w:pStyle w:val="Heading2"/>
      </w:pPr>
      <w:r>
        <w:t xml:space="preserve">7.15 Handling of Adverse and Safety Events</w:t>
      </w:r>
    </w:p>
    <w:bookmarkStart w:id="70" w:name="definitions"/>
    <w:p>
      <w:pPr>
        <w:pStyle w:val="Heading3"/>
      </w:pPr>
      <w:r>
        <w:t xml:space="preserve">7.15.1 Definitions</w:t>
      </w:r>
    </w:p>
    <w:bookmarkStart w:id="67" w:name="adverse-event"/>
    <w:p>
      <w:pPr>
        <w:pStyle w:val="Heading4"/>
      </w:pPr>
      <w:r>
        <w:t xml:space="preserve">7.15.1.1 Adverse Event</w:t>
      </w:r>
    </w:p>
    <w:p>
      <w:pPr>
        <w:pStyle w:val="FirstParagraph"/>
      </w:pPr>
      <w:r>
        <w:t xml:space="preserve">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bookmarkEnd w:id="67"/>
    <w:bookmarkStart w:id="68" w:name="serious-adverse-event"/>
    <w:p>
      <w:pPr>
        <w:pStyle w:val="Heading4"/>
      </w:pPr>
      <w:r>
        <w:t xml:space="preserve">7.15.1.2 Serious Adverse Event</w:t>
      </w:r>
    </w:p>
    <w:p>
      <w:pPr>
        <w:pStyle w:val="FirstParagraph"/>
      </w:pPr>
      <w:r>
        <w:t xml:space="preserve">Any untoward medical occurrence in a trial participant that:</w:t>
      </w:r>
    </w:p>
    <w:p>
      <w:pPr>
        <w:numPr>
          <w:ilvl w:val="0"/>
          <w:numId w:val="1007"/>
        </w:numPr>
        <w:pStyle w:val="Compact"/>
      </w:pPr>
      <w:r>
        <w:t xml:space="preserve">leads to death</w:t>
      </w:r>
    </w:p>
    <w:p>
      <w:pPr>
        <w:numPr>
          <w:ilvl w:val="0"/>
          <w:numId w:val="1007"/>
        </w:numPr>
        <w:pStyle w:val="Compact"/>
      </w:pPr>
      <w:r>
        <w:t xml:space="preserve">is life-threatening</w:t>
      </w:r>
    </w:p>
    <w:p>
      <w:pPr>
        <w:numPr>
          <w:ilvl w:val="0"/>
          <w:numId w:val="1007"/>
        </w:numPr>
        <w:pStyle w:val="Compact"/>
      </w:pPr>
      <w:r>
        <w:t xml:space="preserve">requires inpatient hospitalization or prolongation of existing hospitalization</w:t>
      </w:r>
    </w:p>
    <w:p>
      <w:pPr>
        <w:numPr>
          <w:ilvl w:val="0"/>
          <w:numId w:val="1007"/>
        </w:numPr>
        <w:pStyle w:val="Compact"/>
      </w:pPr>
      <w:r>
        <w:t xml:space="preserve">results in persistent or significant disability or incapacity</w:t>
      </w:r>
    </w:p>
    <w:p>
      <w:pPr>
        <w:numPr>
          <w:ilvl w:val="0"/>
          <w:numId w:val="1007"/>
        </w:numPr>
        <w:pStyle w:val="Compact"/>
      </w:pPr>
      <w:r>
        <w:t xml:space="preserve">results in a congenital anomaly/malformation</w:t>
      </w:r>
    </w:p>
    <w:bookmarkEnd w:id="68"/>
    <w:bookmarkStart w:id="69" w:name="safety-event"/>
    <w:p>
      <w:pPr>
        <w:pStyle w:val="Heading4"/>
      </w:pPr>
      <w:r>
        <w:t xml:space="preserve">7.15.1.3 Safety Event</w:t>
      </w:r>
    </w:p>
    <w:p>
      <w:pPr>
        <w:pStyle w:val="FirstParagraph"/>
      </w:pPr>
      <w:r>
        <w:t xml:space="preserve">Any unexpected serious complication that might occur as a consequence of the trial and that are not part of the natural history of trauma.</w:t>
      </w:r>
    </w:p>
    <w:bookmarkEnd w:id="69"/>
    <w:bookmarkEnd w:id="70"/>
    <w:bookmarkStart w:id="71" w:name="Xe8021c2d0f171fd00b40703432ee87583bb2075"/>
    <w:p>
      <w:pPr>
        <w:pStyle w:val="Heading3"/>
      </w:pPr>
      <w:r>
        <w:t xml:space="preserve">7.15.2 Reporting and Assessment of Adverse and Safety Events</w:t>
      </w:r>
    </w:p>
    <w:p>
      <w:pPr>
        <w:pStyle w:val="FirstParagraph"/>
      </w:pPr>
      <w:r>
        <w:t xml:space="preserve">In alignment with other current trials including critically ill patients</w:t>
      </w:r>
      <w:r>
        <w:rPr>
          <w:vertAlign w:val="superscript"/>
        </w:rPr>
        <w:t xml:space="preserve">32</w:t>
      </w:r>
      <w:r>
        <w:t xml:space="preserve">, we will not collect adverse events or serious adverse events, because many of these events are expected in this patient population and we already collect many of these events, for example mortality, as part of our outcomes.</w:t>
      </w:r>
    </w:p>
    <w:p>
      <w:pPr>
        <w:pStyle w:val="BodyText"/>
      </w:pPr>
      <w:r>
        <w:t xml:space="preserve">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pPr>
        <w:numPr>
          <w:ilvl w:val="0"/>
          <w:numId w:val="1008"/>
        </w:numPr>
        <w:pStyle w:val="Compact"/>
      </w:pPr>
      <w:r>
        <w:t xml:space="preserve">Prolonged mechanical ventilation (&gt; 7 days)</w:t>
      </w:r>
    </w:p>
    <w:p>
      <w:pPr>
        <w:numPr>
          <w:ilvl w:val="0"/>
          <w:numId w:val="1008"/>
        </w:numPr>
        <w:pStyle w:val="Compact"/>
      </w:pPr>
      <w:r>
        <w:t xml:space="preserve">Initiation of renal replacement therapy</w:t>
      </w:r>
    </w:p>
    <w:p>
      <w:pPr>
        <w:numPr>
          <w:ilvl w:val="0"/>
          <w:numId w:val="1008"/>
        </w:numPr>
        <w:pStyle w:val="Compact"/>
      </w:pPr>
      <w:r>
        <w:t xml:space="preserve">Prolonged (&gt; 2 days) or renewed (restart after at least 2 days without) use of vasopressors such as norepinephrine or vasopressin</w:t>
      </w:r>
    </w:p>
    <w:p>
      <w:pPr>
        <w:pStyle w:val="FirstParagraph"/>
      </w:pPr>
      <w:r>
        <w:t xml:space="preserve">These events are considered safety events because they suggest pulmonary, renal, septic or bleeding complications and an increase in their occurrence following ATLS</w:t>
      </w:r>
      <w:r>
        <w:rPr>
          <w:vertAlign w:val="superscript"/>
        </w:rPr>
        <w:t xml:space="preserve">®</w:t>
      </w:r>
      <w:r>
        <w:t xml:space="preserve"> </w:t>
      </w:r>
      <w:r>
        <w:t xml:space="preserve">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pPr>
        <w:pStyle w:val="BodyText"/>
      </w:pPr>
      <w:r>
        <w:t xml:space="preserve">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pPr>
        <w:pStyle w:val="BodyText"/>
      </w:pPr>
      <w:r>
        <w:t xml:space="preserve">All safety events will be recorded in the Case Record Form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Monitoring Committee.</w:t>
      </w:r>
    </w:p>
    <w:bookmarkEnd w:id="71"/>
    <w:bookmarkStart w:id="72" w:name="follow-up-of-safety-events"/>
    <w:p>
      <w:pPr>
        <w:pStyle w:val="Heading3"/>
      </w:pPr>
      <w:r>
        <w:t xml:space="preserve">7.15.3 Follow up of Safety Events</w:t>
      </w:r>
    </w:p>
    <w:p>
      <w:pPr>
        <w:pStyle w:val="FirstParagraph"/>
      </w:pPr>
      <w:r>
        <w:t xml:space="preserve">All safety events should be followed up by the local investigator until they are fully evaluated.</w:t>
      </w:r>
    </w:p>
    <w:bookmarkEnd w:id="72"/>
    <w:bookmarkEnd w:id="73"/>
    <w:bookmarkStart w:id="85" w:name="statistics"/>
    <w:p>
      <w:pPr>
        <w:pStyle w:val="Heading2"/>
      </w:pPr>
      <w:r>
        <w:t xml:space="preserve">7.16 Statistics</w:t>
      </w:r>
    </w:p>
    <w:bookmarkStart w:id="75" w:name="general-principles"/>
    <w:p>
      <w:pPr>
        <w:pStyle w:val="Heading3"/>
      </w:pPr>
      <w:r>
        <w:t xml:space="preserve">7.16.1 General principles</w:t>
      </w:r>
    </w:p>
    <w:p>
      <w:pPr>
        <w:pStyle w:val="FirstParagraph"/>
      </w:pPr>
      <w:r>
        <w:t xml:space="preserve">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pPr>
        <w:pStyle w:val="BodyText"/>
      </w:pPr>
      <w:r>
        <w:t xml:space="preserve">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74"/>
      </w:r>
      <w:r>
        <w:t xml:space="preserve">. Additional subgroup analyses will include age across the groups older adolescents (15-19 years), young adults (20-24 years), adults (25-59 years), and older adults (60 years and older)</w:t>
      </w:r>
      <w:r>
        <w:rPr>
          <w:vertAlign w:val="superscript"/>
        </w:rPr>
        <w:t xml:space="preserve">33</w:t>
      </w:r>
      <w:r>
        <w:t xml:space="preserve">; sex; and the clinical cohorts blunt multisytem trauma, penetrating trauma, and severe isolated traumatic brain injury.</w:t>
      </w:r>
    </w:p>
    <w:bookmarkEnd w:id="75"/>
    <w:bookmarkStart w:id="76" w:name="analysis-models"/>
    <w:p>
      <w:pPr>
        <w:pStyle w:val="Heading3"/>
      </w:pPr>
      <w:r>
        <w:t xml:space="preserve">7.16.2 Analysis models</w:t>
      </w:r>
    </w:p>
    <w:p>
      <w:pPr>
        <w:pStyle w:val="FirstParagraph"/>
      </w:pPr>
      <w:r>
        <w:t xml:space="preserve">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 xml:space="preserve">34</w:t>
      </w:r>
      <w:r>
        <w:t xml:space="preserve">.</w:t>
      </w:r>
    </w:p>
    <w:p>
      <w:pPr>
        <w:pStyle w:val="BodyText"/>
      </w:pPr>
      <w:r>
        <w:t xml:space="preserve">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w:t>
      </w:r>
    </w:p>
    <w:p>
      <w:pPr>
        <w:pStyle w:val="BodyText"/>
      </w:pPr>
      <w:r>
        <w:t xml:space="preserve">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bookmarkEnd w:id="76"/>
    <w:bookmarkStart w:id="77" w:name="additional-sensitivity-analyses"/>
    <w:p>
      <w:pPr>
        <w:pStyle w:val="Heading3"/>
      </w:pPr>
      <w:r>
        <w:t xml:space="preserve">7.16.3 Additional sensitivity analyses</w:t>
      </w:r>
    </w:p>
    <w:p>
      <w:pPr>
        <w:pStyle w:val="FirstParagraph"/>
      </w:pPr>
      <w:r>
        <w:t xml:space="preserve">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pPr>
        <w:pStyle w:val="BodyText"/>
      </w:pPr>
      <w:r>
        <w:t xml:space="preserve">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bookmarkEnd w:id="77"/>
    <w:bookmarkStart w:id="78" w:name="X8ec26ac0c1a0fc3153cbf2da37e6e3209869316"/>
    <w:p>
      <w:pPr>
        <w:pStyle w:val="Heading3"/>
      </w:pPr>
      <w:r>
        <w:t xml:space="preserve">7.16.4 Estimation and reporting of within cluster correlations</w:t>
      </w:r>
    </w:p>
    <w:p>
      <w:pPr>
        <w:pStyle w:val="FirstParagraph"/>
      </w:pPr>
      <w:r>
        <w:t xml:space="preserve">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bookmarkEnd w:id="78"/>
    <w:bookmarkStart w:id="83" w:name="sample-size-calculations"/>
    <w:p>
      <w:pPr>
        <w:pStyle w:val="Heading3"/>
      </w:pPr>
      <w:r>
        <w:t xml:space="preserve">7.16.5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35,36</w:t>
      </w:r>
      <w:r>
        <w:t xml:space="preserve">, and a CAC of 0.9 but considered sensitivity across the range 0.8-1.0, based on our pilot study and current guidance</w:t>
      </w:r>
      <w:r>
        <w:rPr>
          <w:vertAlign w:val="superscript"/>
        </w:rPr>
        <w:t xml:space="preserve">37–39</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82" w:name="fig-power-curves"/>
          <w:p>
            <w:pPr>
              <w:jc w:val="center"/>
            </w:pPr>
            <w:r>
              <w:drawing>
                <wp:inline>
                  <wp:extent cx="5334000" cy="2363694"/>
                  <wp:effectExtent b="0" l="0" r="0" t="0"/>
                  <wp:docPr descr="" title="" id="80" name="Picture"/>
                  <a:graphic>
                    <a:graphicData uri="http://schemas.openxmlformats.org/drawingml/2006/picture">
                      <pic:pic>
                        <pic:nvPicPr>
                          <pic:cNvPr descr="./combined-power-curves.pdf" id="81" name="Picture"/>
                          <pic:cNvPicPr>
                            <a:picLocks noChangeArrowheads="1" noChangeAspect="1"/>
                          </pic:cNvPicPr>
                        </pic:nvPicPr>
                        <pic:blipFill>
                          <a:blip r:embed="rId79"/>
                          <a:stretch>
                            <a:fillRect/>
                          </a:stretch>
                        </pic:blipFill>
                        <pic:spPr bwMode="auto">
                          <a:xfrm>
                            <a:off x="0" y="0"/>
                            <a:ext cx="5334000" cy="23636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82"/>
        </w:tc>
      </w:tr>
    </w:tbl>
    <w:bookmarkEnd w:id="83"/>
    <w:bookmarkStart w:id="84" w:name="interim-analysis"/>
    <w:p>
      <w:pPr>
        <w:pStyle w:val="Heading3"/>
      </w:pPr>
      <w:r>
        <w:t xml:space="preserve">7.16.6 Interim analysis</w:t>
      </w:r>
    </w:p>
    <w:p>
      <w:pPr>
        <w:pStyle w:val="FirstParagraph"/>
      </w:pPr>
      <w:r>
        <w:t xml:space="preserve">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Data Monitoring Committee.</w:t>
      </w:r>
    </w:p>
    <w:bookmarkEnd w:id="84"/>
    <w:bookmarkEnd w:id="85"/>
    <w:bookmarkStart w:id="86" w:name="quality-control-and-quality-assurance"/>
    <w:p>
      <w:pPr>
        <w:pStyle w:val="Heading2"/>
      </w:pPr>
      <w:r>
        <w:t xml:space="preserve">7.17 Quality Control and Quality Assurance</w:t>
      </w:r>
    </w:p>
    <w:p>
      <w:pPr>
        <w:pStyle w:val="FirstParagraph"/>
      </w:pPr>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in the site master file. All documentation will be stored securely and retained according to regulatory requirements.</w:t>
      </w:r>
    </w:p>
    <w:bookmarkEnd w:id="86"/>
    <w:bookmarkStart w:id="87" w:name="quality-assurance-and-oversight"/>
    <w:p>
      <w:pPr>
        <w:pStyle w:val="Heading2"/>
      </w:pPr>
      <w:r>
        <w:t xml:space="preserve">7.18 Quality Assurance and Oversight</w:t>
      </w:r>
    </w:p>
    <w:p>
      <w:pPr>
        <w:pStyle w:val="FirstParagraph"/>
      </w:pPr>
      <w:r>
        <w:t xml:space="preserve">The Trial Management Group and Trial Team, comprising key project leaders and managers, will play a pivotal role in ensuring the highest standards of quality assurance and effective sponsor oversight throughout the trial. These groups will be responsible for facilitating consistent communication, maintaining fidelity in study implementation, and overseeing the quality of data collection.</w:t>
      </w:r>
    </w:p>
    <w:p>
      <w:pPr>
        <w:pStyle w:val="BodyText"/>
      </w:pPr>
      <w:r>
        <w:t xml:space="preserve">To achieve these objectives, the groups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p>
    <w:p>
      <w:pPr>
        <w:pStyle w:val="BodyText"/>
      </w:pPr>
      <w:r>
        <w:t xml:space="preserve">The trial’s quality assurance systems will be meticulously designed based on a thorough risk analysis. A key component of our quality assurance strategy will include the development and implementation of detailed operational manuals and regular meetings. These tools and interactions will ensure that all trial personnel will be used to uphold the trial’s quality standards.</w:t>
      </w:r>
    </w:p>
    <w:p>
      <w:pPr>
        <w:pStyle w:val="BodyText"/>
      </w:pPr>
      <w:r>
        <w:t xml:space="preserve">Central to our oversight approach will be a comprehensive monitoring and auditing plan. This plan will be tailored based on the identified risks associated with the trial. Through these comprehensive measures, the trial management group, in conjunction with the hospital staff, will ensure that the trial is conducted with the utmost rigor, adhering to the highest standards of quality assurance and effective sponsor oversight.</w:t>
      </w:r>
    </w:p>
    <w:bookmarkEnd w:id="87"/>
    <w:bookmarkStart w:id="88" w:name="monitoring"/>
    <w:p>
      <w:pPr>
        <w:pStyle w:val="Heading2"/>
      </w:pPr>
      <w:r>
        <w:t xml:space="preserve">7.19 Monitoring</w:t>
      </w:r>
    </w:p>
    <w:p>
      <w:pPr>
        <w:pStyle w:val="FirstParagraph"/>
      </w:pPr>
      <w:r>
        <w:t xml:space="preserve">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p>
    <w:p>
      <w:pPr>
        <w:pStyle w:val="BodyText"/>
      </w:pPr>
      <w:r>
        <w:t xml:space="preserve">Monitors from coordinating centres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p>
    <w:bookmarkEnd w:id="88"/>
    <w:bookmarkEnd w:id="89"/>
    <w:bookmarkStart w:id="90" w:name="Xc375ff589a212c40edd22855353d68d440706fb"/>
    <w:p>
      <w:pPr>
        <w:pStyle w:val="Heading1"/>
      </w:pPr>
      <w:r>
        <w:t xml:space="preserve">8. Deviations, serious breaches and other reporting obligations</w:t>
      </w:r>
    </w:p>
    <w:p>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investigator and the sponsor and appropriate measures shall be taken. The deviations must be recorded in the clinical trial report.</w:t>
      </w:r>
    </w:p>
    <w:bookmarkEnd w:id="90"/>
    <w:bookmarkStart w:id="91" w:name="audits-and-inspections"/>
    <w:p>
      <w:pPr>
        <w:pStyle w:val="Heading1"/>
      </w:pPr>
      <w:r>
        <w:t xml:space="preserve">9. Audits and inspections</w:t>
      </w:r>
    </w:p>
    <w:p>
      <w:pPr>
        <w:pStyle w:val="FirstParagraph"/>
      </w:pPr>
      <w:r>
        <w:t xml:space="preserve">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bookmarkEnd w:id="91"/>
    <w:bookmarkStart w:id="96" w:name="ethics"/>
    <w:p>
      <w:pPr>
        <w:pStyle w:val="Heading1"/>
      </w:pPr>
      <w:r>
        <w:t xml:space="preserve">10. Ethics</w:t>
      </w:r>
    </w:p>
    <w:bookmarkStart w:id="92" w:name="Xe0806e4a59e9522910932ff33dfe2dc5d651a67"/>
    <w:p>
      <w:pPr>
        <w:pStyle w:val="Heading2"/>
      </w:pPr>
      <w:r>
        <w:t xml:space="preserve">10.1 Compliance to the protocol, ICH-GCP and regulations</w:t>
      </w:r>
    </w:p>
    <w:p>
      <w:pPr>
        <w:pStyle w:val="FirstParagraph"/>
      </w:pPr>
      <w:r>
        <w:t xml:space="preserve">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w:t>
      </w:r>
      <w:r>
        <w:t xml:space="preserve"> </w:t>
      </w:r>
      <w:r>
        <w:t xml:space="preserve">collected.</w:t>
      </w:r>
    </w:p>
    <w:bookmarkEnd w:id="92"/>
    <w:bookmarkStart w:id="93" w:name="ethical-review-of-the-trial"/>
    <w:p>
      <w:pPr>
        <w:pStyle w:val="Heading2"/>
      </w:pPr>
      <w:r>
        <w:t xml:space="preserve">10.2 Ethical review of the trial</w:t>
      </w:r>
    </w:p>
    <w:p>
      <w:pPr>
        <w:pStyle w:val="FirstParagraph"/>
      </w:pPr>
      <w:r>
        <w:t xml:space="preserve">The final protocol will be submitted for ethical review at all participating hospitals, where possible, as well as the The George Institute for Global Health in India and Swedish Ethical Review Atuhortiy.</w:t>
      </w:r>
    </w:p>
    <w:bookmarkEnd w:id="93"/>
    <w:bookmarkStart w:id="94" w:name="procedure-for-obtaining-consent"/>
    <w:p>
      <w:pPr>
        <w:pStyle w:val="Heading2"/>
      </w:pPr>
      <w:r>
        <w:t xml:space="preserve">10.3 Procedure for obtaining consent</w:t>
      </w:r>
    </w:p>
    <w:p>
      <w:pPr>
        <w:pStyle w:val="FirstParagraph"/>
      </w:pPr>
      <w:r>
        <w:t xml:space="preserve">We will use an opt-out consent approach, in which consent is presumed unless actively declined. Note that the consent here refers to consent for data collection,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w:t>
      </w:r>
    </w:p>
    <w:p>
      <w:pPr>
        <w:pStyle w:val="BodyText"/>
      </w:pPr>
      <w:r>
        <w:t xml:space="preserve">This approach is justified because the trial can be considered minimal risk and because data collection will be non-invasive and mostly rely on extraction of routinely collected data from medical records. Clinical research coordinators will inform patient participants about the study and they will be given the opportunity have their data deleted before final data analysis.</w:t>
      </w:r>
    </w:p>
    <w:p>
      <w:pPr>
        <w:pStyle w:val="BodyText"/>
      </w:pPr>
      <w:r>
        <w:t xml:space="preserve">The clinical research coordinators will approach patients or patient representatives to provide this information in person after admission. If a patient is transferred to another hospital before the patient has had an opportunity to receive the study information, then the clinical research coordinators will contact the patient or patient representative by phone.</w:t>
      </w:r>
    </w:p>
    <w:bookmarkEnd w:id="94"/>
    <w:bookmarkStart w:id="95" w:name="data-protection"/>
    <w:p>
      <w:pPr>
        <w:pStyle w:val="Heading2"/>
      </w:pPr>
      <w:r>
        <w:t xml:space="preserve">10.4 Data protection</w:t>
      </w:r>
    </w:p>
    <w:p>
      <w:pPr>
        <w:pStyle w:val="FirstParagraph"/>
      </w:pPr>
      <w:r>
        <w:t xml:space="preserve">All data will be handled according to the Indian Council of Medical Research’s guidelines and standard operating procedures of the George Institute for Global Health India on data security and protection. Trial data will be shared via the trial electronic CRF (eCRF) throughout the trial. The data will be held on a secure server. All investigators and trial site staff involved in this trial must comply with the requirements of the ICMR Guidelines on data security and protection. The participant information sheet provided to participants, will inform them how:</w:t>
      </w:r>
    </w:p>
    <w:p>
      <w:pPr>
        <w:numPr>
          <w:ilvl w:val="0"/>
          <w:numId w:val="1009"/>
        </w:numPr>
        <w:pStyle w:val="Compact"/>
      </w:pPr>
      <w:r>
        <w:t xml:space="preserve">the trial data will be collected, used and disclosed;</w:t>
      </w:r>
    </w:p>
    <w:p>
      <w:pPr>
        <w:numPr>
          <w:ilvl w:val="0"/>
          <w:numId w:val="1009"/>
        </w:numPr>
        <w:pStyle w:val="Compact"/>
      </w:pPr>
      <w:r>
        <w:t xml:space="preserve">how trial data are stored to maintain confidentiality in accordance with national data legislation; and</w:t>
      </w:r>
    </w:p>
    <w:p>
      <w:pPr>
        <w:numPr>
          <w:ilvl w:val="0"/>
          <w:numId w:val="1009"/>
        </w:numPr>
        <w:pStyle w:val="Compact"/>
      </w:pPr>
      <w:r>
        <w:t xml:space="preserve">for verification of the data, representatives delegated by the sponsor, as well as relevant authorities, may require access to parts of medical records or trial records that are relevant to the trial, including the patient participant’s medical history.</w:t>
      </w:r>
    </w:p>
    <w:bookmarkEnd w:id="95"/>
    <w:bookmarkEnd w:id="96"/>
    <w:bookmarkStart w:id="97" w:name="insurances"/>
    <w:p>
      <w:pPr>
        <w:pStyle w:val="Heading1"/>
      </w:pPr>
      <w:r>
        <w:t xml:space="preserve">11. Insurances</w:t>
      </w:r>
    </w:p>
    <w:p>
      <w:pPr>
        <w:pStyle w:val="FirstParagraph"/>
      </w:pPr>
      <w:r>
        <w:t xml:space="preserve">The George Institute for Global Health, India is responsible for ensuring that any insurance cover required to cover the set-up, management and conduct of the study in India has been obtained. The George Institute for Global Health, India is also responsible for ensuring that India Sites have been obtained and/or will obtain insurance prior to the opening of the study in India and shall be maintained for the duration of the study and for an appropriate period thereafter. This includes being responsible for ensuring that there is appropriate insurance for the duration of the study to cover against claims for compensation by participants arising out of their participation in the trial in India. Compensation in case of injury or death will be provided by the George Institute for Global Health, India according to the regulations outlined in rules 39, 40 and 42 of the New Drugs and Clinical Rules (2019). x</w:t>
      </w:r>
    </w:p>
    <w:bookmarkEnd w:id="97"/>
    <w:bookmarkStart w:id="98" w:name="substantial-changes-to-the-trial"/>
    <w:p>
      <w:pPr>
        <w:pStyle w:val="Heading1"/>
      </w:pPr>
      <w:r>
        <w:t xml:space="preserve">12. Substantial changes to the trial</w:t>
      </w:r>
    </w:p>
    <w:p>
      <w:pPr>
        <w:pStyle w:val="FirstParagraph"/>
      </w:pPr>
      <w:r>
        <w:t xml:space="preserve">Substantial changes to the signed clinical trial protocol are only possible through approved protocol amendments and by agreement between the sponsor and the principal investigator.</w:t>
      </w:r>
    </w:p>
    <w:bookmarkEnd w:id="98"/>
    <w:bookmarkStart w:id="108" w:name="Xc17b41b20b820bca94d2a36ea19933b641b018a"/>
    <w:p>
      <w:pPr>
        <w:pStyle w:val="Heading1"/>
      </w:pPr>
      <w:r>
        <w:t xml:space="preserve">13. Collection, handling, and archiving of data</w:t>
      </w:r>
    </w:p>
    <w:p>
      <w:pPr>
        <w:pStyle w:val="FirstParagraph"/>
      </w:pPr>
      <w:r>
        <w:t xml:space="preserve">Clinical research coordinators will collect data using a paper based CRF (see Appendix</w:t>
      </w:r>
      <w:r>
        <w:t xml:space="preserve"> </w:t>
      </w:r>
      <w:hyperlink w:anchor="sec-appendix-case-record-form">
        <w:r>
          <w:rPr>
            <w:rStyle w:val="Hyperlink"/>
          </w:rPr>
          <w:t xml:space="preserve">Section 19.3</w:t>
        </w:r>
      </w:hyperlink>
      <w:r>
        <w:t xml:space="preserve">), which is then transferred to an eCRF. All trial data in the CRF must be extracted from and be consistent with the relevant source documents. The eCRF will be accessible to trial coordinators, data managers, the Investigators, Clinical Trial Monitors, Auditors, and Inspectors as required. All data will be registered, managed, and stored in a manner that enables correct reporting, interpretation, and verification. The complete Trial Master File, as well as source documents, will be archived for at least 10 years after the trial is completed. Source data in the medical records system are stored and archived in accordance with national regulations. Metadata will be publicly accessible via a persistent DOI, and anonymised data will be released upon project completion. A detailed data management plan is available here https://doi.org/10.5281/zenodo.7748764.</w:t>
      </w:r>
    </w:p>
    <w:bookmarkStart w:id="99" w:name="source-data"/>
    <w:p>
      <w:pPr>
        <w:pStyle w:val="Heading2"/>
      </w:pPr>
      <w:r>
        <w:t xml:space="preserve">13.1 Source data</w:t>
      </w:r>
    </w:p>
    <w:p>
      <w:pPr>
        <w:pStyle w:val="FirstParagraph"/>
      </w:pPr>
      <w:r>
        <w:t xml:space="preserve">The source data for each variable is given in</w:t>
      </w:r>
      <w:r>
        <w:t xml:space="preserve"> </w:t>
      </w:r>
      <w:hyperlink w:anchor="sec-variables">
        <w:r>
          <w:rPr>
            <w:rStyle w:val="Hyperlink"/>
          </w:rPr>
          <w:t xml:space="preserve">Section 13.2</w:t>
        </w:r>
      </w:hyperlink>
      <w:r>
        <w:t xml:space="preserve">. Whenever medical records are the source data, this includes imaging and lab reports. Whenever an interview is given as the source, the CRF will constitute the source data, as this is where the responses to questions will be recorded. The local investigator must keep source documents for each patient participant in the trial. A document describing what has been classified as source data in the trial (source data reference document) will be included in the Investigator Site File (ISF). The investigator must ensure that all source documents are accessible for monitoring and other quality control activities. Source data is further defined before trial start at each individual site and can, in cases where source data is not registered in another document, consist of the CRF. This should be decided in consultation with the monitor and clearly stated in the source data reference document. Access to trial-related documentation, such as patient participants’ medical records, CRFs, other source data and other trial documentation will be provided for monitoring and auditing purposes. Access will also be granted in the context of regulatory inspections.</w:t>
      </w:r>
    </w:p>
    <w:bookmarkEnd w:id="99"/>
    <w:bookmarkStart w:id="107" w:name="sec-variables"/>
    <w:p>
      <w:pPr>
        <w:pStyle w:val="Heading2"/>
      </w:pPr>
      <w:r>
        <w:t xml:space="preserve">13.2 Variables</w:t>
      </w:r>
    </w:p>
    <w:bookmarkStart w:id="100" w:name="baseline"/>
    <w:p>
      <w:pPr>
        <w:pStyle w:val="Heading3"/>
      </w:pPr>
      <w:r>
        <w:t xml:space="preserve">13.2.1 Baseline</w:t>
      </w:r>
    </w:p>
    <w:p>
      <w:pPr>
        <w:numPr>
          <w:ilvl w:val="0"/>
          <w:numId w:val="1010"/>
        </w:numPr>
        <w:pStyle w:val="Compact"/>
      </w:pPr>
      <w:r>
        <w:rPr>
          <w:bCs/>
          <w:b/>
        </w:rPr>
        <w:t xml:space="preserve">Inclusion and exclusion criteria</w:t>
      </w:r>
      <w:r>
        <w:t xml:space="preserve">,</w:t>
      </w:r>
      <w:r>
        <w:t xml:space="preserve"> </w:t>
      </w:r>
      <w:r>
        <w:rPr>
          <w:iCs/>
          <w:i/>
        </w:rPr>
        <w:t xml:space="preserve">Source:</w:t>
      </w:r>
      <w:r>
        <w:t xml:space="preserve"> </w:t>
      </w:r>
      <w:r>
        <w:t xml:space="preserve">Medical records</w:t>
      </w:r>
    </w:p>
    <w:p>
      <w:pPr>
        <w:numPr>
          <w:ilvl w:val="0"/>
          <w:numId w:val="1010"/>
        </w:numPr>
        <w:pStyle w:val="Compact"/>
      </w:pPr>
      <w:r>
        <w:rPr>
          <w:bCs/>
          <w:b/>
        </w:rPr>
        <w:t xml:space="preserve">Age in years</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Sex</w:t>
      </w:r>
      <w:r>
        <w:t xml:space="preserve">,</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Mechanism of injury</w:t>
      </w:r>
      <w:r>
        <w:t xml:space="preserve"> </w:t>
      </w:r>
      <w:r>
        <w:t xml:space="preserve">(Coded using the external causes codes in Chapter XX (20) of International Classification of Diseases - 10th Revision (ICD-10)),</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Comorbidities</w:t>
      </w:r>
      <w:r>
        <w:t xml:space="preserve"> </w:t>
      </w:r>
      <w:r>
        <w:t xml:space="preserve">(Coded using Charlson Comorbidity Index),</w:t>
      </w:r>
      <w:r>
        <w:t xml:space="preserve"> </w:t>
      </w:r>
      <w:r>
        <w:rPr>
          <w:iCs/>
          <w:i/>
        </w:rPr>
        <w:t xml:space="preserve">Source:</w:t>
      </w:r>
      <w:r>
        <w:t xml:space="preserve"> </w:t>
      </w:r>
      <w:r>
        <w:t xml:space="preserve">Medical records/interview</w:t>
      </w:r>
    </w:p>
    <w:p>
      <w:pPr>
        <w:numPr>
          <w:ilvl w:val="0"/>
          <w:numId w:val="1010"/>
        </w:numPr>
        <w:pStyle w:val="Compact"/>
      </w:pPr>
      <w:r>
        <w:rPr>
          <w:bCs/>
          <w:b/>
        </w:rPr>
        <w:t xml:space="preserve">Phone numbers to patient and patient representative</w:t>
      </w:r>
      <w:r>
        <w:t xml:space="preserve">,</w:t>
      </w:r>
      <w:r>
        <w:t xml:space="preserve"> </w:t>
      </w:r>
      <w:r>
        <w:rPr>
          <w:iCs/>
          <w:i/>
        </w:rPr>
        <w:t xml:space="preserve">Source:</w:t>
      </w:r>
      <w:r>
        <w:t xml:space="preserve"> </w:t>
      </w:r>
      <w:r>
        <w:t xml:space="preserve">Medical records/interview</w:t>
      </w:r>
    </w:p>
    <w:bookmarkEnd w:id="100"/>
    <w:bookmarkStart w:id="101" w:name="pre-hospital-data"/>
    <w:p>
      <w:pPr>
        <w:pStyle w:val="Heading3"/>
      </w:pPr>
      <w:r>
        <w:t xml:space="preserve">13.2.2 Pre-Hospital Data</w:t>
      </w:r>
    </w:p>
    <w:p>
      <w:pPr>
        <w:numPr>
          <w:ilvl w:val="0"/>
          <w:numId w:val="1011"/>
        </w:numPr>
        <w:pStyle w:val="Compact"/>
      </w:pPr>
      <w:r>
        <w:rPr>
          <w:bCs/>
          <w:b/>
        </w:rPr>
        <w:t xml:space="preserve">Date and time of injury</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Mode of transport to the participating centre</w:t>
      </w:r>
      <w:r>
        <w:t xml:space="preserve">,</w:t>
      </w:r>
      <w:r>
        <w:t xml:space="preserve"> </w:t>
      </w:r>
      <w:r>
        <w:rPr>
          <w:iCs/>
          <w:i/>
        </w:rPr>
        <w:t xml:space="preserve">Source:</w:t>
      </w:r>
      <w:r>
        <w:t xml:space="preserve"> </w:t>
      </w:r>
      <w:r>
        <w:t xml:space="preserve">Medical records/interview</w:t>
      </w:r>
    </w:p>
    <w:p>
      <w:pPr>
        <w:numPr>
          <w:ilvl w:val="0"/>
          <w:numId w:val="1011"/>
        </w:numPr>
        <w:pStyle w:val="Compact"/>
      </w:pPr>
      <w:r>
        <w:rPr>
          <w:bCs/>
          <w:b/>
        </w:rPr>
        <w:t xml:space="preserve">Referred to the participating centre from another centre</w:t>
      </w:r>
      <w:r>
        <w:t xml:space="preserve">,</w:t>
      </w:r>
      <w:r>
        <w:t xml:space="preserve"> </w:t>
      </w:r>
      <w:r>
        <w:rPr>
          <w:iCs/>
          <w:i/>
        </w:rPr>
        <w:t xml:space="preserve">Source:</w:t>
      </w:r>
      <w:r>
        <w:t xml:space="preserve"> </w:t>
      </w:r>
      <w:r>
        <w:t xml:space="preserve">Medical records/interview</w:t>
      </w:r>
    </w:p>
    <w:bookmarkEnd w:id="101"/>
    <w:bookmarkStart w:id="102" w:name="emergency-department-data"/>
    <w:p>
      <w:pPr>
        <w:pStyle w:val="Heading3"/>
      </w:pPr>
      <w:r>
        <w:t xml:space="preserve">13.2.3 Emergency Department Data</w:t>
      </w:r>
    </w:p>
    <w:p>
      <w:pPr>
        <w:numPr>
          <w:ilvl w:val="0"/>
          <w:numId w:val="1012"/>
        </w:numPr>
        <w:pStyle w:val="Compact"/>
      </w:pPr>
      <w:r>
        <w:rPr>
          <w:bCs/>
          <w:b/>
        </w:rPr>
        <w:t xml:space="preserve">Date and time of arrival to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First recorded systolic blood pressure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diastolic blood pressure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heart rate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respiratory rate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Glasgow Coma Scale score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temperature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recorded oxygen saturation</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First creatinine</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Emergency department disposition</w:t>
      </w:r>
      <w:r>
        <w:t xml:space="preserve">,</w:t>
      </w:r>
      <w:r>
        <w:t xml:space="preserve"> </w:t>
      </w:r>
      <w:r>
        <w:rPr>
          <w:iCs/>
          <w:i/>
        </w:rPr>
        <w:t xml:space="preserve">Source:</w:t>
      </w:r>
      <w:r>
        <w:t xml:space="preserve"> </w:t>
      </w:r>
      <w:r>
        <w:t xml:space="preserve">Medical records</w:t>
      </w:r>
    </w:p>
    <w:p>
      <w:pPr>
        <w:numPr>
          <w:ilvl w:val="0"/>
          <w:numId w:val="1012"/>
        </w:numPr>
        <w:pStyle w:val="Compact"/>
      </w:pPr>
      <w:r>
        <w:rPr>
          <w:bCs/>
          <w:b/>
        </w:rPr>
        <w:t xml:space="preserve">Date and time of discharge from emergency department at the participating centre</w:t>
      </w:r>
      <w:r>
        <w:t xml:space="preserve">,</w:t>
      </w:r>
      <w:r>
        <w:t xml:space="preserve"> </w:t>
      </w:r>
      <w:r>
        <w:rPr>
          <w:iCs/>
          <w:i/>
        </w:rPr>
        <w:t xml:space="preserve">Source:</w:t>
      </w:r>
      <w:r>
        <w:t xml:space="preserve"> </w:t>
      </w:r>
      <w:r>
        <w:t xml:space="preserve">Medical records/interview</w:t>
      </w:r>
    </w:p>
    <w:p>
      <w:pPr>
        <w:numPr>
          <w:ilvl w:val="0"/>
          <w:numId w:val="1012"/>
        </w:numPr>
        <w:pStyle w:val="Compact"/>
      </w:pPr>
      <w:r>
        <w:rPr>
          <w:bCs/>
          <w:b/>
        </w:rPr>
        <w:t xml:space="preserve">Date and time of referral or transfer for admission at a higher level centre</w:t>
      </w:r>
      <w:r>
        <w:t xml:space="preserve">,</w:t>
      </w:r>
      <w:r>
        <w:t xml:space="preserve"> </w:t>
      </w:r>
      <w:r>
        <w:rPr>
          <w:iCs/>
          <w:i/>
        </w:rPr>
        <w:t xml:space="preserve">Source:</w:t>
      </w:r>
      <w:r>
        <w:t xml:space="preserve"> </w:t>
      </w:r>
      <w:r>
        <w:t xml:space="preserve">Medical records/interview</w:t>
      </w:r>
    </w:p>
    <w:bookmarkEnd w:id="102"/>
    <w:bookmarkStart w:id="103" w:name="hospital-data"/>
    <w:p>
      <w:pPr>
        <w:pStyle w:val="Heading3"/>
      </w:pPr>
      <w:r>
        <w:t xml:space="preserve">13.2.4 Hospital Data</w:t>
      </w:r>
    </w:p>
    <w:p>
      <w:pPr>
        <w:numPr>
          <w:ilvl w:val="0"/>
          <w:numId w:val="1013"/>
        </w:numPr>
        <w:pStyle w:val="Compact"/>
      </w:pPr>
      <w:r>
        <w:rPr>
          <w:bCs/>
          <w:b/>
        </w:rPr>
        <w:t xml:space="preserve">Date and time of admission to the participating centre</w:t>
      </w:r>
      <w:r>
        <w:t xml:space="preserve">,</w:t>
      </w:r>
      <w:r>
        <w:t xml:space="preserve"> </w:t>
      </w:r>
      <w:r>
        <w:rPr>
          <w:iCs/>
          <w:i/>
        </w:rPr>
        <w:t xml:space="preserve">Source:</w:t>
      </w:r>
      <w:r>
        <w:t xml:space="preserve"> </w:t>
      </w:r>
      <w:r>
        <w:t xml:space="preserve">Medical records/interview</w:t>
      </w:r>
    </w:p>
    <w:p>
      <w:pPr>
        <w:numPr>
          <w:ilvl w:val="0"/>
          <w:numId w:val="1013"/>
        </w:numPr>
        <w:pStyle w:val="Compact"/>
      </w:pPr>
      <w:r>
        <w:rPr>
          <w:bCs/>
          <w:b/>
        </w:rPr>
        <w:t xml:space="preserve">Type of admitting ward</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time and type of any surgical procedure</w:t>
      </w:r>
      <w:r>
        <w:t xml:space="preserve"> </w:t>
      </w:r>
      <w:r>
        <w:t xml:space="preserve">(A surgical procedure is defined as any procedure performed in the operating room, interventional radiology suite, or at the bedside, requiring general or regional anesthesia, coded using),</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any transfusion, type of blood product, and number of units transfused</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intensive care unit admission and discharge</w:t>
      </w:r>
      <w:r>
        <w:t xml:space="preserve">,</w:t>
      </w:r>
      <w:r>
        <w:t xml:space="preserve"> </w:t>
      </w:r>
      <w:r>
        <w:rPr>
          <w:iCs/>
          <w:i/>
        </w:rPr>
        <w:t xml:space="preserve">Source:</w:t>
      </w:r>
      <w:r>
        <w:t xml:space="preserve"> </w:t>
      </w:r>
      <w:r>
        <w:t xml:space="preserve">Medical records</w:t>
      </w:r>
    </w:p>
    <w:p>
      <w:pPr>
        <w:numPr>
          <w:ilvl w:val="0"/>
          <w:numId w:val="1013"/>
        </w:numPr>
        <w:pStyle w:val="Compact"/>
      </w:pPr>
      <w:r>
        <w:rPr>
          <w:bCs/>
          <w:b/>
        </w:rPr>
        <w:t xml:space="preserve">Date and time of discharge from the participating centre, and the discharge destination</w:t>
      </w:r>
      <w:r>
        <w:t xml:space="preserve">,</w:t>
      </w:r>
      <w:r>
        <w:t xml:space="preserve"> </w:t>
      </w:r>
      <w:r>
        <w:rPr>
          <w:iCs/>
          <w:i/>
        </w:rPr>
        <w:t xml:space="preserve">Source:</w:t>
      </w:r>
      <w:r>
        <w:t xml:space="preserve"> </w:t>
      </w:r>
      <w:r>
        <w:t xml:space="preserve">Medical records</w:t>
      </w:r>
    </w:p>
    <w:bookmarkEnd w:id="103"/>
    <w:bookmarkStart w:id="104" w:name="injury-data"/>
    <w:p>
      <w:pPr>
        <w:pStyle w:val="Heading3"/>
      </w:pPr>
      <w:r>
        <w:t xml:space="preserve">13.2.5 Injury Data</w:t>
      </w:r>
    </w:p>
    <w:p>
      <w:pPr>
        <w:numPr>
          <w:ilvl w:val="0"/>
          <w:numId w:val="1014"/>
        </w:numPr>
        <w:pStyle w:val="Compact"/>
      </w:pPr>
      <w:r>
        <w:rPr>
          <w:bCs/>
          <w:b/>
        </w:rPr>
        <w:t xml:space="preserve">Injury, the modality used to diagnose the injury, and the date and time when the injury was first registered</w:t>
      </w:r>
      <w:r>
        <w:t xml:space="preserve"> </w:t>
      </w:r>
      <w:r>
        <w:t xml:space="preserve">(Coded using the International Classification of Diseases - 10th Revision (ICD-10)),</w:t>
      </w:r>
      <w:r>
        <w:t xml:space="preserve"> </w:t>
      </w:r>
      <w:r>
        <w:rPr>
          <w:iCs/>
          <w:i/>
        </w:rPr>
        <w:t xml:space="preserve">Source:</w:t>
      </w:r>
      <w:r>
        <w:t xml:space="preserve"> </w:t>
      </w:r>
      <w:r>
        <w:t xml:space="preserve">Medical records</w:t>
      </w:r>
    </w:p>
    <w:bookmarkEnd w:id="104"/>
    <w:bookmarkStart w:id="105" w:name="outcomes-1"/>
    <w:p>
      <w:pPr>
        <w:pStyle w:val="Heading3"/>
      </w:pPr>
      <w:r>
        <w:t xml:space="preserve">13.2.6 Outcomes</w:t>
      </w:r>
    </w:p>
    <w:p>
      <w:pPr>
        <w:numPr>
          <w:ilvl w:val="0"/>
          <w:numId w:val="1015"/>
        </w:numPr>
        <w:pStyle w:val="Compact"/>
      </w:pPr>
      <w:r>
        <w:rPr>
          <w:bCs/>
          <w:b/>
        </w:rPr>
        <w:t xml:space="preserve">Date and time of death</w:t>
      </w:r>
      <w:r>
        <w:t xml:space="preserve">,</w:t>
      </w:r>
      <w:r>
        <w:t xml:space="preserve"> </w:t>
      </w:r>
      <w:r>
        <w:rPr>
          <w:iCs/>
          <w:i/>
        </w:rPr>
        <w:t xml:space="preserve">Source:</w:t>
      </w:r>
      <w:r>
        <w:t xml:space="preserve"> </w:t>
      </w:r>
      <w:r>
        <w:t xml:space="preserve">Medical records/interview</w:t>
      </w:r>
    </w:p>
    <w:p>
      <w:pPr>
        <w:numPr>
          <w:ilvl w:val="0"/>
          <w:numId w:val="1015"/>
        </w:numPr>
        <w:pStyle w:val="Compact"/>
      </w:pPr>
      <w:r>
        <w:rPr>
          <w:bCs/>
          <w:b/>
        </w:rPr>
        <w:t xml:space="preserve">Quality of life</w:t>
      </w:r>
      <w:r>
        <w:t xml:space="preserve"> </w:t>
      </w:r>
      <w:r>
        <w:t xml:space="preserve">(The EuroQol 5 Dimensions 3 Levels (EQ-5D-3L) questionnaire will be used to assess quality of life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5"/>
        </w:numPr>
        <w:pStyle w:val="Compact"/>
      </w:pPr>
      <w:r>
        <w:rPr>
          <w:bCs/>
          <w:b/>
        </w:rPr>
        <w:t xml:space="preserve">Disability</w:t>
      </w:r>
      <w:r>
        <w:t xml:space="preserve"> </w:t>
      </w:r>
      <w:r>
        <w:t xml:space="preserve">(The World Health Organization Disability Assessment Schedule 2.0 (WHODAS 2.0) questionnaire will be used to assess disability within 7 days of discharge, and at 30 and 90 days after arrival to the participating centre),</w:t>
      </w:r>
      <w:r>
        <w:t xml:space="preserve"> </w:t>
      </w:r>
      <w:r>
        <w:rPr>
          <w:iCs/>
          <w:i/>
        </w:rPr>
        <w:t xml:space="preserve">Source:</w:t>
      </w:r>
      <w:r>
        <w:t xml:space="preserve"> </w:t>
      </w:r>
      <w:r>
        <w:t xml:space="preserve">Interview</w:t>
      </w:r>
    </w:p>
    <w:p>
      <w:pPr>
        <w:numPr>
          <w:ilvl w:val="0"/>
          <w:numId w:val="1015"/>
        </w:numPr>
        <w:pStyle w:val="Compact"/>
      </w:pPr>
      <w:r>
        <w:rPr>
          <w:bCs/>
          <w:b/>
        </w:rPr>
        <w:t xml:space="preserve">Return to work</w:t>
      </w:r>
      <w:r>
        <w:t xml:space="preserve"> </w:t>
      </w:r>
      <w:r>
        <w:t xml:space="preserve">(Assessed at 30 and 90 days after arrival to the participating centre),</w:t>
      </w:r>
      <w:r>
        <w:t xml:space="preserve"> </w:t>
      </w:r>
      <w:r>
        <w:rPr>
          <w:iCs/>
          <w:i/>
        </w:rPr>
        <w:t xml:space="preserve">Source:</w:t>
      </w:r>
      <w:r>
        <w:t xml:space="preserve"> </w:t>
      </w:r>
      <w:r>
        <w:t xml:space="preserve">Interview</w:t>
      </w:r>
    </w:p>
    <w:bookmarkEnd w:id="105"/>
    <w:bookmarkStart w:id="106" w:name="safety-events"/>
    <w:p>
      <w:pPr>
        <w:pStyle w:val="Heading3"/>
      </w:pPr>
      <w:r>
        <w:t xml:space="preserve">13.2.7 Safety Events</w:t>
      </w:r>
    </w:p>
    <w:p>
      <w:pPr>
        <w:numPr>
          <w:ilvl w:val="0"/>
          <w:numId w:val="1016"/>
        </w:numPr>
        <w:pStyle w:val="Compact"/>
      </w:pPr>
      <w:r>
        <w:rPr>
          <w:bCs/>
          <w:b/>
        </w:rPr>
        <w:t xml:space="preserve">Prolonged mechanical ventilation (&gt; 7 days)</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6"/>
        </w:numPr>
        <w:pStyle w:val="Compact"/>
      </w:pPr>
      <w:r>
        <w:rPr>
          <w:bCs/>
          <w:b/>
        </w:rPr>
        <w:t xml:space="preserve">Initiation of renal replacement therapy</w:t>
      </w:r>
      <w:r>
        <w:t xml:space="preserve"> </w:t>
      </w:r>
      <w:r>
        <w:t xml:space="preserve">(Assessed during hospital stay),</w:t>
      </w:r>
      <w:r>
        <w:t xml:space="preserve"> </w:t>
      </w:r>
      <w:r>
        <w:rPr>
          <w:iCs/>
          <w:i/>
        </w:rPr>
        <w:t xml:space="preserve">Source:</w:t>
      </w:r>
      <w:r>
        <w:t xml:space="preserve"> </w:t>
      </w:r>
      <w:r>
        <w:t xml:space="preserve">Medical records</w:t>
      </w:r>
    </w:p>
    <w:p>
      <w:pPr>
        <w:numPr>
          <w:ilvl w:val="0"/>
          <w:numId w:val="1016"/>
        </w:numPr>
        <w:pStyle w:val="Compact"/>
      </w:pPr>
      <w:r>
        <w:rPr>
          <w:bCs/>
          <w:b/>
        </w:rPr>
        <w:t xml:space="preserve">Prolonged (&gt; 2 days) or renewed (restart after at least 2 days without) use of vasopressors such as norepinephrine or vasopressin</w:t>
      </w:r>
      <w:r>
        <w:t xml:space="preserve"> </w:t>
      </w:r>
      <w:r>
        <w:t xml:space="preserve">(Assessed during hospital stay),</w:t>
      </w:r>
      <w:r>
        <w:t xml:space="preserve"> </w:t>
      </w:r>
      <w:r>
        <w:rPr>
          <w:iCs/>
          <w:i/>
        </w:rPr>
        <w:t xml:space="preserve">Source:</w:t>
      </w:r>
      <w:r>
        <w:t xml:space="preserve"> </w:t>
      </w:r>
      <w:r>
        <w:t xml:space="preserve">Medical records</w:t>
      </w:r>
    </w:p>
    <w:bookmarkEnd w:id="106"/>
    <w:bookmarkEnd w:id="107"/>
    <w:bookmarkEnd w:id="108"/>
    <w:bookmarkStart w:id="133" w:name="trial-organization"/>
    <w:p>
      <w:pPr>
        <w:pStyle w:val="Heading1"/>
      </w:pPr>
      <w:r>
        <w:t xml:space="preserve">14. Trial Organization</w:t>
      </w:r>
    </w:p>
    <w:tbl>
      <w:tblPr>
        <w:tblStyle w:val="Table"/>
        <w:tblW w:type="pct" w:w="5000"/>
        <w:tblLook w:firstRow="0" w:lastRow="0" w:firstColumn="0" w:lastColumn="0" w:noHBand="0" w:noVBand="0" w:val="0000"/>
        <w:jc w:val="start"/>
      </w:tblPr>
      <w:tblGrid>
        <w:gridCol w:w="7920"/>
      </w:tblGrid>
      <w:tr>
        <w:tc>
          <w:tcPr/>
          <w:bookmarkStart w:id="112" w:name="fig-organization-overview"/>
          <w:p>
            <w:pPr>
              <w:jc w:val="center"/>
            </w:pPr>
            <w:r>
              <w:drawing>
                <wp:inline>
                  <wp:extent cx="3200400" cy="3945591"/>
                  <wp:effectExtent b="0" l="0" r="0" t="0"/>
                  <wp:docPr descr="" title="" id="110" name="Picture"/>
                  <a:graphic>
                    <a:graphicData uri="http://schemas.openxmlformats.org/drawingml/2006/picture">
                      <pic:pic>
                        <pic:nvPicPr>
                          <pic:cNvPr descr="../shared-assets/trial-organisation-overview-figure.png" id="111" name="Picture"/>
                          <pic:cNvPicPr>
                            <a:picLocks noChangeArrowheads="1" noChangeAspect="1"/>
                          </pic:cNvPicPr>
                        </pic:nvPicPr>
                        <pic:blipFill>
                          <a:blip r:embed="rId109"/>
                          <a:stretch>
                            <a:fillRect/>
                          </a:stretch>
                        </pic:blipFill>
                        <pic:spPr bwMode="auto">
                          <a:xfrm>
                            <a:off x="0" y="0"/>
                            <a:ext cx="3200400" cy="39455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Trial organization overview.</w:t>
            </w:r>
          </w:p>
          <w:bookmarkEnd w:id="112"/>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hyperlink w:anchor="fig-organization-overview">
        <w:r>
          <w:rPr>
            <w:rStyle w:val="Hyperlink"/>
          </w:rPr>
          <w:t xml:space="preserve">Figure 4</w:t>
        </w:r>
      </w:hyperlink>
      <w:r>
        <w:t xml:space="preserve">. Details about each committee and group are available in their respective charter.</w:t>
      </w:r>
    </w:p>
    <w:bookmarkStart w:id="117" w:name="trial-team"/>
    <w:p>
      <w:pPr>
        <w:pStyle w:val="Heading2"/>
      </w:pPr>
      <w:r>
        <w:t xml:space="preserve">14.1 Trial team</w:t>
      </w:r>
    </w:p>
    <w:bookmarkStart w:id="113" w:name="responsibility"/>
    <w:p>
      <w:pPr>
        <w:pStyle w:val="Heading4"/>
      </w:pPr>
      <w:r>
        <w:t xml:space="preserve">14.1.0.1 Responsibility</w:t>
      </w:r>
    </w:p>
    <w:p>
      <w:pPr>
        <w:pStyle w:val="FirstParagraph"/>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bookmarkEnd w:id="113"/>
    <w:bookmarkStart w:id="114" w:name="composition"/>
    <w:p>
      <w:pPr>
        <w:pStyle w:val="Heading4"/>
      </w:pPr>
      <w:r>
        <w:t xml:space="preserve">14.1.0.2 Composition</w:t>
      </w:r>
    </w:p>
    <w:p>
      <w:pPr>
        <w:pStyle w:val="FirstParagraph"/>
      </w:pPr>
      <w:r>
        <w:t xml:space="preserve">Includes the project manager, clinical research associates, principal investigator and co-investigators as needed.</w:t>
      </w:r>
    </w:p>
    <w:bookmarkEnd w:id="114"/>
    <w:bookmarkStart w:id="115" w:name="relationships"/>
    <w:p>
      <w:pPr>
        <w:pStyle w:val="Heading4"/>
      </w:pPr>
      <w:r>
        <w:t xml:space="preserve">14.1.0.3 Relationships</w:t>
      </w:r>
    </w:p>
    <w:p>
      <w:pPr>
        <w:pStyle w:val="FirstParagraph"/>
      </w:pPr>
      <w:r>
        <w:t xml:space="preserve">Reports to the TMG, TSC and DMC. Operationalises decisions made by the TMG.</w:t>
      </w:r>
    </w:p>
    <w:bookmarkEnd w:id="115"/>
    <w:bookmarkStart w:id="116" w:name="meeting-frequencies"/>
    <w:p>
      <w:pPr>
        <w:pStyle w:val="Heading4"/>
      </w:pPr>
      <w:r>
        <w:t xml:space="preserve">14.1.0.4 Meeting frequencies</w:t>
      </w:r>
    </w:p>
    <w:p>
      <w:pPr>
        <w:pStyle w:val="FirstParagraph"/>
      </w:pPr>
      <w:r>
        <w:t xml:space="preserve">As often as needed, often weekly or bi-weekly.</w:t>
      </w:r>
    </w:p>
    <w:bookmarkEnd w:id="116"/>
    <w:bookmarkEnd w:id="117"/>
    <w:bookmarkStart w:id="122" w:name="trial-management-group-tmg"/>
    <w:p>
      <w:pPr>
        <w:pStyle w:val="Heading2"/>
      </w:pPr>
      <w:r>
        <w:t xml:space="preserve">14.2 Trial Management Group (TMG)</w:t>
      </w:r>
    </w:p>
    <w:bookmarkStart w:id="118" w:name="responsibility-1"/>
    <w:p>
      <w:pPr>
        <w:pStyle w:val="Heading4"/>
      </w:pPr>
      <w:r>
        <w:t xml:space="preserve">14.2.0.1 Responsibility</w:t>
      </w:r>
    </w:p>
    <w:p>
      <w:pPr>
        <w:pStyle w:val="FirstParagraph"/>
      </w:pPr>
      <w:r>
        <w:t xml:space="preserve">To manage the trial, including its clinical and practical aspects.</w:t>
      </w:r>
    </w:p>
    <w:bookmarkEnd w:id="118"/>
    <w:bookmarkStart w:id="119" w:name="composition-1"/>
    <w:p>
      <w:pPr>
        <w:pStyle w:val="Heading4"/>
      </w:pPr>
      <w:r>
        <w:t xml:space="preserve">14.2.0.2 Composition</w:t>
      </w:r>
    </w:p>
    <w:p>
      <w:pPr>
        <w:pStyle w:val="FirstParagraph"/>
      </w:pPr>
      <w:r>
        <w:t xml:space="preserve">Includes members with broad expertise appropriate to the trial. The TMG will be chaired by the Principal Investigator.</w:t>
      </w:r>
    </w:p>
    <w:bookmarkEnd w:id="119"/>
    <w:bookmarkStart w:id="120" w:name="relationships-1"/>
    <w:p>
      <w:pPr>
        <w:pStyle w:val="Heading4"/>
      </w:pPr>
      <w:r>
        <w:t xml:space="preserve">14.2.0.3 Relationships</w:t>
      </w:r>
    </w:p>
    <w:p>
      <w:pPr>
        <w:pStyle w:val="FirstParagraph"/>
      </w:pPr>
      <w:r>
        <w:t xml:space="preserve">Receives reports from TT. Provides input to the TSC and DMC. Implements decisions made by the TSC.</w:t>
      </w:r>
    </w:p>
    <w:bookmarkEnd w:id="120"/>
    <w:bookmarkStart w:id="121" w:name="meeting-frequencies-1"/>
    <w:p>
      <w:pPr>
        <w:pStyle w:val="Heading4"/>
      </w:pPr>
      <w:r>
        <w:t xml:space="preserve">14.2.0.4 Meeting frequencies</w:t>
      </w:r>
    </w:p>
    <w:p>
      <w:pPr>
        <w:pStyle w:val="FirstParagraph"/>
      </w:pPr>
      <w:r>
        <w:t xml:space="preserve">Monthly to every six months.</w:t>
      </w:r>
    </w:p>
    <w:bookmarkEnd w:id="121"/>
    <w:bookmarkEnd w:id="122"/>
    <w:bookmarkStart w:id="127" w:name="trial-steering-committee-tsc"/>
    <w:p>
      <w:pPr>
        <w:pStyle w:val="Heading2"/>
      </w:pPr>
      <w:r>
        <w:t xml:space="preserve">14.3 Trial Steering Committee (TSC)</w:t>
      </w:r>
    </w:p>
    <w:bookmarkStart w:id="123" w:name="responsibility-2"/>
    <w:p>
      <w:pPr>
        <w:pStyle w:val="Heading4"/>
      </w:pPr>
      <w:r>
        <w:t xml:space="preserve">14.3.0.1 Responsibility</w:t>
      </w:r>
    </w:p>
    <w:p>
      <w:pPr>
        <w:pStyle w:val="FirstParagraph"/>
      </w:pPr>
      <w:r>
        <w:t xml:space="preserve">The TSC’s responsibility is to oversee the trial and offer guidance to the TMG.</w:t>
      </w:r>
    </w:p>
    <w:bookmarkEnd w:id="123"/>
    <w:bookmarkStart w:id="124" w:name="composition-2"/>
    <w:p>
      <w:pPr>
        <w:pStyle w:val="Heading4"/>
      </w:pPr>
      <w:r>
        <w:t xml:space="preserve">14.3.0.2 Composition</w:t>
      </w:r>
    </w:p>
    <w:p>
      <w:pPr>
        <w:pStyle w:val="FirstParagraph"/>
      </w:pPr>
      <w:r>
        <w:t xml:space="preserve">A majority of independent members, including a chair, and a minority of members with a direct interest in the trial, including the principal investigator. The chair should be independent of the trial, the sponsor, and the coordinator.</w:t>
      </w:r>
    </w:p>
    <w:bookmarkEnd w:id="124"/>
    <w:bookmarkStart w:id="125" w:name="relationships-2"/>
    <w:p>
      <w:pPr>
        <w:pStyle w:val="Heading4"/>
      </w:pPr>
      <w:r>
        <w:t xml:space="preserve">14.3.0.3 Relationships</w:t>
      </w:r>
    </w:p>
    <w:p>
      <w:pPr>
        <w:pStyle w:val="FirstParagraph"/>
      </w:pPr>
      <w:r>
        <w:t xml:space="preserve">Receives reports from the trial team and DMC.</w:t>
      </w:r>
    </w:p>
    <w:bookmarkEnd w:id="125"/>
    <w:bookmarkStart w:id="126" w:name="meeting-frequencies-2"/>
    <w:p>
      <w:pPr>
        <w:pStyle w:val="Heading4"/>
      </w:pPr>
      <w:r>
        <w:t xml:space="preserve">14.3.0.4 Meeting frequencies</w:t>
      </w:r>
    </w:p>
    <w:p>
      <w:pPr>
        <w:pStyle w:val="FirstParagraph"/>
      </w:pPr>
      <w:r>
        <w:t xml:space="preserve">Yearly, but may be more frequent if needed.</w:t>
      </w:r>
    </w:p>
    <w:bookmarkEnd w:id="126"/>
    <w:bookmarkEnd w:id="127"/>
    <w:bookmarkStart w:id="132" w:name="data-monitoring-committee-dmc"/>
    <w:p>
      <w:pPr>
        <w:pStyle w:val="Heading2"/>
      </w:pPr>
      <w:r>
        <w:t xml:space="preserve">14.4 Data Monitoring Committee (DMC)</w:t>
      </w:r>
    </w:p>
    <w:bookmarkStart w:id="128" w:name="responsibility-3"/>
    <w:p>
      <w:pPr>
        <w:pStyle w:val="Heading4"/>
      </w:pPr>
      <w:r>
        <w:t xml:space="preserve">14.4.0.1 Responsibility</w:t>
      </w:r>
    </w:p>
    <w:p>
      <w:pPr>
        <w:pStyle w:val="FirstParagraph"/>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bookmarkEnd w:id="128"/>
    <w:bookmarkStart w:id="129" w:name="composition-3"/>
    <w:p>
      <w:pPr>
        <w:pStyle w:val="Heading4"/>
      </w:pPr>
      <w:r>
        <w:t xml:space="preserve">14.4.0.2 Composition</w:t>
      </w:r>
    </w:p>
    <w:p>
      <w:pPr>
        <w:pStyle w:val="FirstParagraph"/>
      </w:pPr>
      <w:r>
        <w:t xml:space="preserve">Four external experts specializing in clinical trial management, biostatistics, medical ethics, and the pertinent clinical area.</w:t>
      </w:r>
    </w:p>
    <w:bookmarkEnd w:id="129"/>
    <w:bookmarkStart w:id="130" w:name="relationships-3"/>
    <w:p>
      <w:pPr>
        <w:pStyle w:val="Heading4"/>
      </w:pPr>
      <w:r>
        <w:t xml:space="preserve">14.4.0.3 Relationships</w:t>
      </w:r>
    </w:p>
    <w:p>
      <w:pPr>
        <w:pStyle w:val="FirstParagraph"/>
      </w:pPr>
      <w:r>
        <w:t xml:space="preserve">Reports to the TSC. Receives reports from the TT.</w:t>
      </w:r>
    </w:p>
    <w:bookmarkEnd w:id="130"/>
    <w:bookmarkStart w:id="131" w:name="meeting-frequencies-3"/>
    <w:p>
      <w:pPr>
        <w:pStyle w:val="Heading4"/>
      </w:pPr>
      <w:r>
        <w:t xml:space="preserve">14.4.0.4 Meeting frequencies</w:t>
      </w:r>
    </w:p>
    <w:p>
      <w:pPr>
        <w:pStyle w:val="FirstParagraph"/>
      </w:pPr>
      <w:r>
        <w:t xml:space="preserve">After the completion of each batch, but may be more frequent if needed.</w:t>
      </w:r>
    </w:p>
    <w:bookmarkEnd w:id="131"/>
    <w:bookmarkEnd w:id="132"/>
    <w:bookmarkEnd w:id="133"/>
    <w:bookmarkStart w:id="134" w:name="funding"/>
    <w:p>
      <w:pPr>
        <w:pStyle w:val="Heading1"/>
      </w:pPr>
      <w:r>
        <w:t xml:space="preserve">15. Funding</w:t>
      </w:r>
    </w:p>
    <w:p>
      <w:pPr>
        <w:numPr>
          <w:ilvl w:val="0"/>
          <w:numId w:val="1017"/>
        </w:numPr>
        <w:pStyle w:val="Compact"/>
      </w:pPr>
      <w:r>
        <w:t xml:space="preserve">Swedish Research Council (reg. no. 2023-03128)</w:t>
      </w:r>
    </w:p>
    <w:p>
      <w:pPr>
        <w:numPr>
          <w:ilvl w:val="0"/>
          <w:numId w:val="1017"/>
        </w:numPr>
        <w:pStyle w:val="Compact"/>
      </w:pPr>
      <w:r>
        <w:t xml:space="preserve">Laerdal Foundation (reg. no. 2023-0297)</w:t>
      </w:r>
    </w:p>
    <w:bookmarkEnd w:id="134"/>
    <w:bookmarkStart w:id="137" w:name="special-considerations"/>
    <w:p>
      <w:pPr>
        <w:pStyle w:val="Heading1"/>
      </w:pPr>
      <w:r>
        <w:t xml:space="preserve">16. Special considerations</w:t>
      </w:r>
    </w:p>
    <w:bookmarkStart w:id="135" w:name="funding-1"/>
    <w:p>
      <w:pPr>
        <w:pStyle w:val="Heading2"/>
      </w:pPr>
      <w:r>
        <w:t xml:space="preserve">16.1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135"/>
    <w:bookmarkStart w:id="136" w:name="potential-amendments"/>
    <w:p>
      <w:pPr>
        <w:pStyle w:val="Heading2"/>
      </w:pPr>
      <w:r>
        <w:t xml:space="preserve">16.2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136"/>
    <w:bookmarkEnd w:id="137"/>
    <w:bookmarkStart w:id="138" w:name="Xa02c8ea30126bed8a88472fd16e8658d6d979bd"/>
    <w:p>
      <w:pPr>
        <w:pStyle w:val="Heading1"/>
      </w:pPr>
      <w:r>
        <w:t xml:space="preserve">17. Notification of trial completion, reporting, and publication</w:t>
      </w:r>
    </w:p>
    <w:p>
      <w:pPr>
        <w:pStyle w:val="FirstParagraph"/>
      </w:pPr>
      <w:r>
        <w:t xml:space="preserve">The trial will be reported to the Funders within a year of completion. The results of the trial will also be prepared as manuscripts for publication. Authorship on trial manuscripts will be based on the International Committee of Medical Journal Editors (ICMJE) criteria</w:t>
      </w:r>
      <w:r>
        <w:rPr>
          <w:vertAlign w:val="superscript"/>
        </w:rPr>
        <w:t xml:space="preserve">40</w:t>
      </w:r>
      <w:r>
        <w:t xml:space="preserve">:</w:t>
      </w:r>
    </w:p>
    <w:p>
      <w:pPr>
        <w:numPr>
          <w:ilvl w:val="0"/>
          <w:numId w:val="1018"/>
        </w:numPr>
        <w:pStyle w:val="Compact"/>
      </w:pPr>
      <w:r>
        <w:t xml:space="preserve">Substantial contributions to the conception or design of the work; or the acquisition, analysis, or interpretation of data for the work; AND</w:t>
      </w:r>
    </w:p>
    <w:p>
      <w:pPr>
        <w:numPr>
          <w:ilvl w:val="0"/>
          <w:numId w:val="1018"/>
        </w:numPr>
        <w:pStyle w:val="Compact"/>
      </w:pPr>
      <w:r>
        <w:t xml:space="preserve">Drafting the work or reviewing it critically for important intellectual content; AND</w:t>
      </w:r>
    </w:p>
    <w:p>
      <w:pPr>
        <w:numPr>
          <w:ilvl w:val="0"/>
          <w:numId w:val="1018"/>
        </w:numPr>
        <w:pStyle w:val="Compact"/>
      </w:pPr>
      <w:r>
        <w:t xml:space="preserve">Final approval of the version to be published; AND</w:t>
      </w:r>
    </w:p>
    <w:p>
      <w:pPr>
        <w:numPr>
          <w:ilvl w:val="0"/>
          <w:numId w:val="1018"/>
        </w:numPr>
        <w:pStyle w:val="Compact"/>
      </w:pPr>
      <w:r>
        <w:t xml:space="preserve">Agreement to be accountable for all aspects of the work in ensuring that questions related to the accuracy or integrity of any part of the work are appropriately investigated and resolved.</w:t>
      </w:r>
    </w:p>
    <w:p>
      <w:pPr>
        <w:pStyle w:val="BlockText"/>
      </w:pPr>
      <w:r>
        <w:t xml:space="preserve">In addition to being accountable for the parts of the work done, an author should be able to identify which co-authors are responsible for specific other parts of the work. In addition, authors should have confidence in the integrity of the contributions of their co-authors.</w:t>
      </w:r>
    </w:p>
    <w:p>
      <w:pPr>
        <w:pStyle w:val="FirstParagraph"/>
      </w:pPr>
      <w:r>
        <w:t xml:space="preserve">The most recent version of the ICMJE criteria will be adhered to. We will also use the ICMJE criteria for non-author contributorship.</w:t>
      </w:r>
    </w:p>
    <w:p>
      <w:pPr>
        <w:pStyle w:val="BodyText"/>
      </w:pPr>
      <w:r>
        <w:t xml:space="preserve">Before work on a trial manuscript is initiated, a writing group will be formed and first and last authors will be designated. This writing group will be formed by discussion in the Trial Management Group.</w:t>
      </w:r>
    </w:p>
    <w:bookmarkEnd w:id="138"/>
    <w:bookmarkStart w:id="180" w:name="references"/>
    <w:p>
      <w:pPr>
        <w:pStyle w:val="Heading1"/>
      </w:pPr>
      <w:r>
        <w:t xml:space="preserve">18. References</w:t>
      </w:r>
    </w:p>
    <w:bookmarkStart w:id="179" w:name="refs"/>
    <w:bookmarkStart w:id="139" w:name="ref-injuries2020"/>
    <w:p>
      <w:pPr>
        <w:pStyle w:val="Bibliography"/>
      </w:pPr>
      <w:r>
        <w:t xml:space="preserve">1.</w:t>
      </w:r>
      <w:r>
        <w:t xml:space="preserve"> </w:t>
      </w:r>
      <w:r>
        <w:t xml:space="preserve">	</w:t>
      </w:r>
      <w:r>
        <w:t xml:space="preserve">GBD 2019 Diseases and Injuries Collaborators. Injuries—level 1 cause.</w:t>
      </w:r>
      <w:r>
        <w:t xml:space="preserve"> </w:t>
      </w:r>
      <w:r>
        <w:rPr>
          <w:iCs/>
          <w:i/>
        </w:rPr>
        <w:t xml:space="preserve">The Lancet</w:t>
      </w:r>
      <w:r>
        <w:t xml:space="preserve"> </w:t>
      </w:r>
      <w:r>
        <w:rPr>
          <w:bCs/>
          <w:b/>
        </w:rPr>
        <w:t xml:space="preserve">396</w:t>
      </w:r>
      <w:r>
        <w:t xml:space="preserve">, (2020).</w:t>
      </w:r>
    </w:p>
    <w:bookmarkEnd w:id="139"/>
    <w:bookmarkStart w:id="140" w:name="ref-GBD2020"/>
    <w:p>
      <w:pPr>
        <w:pStyle w:val="Bibliography"/>
      </w:pPr>
      <w:r>
        <w:t xml:space="preserve">2.</w:t>
      </w:r>
      <w:r>
        <w:t xml:space="preserve"> </w:t>
      </w:r>
      <w:r>
        <w:t xml:space="preserve">	</w:t>
      </w:r>
      <w:r>
        <w:t xml:space="preserve">GBD 2019 Diseases and Injuries Collaborators. Global burden of 369 diseases and injuries in 204 countries and territories, 1990–2019: A systematic analysis for the global burden of disease study 2019.</w:t>
      </w:r>
      <w:r>
        <w:t xml:space="preserve"> </w:t>
      </w:r>
      <w:r>
        <w:rPr>
          <w:iCs/>
          <w:i/>
        </w:rPr>
        <w:t xml:space="preserve">The Lancet</w:t>
      </w:r>
      <w:r>
        <w:t xml:space="preserve"> </w:t>
      </w:r>
      <w:r>
        <w:rPr>
          <w:bCs/>
          <w:b/>
        </w:rPr>
        <w:t xml:space="preserve">396</w:t>
      </w:r>
      <w:r>
        <w:t xml:space="preserve">, 1204–1222 (2020).</w:t>
      </w:r>
    </w:p>
    <w:bookmarkEnd w:id="140"/>
    <w:bookmarkStart w:id="141" w:name="ref-Rauf2019"/>
    <w:p>
      <w:pPr>
        <w:pStyle w:val="Bibliography"/>
      </w:pPr>
      <w:r>
        <w:t xml:space="preserve">3.</w:t>
      </w:r>
      <w:r>
        <w:t xml:space="preserve"> </w:t>
      </w:r>
      <w:r>
        <w:t xml:space="preserve">	</w:t>
      </w:r>
      <w:r>
        <w:t xml:space="preserve">Rauf, R.</w:t>
      </w:r>
      <w:r>
        <w:t xml:space="preserve"> </w:t>
      </w:r>
      <w:r>
        <w:rPr>
          <w:iCs/>
          <w:i/>
        </w:rPr>
        <w:t xml:space="preserve">et al.</w:t>
      </w:r>
      <w:r>
        <w:t xml:space="preserve"> Changes in the temporal distribution of in-hospital mortality in severely injured patients—an analysis of the TraumaRegister DGU.</w:t>
      </w:r>
      <w:r>
        <w:t xml:space="preserve"> </w:t>
      </w:r>
      <w:r>
        <w:rPr>
          <w:iCs/>
          <w:i/>
        </w:rPr>
        <w:t xml:space="preserve">PLOS ONE</w:t>
      </w:r>
      <w:r>
        <w:t xml:space="preserve"> </w:t>
      </w:r>
      <w:r>
        <w:rPr>
          <w:bCs/>
          <w:b/>
        </w:rPr>
        <w:t xml:space="preserve">14</w:t>
      </w:r>
      <w:r>
        <w:t xml:space="preserve">, e0212095 (2019).</w:t>
      </w:r>
    </w:p>
    <w:bookmarkEnd w:id="141"/>
    <w:bookmarkStart w:id="142" w:name="ref-Roy2017"/>
    <w:p>
      <w:pPr>
        <w:pStyle w:val="Bibliography"/>
      </w:pPr>
      <w:r>
        <w:t xml:space="preserve">4.</w:t>
      </w:r>
      <w:r>
        <w:t xml:space="preserve"> </w:t>
      </w:r>
      <w:r>
        <w:t xml:space="preserve">	</w:t>
      </w:r>
      <w:r>
        <w:t xml:space="preserve">Roy, N.</w:t>
      </w:r>
      <w:r>
        <w:t xml:space="preserve"> </w:t>
      </w:r>
      <w:r>
        <w:rPr>
          <w:iCs/>
          <w:i/>
        </w:rPr>
        <w:t xml:space="preserve">et al.</w:t>
      </w:r>
      <w:r>
        <w:t xml:space="preserve"> Learning from 2523 trauma deaths in india- opportunities to prevent in-hospital deaths.</w:t>
      </w:r>
      <w:r>
        <w:t xml:space="preserve"> </w:t>
      </w:r>
      <w:r>
        <w:rPr>
          <w:iCs/>
          <w:i/>
        </w:rPr>
        <w:t xml:space="preserve">BMC Health Serv Res</w:t>
      </w:r>
      <w:r>
        <w:t xml:space="preserve"> </w:t>
      </w:r>
      <w:r>
        <w:rPr>
          <w:bCs/>
          <w:b/>
        </w:rPr>
        <w:t xml:space="preserve">17</w:t>
      </w:r>
      <w:r>
        <w:t xml:space="preserve">, (2017).</w:t>
      </w:r>
    </w:p>
    <w:bookmarkEnd w:id="142"/>
    <w:bookmarkStart w:id="143" w:name="ref-Callcut2019"/>
    <w:p>
      <w:pPr>
        <w:pStyle w:val="Bibliography"/>
      </w:pPr>
      <w:r>
        <w:t xml:space="preserve">5.</w:t>
      </w:r>
      <w:r>
        <w:t xml:space="preserve"> </w:t>
      </w:r>
      <w:r>
        <w:t xml:space="preserve">	</w:t>
      </w:r>
      <w:r>
        <w:t xml:space="preserve">Callcut, R. A.</w:t>
      </w:r>
      <w:r>
        <w:t xml:space="preserve"> </w:t>
      </w:r>
      <w:r>
        <w:rPr>
          <w:iCs/>
          <w:i/>
        </w:rPr>
        <w:t xml:space="preserve">et al.</w:t>
      </w:r>
      <w:r>
        <w:t xml:space="preserve"> The why and how our trauma patients die: A prospective multicenter western trauma association study.</w:t>
      </w:r>
      <w:r>
        <w:t xml:space="preserve"> </w:t>
      </w:r>
      <w:r>
        <w:rPr>
          <w:iCs/>
          <w:i/>
        </w:rPr>
        <w:t xml:space="preserve">J Trauma.</w:t>
      </w:r>
      <w:r>
        <w:t xml:space="preserve"> </w:t>
      </w:r>
      <w:r>
        <w:rPr>
          <w:bCs/>
          <w:b/>
        </w:rPr>
        <w:t xml:space="preserve">86</w:t>
      </w:r>
      <w:r>
        <w:t xml:space="preserve">, 864–870 (2019).</w:t>
      </w:r>
    </w:p>
    <w:bookmarkEnd w:id="143"/>
    <w:bookmarkStart w:id="144" w:name="ref-Ghorbani2018"/>
    <w:p>
      <w:pPr>
        <w:pStyle w:val="Bibliography"/>
      </w:pPr>
      <w:r>
        <w:t xml:space="preserve">6.</w:t>
      </w:r>
      <w:r>
        <w:t xml:space="preserve"> </w:t>
      </w:r>
      <w:r>
        <w:t xml:space="preserve">	</w:t>
      </w:r>
      <w:r>
        <w:t xml:space="preserve">Ghorbani, P.</w:t>
      </w:r>
      <w:r>
        <w:t xml:space="preserve"> </w:t>
      </w:r>
      <w:r>
        <w:rPr>
          <w:iCs/>
          <w:i/>
        </w:rPr>
        <w:t xml:space="preserve">et al.</w:t>
      </w:r>
      <w:r>
        <w:t xml:space="preserve"> Analysis of preventable deaths and errors in trauma care in a scandinavian trauma level-i centre.</w:t>
      </w:r>
      <w:r>
        <w:t xml:space="preserve"> </w:t>
      </w:r>
      <w:r>
        <w:rPr>
          <w:iCs/>
          <w:i/>
        </w:rPr>
        <w:t xml:space="preserve">Acta Anaesthesiol Scand</w:t>
      </w:r>
      <w:r>
        <w:t xml:space="preserve"> </w:t>
      </w:r>
      <w:r>
        <w:rPr>
          <w:bCs/>
          <w:b/>
        </w:rPr>
        <w:t xml:space="preserve">62</w:t>
      </w:r>
      <w:r>
        <w:t xml:space="preserve">, 1146–1153 (2018).</w:t>
      </w:r>
    </w:p>
    <w:bookmarkEnd w:id="144"/>
    <w:bookmarkStart w:id="145" w:name="ref-Mohammad2013"/>
    <w:p>
      <w:pPr>
        <w:pStyle w:val="Bibliography"/>
      </w:pPr>
      <w:r>
        <w:t xml:space="preserve">7.</w:t>
      </w:r>
      <w:r>
        <w:t xml:space="preserve"> </w:t>
      </w:r>
      <w:r>
        <w:t xml:space="preserve">	</w:t>
      </w:r>
      <w:r>
        <w:t xml:space="preserve">Mohammad, A.</w:t>
      </w:r>
      <w:r>
        <w:t xml:space="preserve"> </w:t>
      </w:r>
      <w:r>
        <w:rPr>
          <w:iCs/>
          <w:i/>
        </w:rPr>
        <w:t xml:space="preserve">et al.</w:t>
      </w:r>
      <w:r>
        <w:t xml:space="preserve"> Educational and clinical impact of advanced trauma life support (ATLS) courses: A systematic review.</w:t>
      </w:r>
      <w:r>
        <w:t xml:space="preserve"> </w:t>
      </w:r>
      <w:r>
        <w:rPr>
          <w:iCs/>
          <w:i/>
        </w:rPr>
        <w:t xml:space="preserve">World J. Surg.</w:t>
      </w:r>
      <w:r>
        <w:t xml:space="preserve"> </w:t>
      </w:r>
      <w:r>
        <w:rPr>
          <w:bCs/>
          <w:b/>
        </w:rPr>
        <w:t xml:space="preserve">38</w:t>
      </w:r>
      <w:r>
        <w:t xml:space="preserve">, 322–329 (2013).</w:t>
      </w:r>
    </w:p>
    <w:bookmarkEnd w:id="145"/>
    <w:bookmarkStart w:id="146" w:name="ref-Jayaraman2014"/>
    <w:p>
      <w:pPr>
        <w:pStyle w:val="Bibliography"/>
      </w:pPr>
      <w:r>
        <w:t xml:space="preserve">8.</w:t>
      </w:r>
      <w:r>
        <w:t xml:space="preserve"> </w:t>
      </w:r>
      <w:r>
        <w:t xml:space="preserve">	</w:t>
      </w:r>
      <w:r>
        <w:t xml:space="preserve">Jayaraman, S.</w:t>
      </w:r>
      <w:r>
        <w:t xml:space="preserve"> </w:t>
      </w:r>
      <w:r>
        <w:rPr>
          <w:iCs/>
          <w:i/>
        </w:rPr>
        <w:t xml:space="preserve">et al.</w:t>
      </w:r>
      <w:r>
        <w:t xml:space="preserve"> Advanced trauma life support training for hospital staff.</w:t>
      </w:r>
      <w:r>
        <w:t xml:space="preserve"> </w:t>
      </w:r>
      <w:r>
        <w:rPr>
          <w:iCs/>
          <w:i/>
        </w:rPr>
        <w:t xml:space="preserve">Cochrane Database Syst Rev</w:t>
      </w:r>
      <w:r>
        <w:t xml:space="preserve"> </w:t>
      </w:r>
      <w:r>
        <w:t xml:space="preserve">(2014).</w:t>
      </w:r>
    </w:p>
    <w:bookmarkEnd w:id="146"/>
    <w:bookmarkStart w:id="147" w:name="ref-Kadhum2020"/>
    <w:p>
      <w:pPr>
        <w:pStyle w:val="Bibliography"/>
      </w:pPr>
      <w:r>
        <w:t xml:space="preserve">9.</w:t>
      </w:r>
      <w:r>
        <w:t xml:space="preserve"> </w:t>
      </w:r>
      <w:r>
        <w:t xml:space="preserve">	</w:t>
      </w:r>
      <w:r>
        <w:t xml:space="preserve">Kadhum, M.</w:t>
      </w:r>
      <w:r>
        <w:t xml:space="preserve"> </w:t>
      </w:r>
      <w:r>
        <w:rPr>
          <w:iCs/>
          <w:i/>
        </w:rPr>
        <w:t xml:space="preserve">et al.</w:t>
      </w:r>
      <w:r>
        <w:t xml:space="preserve"> Are primary trauma care (PTC) courses beneficial in low- and middle-income countries - a systematic review.</w:t>
      </w:r>
      <w:r>
        <w:t xml:space="preserve"> </w:t>
      </w:r>
      <w:r>
        <w:rPr>
          <w:iCs/>
          <w:i/>
        </w:rPr>
        <w:t xml:space="preserve">Injury</w:t>
      </w:r>
      <w:r>
        <w:t xml:space="preserve"> </w:t>
      </w:r>
      <w:r>
        <w:rPr>
          <w:bCs/>
          <w:b/>
        </w:rPr>
        <w:t xml:space="preserve">51</w:t>
      </w:r>
      <w:r>
        <w:t xml:space="preserve">, 136–141 (2020).</w:t>
      </w:r>
    </w:p>
    <w:bookmarkEnd w:id="147"/>
    <w:bookmarkStart w:id="148" w:name="ref-Jin2021"/>
    <w:p>
      <w:pPr>
        <w:pStyle w:val="Bibliography"/>
      </w:pPr>
      <w:r>
        <w:t xml:space="preserve">10.</w:t>
      </w:r>
      <w:r>
        <w:t xml:space="preserve"> </w:t>
      </w:r>
      <w:r>
        <w:t xml:space="preserve">	</w:t>
      </w:r>
      <w:r>
        <w:t xml:space="preserve">Jin, J.</w:t>
      </w:r>
      <w:r>
        <w:t xml:space="preserve"> </w:t>
      </w:r>
      <w:r>
        <w:rPr>
          <w:iCs/>
          <w:i/>
        </w:rPr>
        <w:t xml:space="preserve">et al.</w:t>
      </w:r>
      <w:r>
        <w:t xml:space="preserve"> Effectiveness of quality improvement processes, interventions, and structure in trauma systems in low- and middle-income countries: A systematic review and meta-analysis.</w:t>
      </w:r>
      <w:r>
        <w:t xml:space="preserve"> </w:t>
      </w:r>
      <w:r>
        <w:rPr>
          <w:iCs/>
          <w:i/>
        </w:rPr>
        <w:t xml:space="preserve">World J. Surg.</w:t>
      </w:r>
      <w:r>
        <w:t xml:space="preserve"> </w:t>
      </w:r>
      <w:r>
        <w:rPr>
          <w:bCs/>
          <w:b/>
        </w:rPr>
        <w:t xml:space="preserve">45</w:t>
      </w:r>
      <w:r>
        <w:t xml:space="preserve">, 1982–1998 (2021).</w:t>
      </w:r>
    </w:p>
    <w:bookmarkEnd w:id="148"/>
    <w:bookmarkStart w:id="149" w:name="ref-acsAtls2018"/>
    <w:p>
      <w:pPr>
        <w:pStyle w:val="Bibliography"/>
      </w:pPr>
      <w:r>
        <w:t xml:space="preserve">11.</w:t>
      </w:r>
      <w:r>
        <w:t xml:space="preserve"> </w:t>
      </w:r>
      <w:r>
        <w:t xml:space="preserve">	</w:t>
      </w:r>
      <w:r>
        <w:t xml:space="preserve">Committee on Trauma.</w:t>
      </w:r>
      <w:r>
        <w:t xml:space="preserve"> </w:t>
      </w:r>
      <w:r>
        <w:rPr>
          <w:iCs/>
          <w:i/>
        </w:rPr>
        <w:t xml:space="preserve">Advanced trauma life support® student course manual</w:t>
      </w:r>
      <w:r>
        <w:t xml:space="preserve">. (American College of Surgeons, 2018).</w:t>
      </w:r>
    </w:p>
    <w:bookmarkEnd w:id="149"/>
    <w:bookmarkStart w:id="150" w:name="ref-ACS2022"/>
    <w:p>
      <w:pPr>
        <w:pStyle w:val="Bibliography"/>
      </w:pPr>
      <w:r>
        <w:t xml:space="preserve">12.</w:t>
      </w:r>
      <w:r>
        <w:t xml:space="preserve"> </w:t>
      </w:r>
      <w:r>
        <w:t xml:space="preserve">	</w:t>
      </w:r>
      <w:r>
        <w:t xml:space="preserve">American College of Surgeons.</w:t>
      </w:r>
      <w:r>
        <w:t xml:space="preserve"> </w:t>
      </w:r>
      <w:r>
        <w:rPr>
          <w:iCs/>
          <w:i/>
        </w:rPr>
        <w:t xml:space="preserve">Resources for optimal care of the injured patient</w:t>
      </w:r>
      <w:r>
        <w:t xml:space="preserve">. (</w:t>
      </w:r>
      <w:r>
        <w:t xml:space="preserve">American College of Surgeons</w:t>
      </w:r>
      <w:r>
        <w:t xml:space="preserve">, 2022).</w:t>
      </w:r>
    </w:p>
    <w:bookmarkEnd w:id="150"/>
    <w:bookmarkStart w:id="151" w:name="ref-Ali1995"/>
    <w:p>
      <w:pPr>
        <w:pStyle w:val="Bibliography"/>
      </w:pPr>
      <w:r>
        <w:t xml:space="preserve">13.</w:t>
      </w:r>
      <w:r>
        <w:t xml:space="preserve"> </w:t>
      </w:r>
      <w:r>
        <w:t xml:space="preserve">	</w:t>
      </w:r>
      <w:r>
        <w:t xml:space="preserve">Ali, J.</w:t>
      </w:r>
      <w:r>
        <w:t xml:space="preserve"> </w:t>
      </w:r>
      <w:r>
        <w:rPr>
          <w:iCs/>
          <w:i/>
        </w:rPr>
        <w:t xml:space="preserve">et al.</w:t>
      </w:r>
      <w:r>
        <w:t xml:space="preserve"> Demonstration of acquisition of trauma management skills by senior medical students completing the ATLS program.</w:t>
      </w:r>
      <w:r>
        <w:t xml:space="preserve"> </w:t>
      </w:r>
      <w:r>
        <w:rPr>
          <w:iCs/>
          <w:i/>
        </w:rPr>
        <w:t xml:space="preserve">J Trauma.</w:t>
      </w:r>
      <w:r>
        <w:t xml:space="preserve"> </w:t>
      </w:r>
      <w:r>
        <w:rPr>
          <w:bCs/>
          <w:b/>
        </w:rPr>
        <w:t xml:space="preserve">38</w:t>
      </w:r>
      <w:r>
        <w:t xml:space="preserve">, 687–691 (1995).</w:t>
      </w:r>
    </w:p>
    <w:bookmarkEnd w:id="151"/>
    <w:bookmarkStart w:id="152" w:name="ref-Ali1996"/>
    <w:p>
      <w:pPr>
        <w:pStyle w:val="Bibliography"/>
      </w:pPr>
      <w:r>
        <w:t xml:space="preserve">14.</w:t>
      </w:r>
      <w:r>
        <w:t xml:space="preserve"> </w:t>
      </w:r>
      <w:r>
        <w:t xml:space="preserve">	</w:t>
      </w:r>
      <w:r>
        <w:t xml:space="preserve">Ali, J.</w:t>
      </w:r>
      <w:r>
        <w:t xml:space="preserve"> </w:t>
      </w:r>
      <w:r>
        <w:rPr>
          <w:iCs/>
          <w:i/>
        </w:rPr>
        <w:t xml:space="preserve">et al.</w:t>
      </w:r>
      <w:r>
        <w:t xml:space="preserve"> Teaching effectiveness of the advanced trauma life support program as demonstrated by an objective structured clinical examination for practicing physicians.</w:t>
      </w:r>
      <w:r>
        <w:t xml:space="preserve"> </w:t>
      </w:r>
      <w:r>
        <w:rPr>
          <w:iCs/>
          <w:i/>
        </w:rPr>
        <w:t xml:space="preserve">World J. Surg.</w:t>
      </w:r>
      <w:r>
        <w:t xml:space="preserve"> </w:t>
      </w:r>
      <w:r>
        <w:rPr>
          <w:bCs/>
          <w:b/>
        </w:rPr>
        <w:t xml:space="preserve">20</w:t>
      </w:r>
      <w:r>
        <w:t xml:space="preserve">, 1121–1126 (1996).</w:t>
      </w:r>
    </w:p>
    <w:bookmarkEnd w:id="152"/>
    <w:bookmarkStart w:id="153" w:name="ref-Ali1999"/>
    <w:p>
      <w:pPr>
        <w:pStyle w:val="Bibliography"/>
      </w:pPr>
      <w:r>
        <w:t xml:space="preserve">15.</w:t>
      </w:r>
      <w:r>
        <w:t xml:space="preserve"> </w:t>
      </w:r>
      <w:r>
        <w:t xml:space="preserve">	</w:t>
      </w:r>
      <w:r>
        <w:t xml:space="preserve">Ali, J.</w:t>
      </w:r>
      <w:r>
        <w:t xml:space="preserve"> </w:t>
      </w:r>
      <w:r>
        <w:rPr>
          <w:iCs/>
          <w:i/>
        </w:rPr>
        <w:t xml:space="preserve">et al.</w:t>
      </w:r>
      <w:r>
        <w:t xml:space="preserve"> Comparison of performance of interns completing the old (1993) and new interactive (1997) advanced trauma life support courses.</w:t>
      </w:r>
      <w:r>
        <w:t xml:space="preserve"> </w:t>
      </w:r>
      <w:r>
        <w:rPr>
          <w:iCs/>
          <w:i/>
        </w:rPr>
        <w:t xml:space="preserve">J Trauma.</w:t>
      </w:r>
      <w:r>
        <w:t xml:space="preserve"> </w:t>
      </w:r>
      <w:r>
        <w:rPr>
          <w:bCs/>
          <w:b/>
        </w:rPr>
        <w:t xml:space="preserve">46</w:t>
      </w:r>
      <w:r>
        <w:t xml:space="preserve">, 80–86 (1999).</w:t>
      </w:r>
    </w:p>
    <w:bookmarkEnd w:id="153"/>
    <w:bookmarkStart w:id="154" w:name="ref-Vestrup1988"/>
    <w:p>
      <w:pPr>
        <w:pStyle w:val="Bibliography"/>
      </w:pPr>
      <w:r>
        <w:t xml:space="preserve">16.</w:t>
      </w:r>
      <w:r>
        <w:t xml:space="preserve"> </w:t>
      </w:r>
      <w:r>
        <w:t xml:space="preserve">	</w:t>
      </w:r>
      <w:r>
        <w:t xml:space="preserve">Vestrup, J. A.</w:t>
      </w:r>
      <w:r>
        <w:t xml:space="preserve"> </w:t>
      </w:r>
      <w:r>
        <w:rPr>
          <w:iCs/>
          <w:i/>
        </w:rPr>
        <w:t xml:space="preserve">et al.</w:t>
      </w:r>
      <w:r>
        <w:t xml:space="preserve"> Impact of advanced trauma life support training on early trauma management.</w:t>
      </w:r>
      <w:r>
        <w:t xml:space="preserve"> </w:t>
      </w:r>
      <w:r>
        <w:rPr>
          <w:iCs/>
          <w:i/>
        </w:rPr>
        <w:t xml:space="preserve">Am J Surg</w:t>
      </w:r>
      <w:r>
        <w:t xml:space="preserve"> </w:t>
      </w:r>
      <w:r>
        <w:rPr>
          <w:bCs/>
          <w:b/>
        </w:rPr>
        <w:t xml:space="preserve">155</w:t>
      </w:r>
      <w:r>
        <w:t xml:space="preserve">, 704–707 (1988).</w:t>
      </w:r>
    </w:p>
    <w:bookmarkEnd w:id="154"/>
    <w:bookmarkStart w:id="155" w:name="ref-Ariyanayagam1992"/>
    <w:p>
      <w:pPr>
        <w:pStyle w:val="Bibliography"/>
      </w:pPr>
      <w:r>
        <w:t xml:space="preserve">17.</w:t>
      </w:r>
      <w:r>
        <w:t xml:space="preserve"> </w:t>
      </w:r>
      <w:r>
        <w:t xml:space="preserve">	</w:t>
      </w:r>
      <w:r>
        <w:t xml:space="preserve">Ariyanayagam, D. C.</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 J</w:t>
      </w:r>
      <w:r>
        <w:t xml:space="preserve"> </w:t>
      </w:r>
      <w:r>
        <w:rPr>
          <w:bCs/>
          <w:b/>
        </w:rPr>
        <w:t xml:space="preserve">41</w:t>
      </w:r>
      <w:r>
        <w:t xml:space="preserve">, 72–74 (1992).</w:t>
      </w:r>
    </w:p>
    <w:bookmarkEnd w:id="155"/>
    <w:bookmarkStart w:id="156" w:name="ref-Ali1993"/>
    <w:p>
      <w:pPr>
        <w:pStyle w:val="Bibliography"/>
      </w:pPr>
      <w:r>
        <w:t xml:space="preserve">18.</w:t>
      </w:r>
      <w:r>
        <w:t xml:space="preserve"> </w:t>
      </w:r>
      <w:r>
        <w:t xml:space="preserve">	</w:t>
      </w:r>
      <w:r>
        <w:t xml:space="preserve">Ali, J.</w:t>
      </w:r>
      <w:r>
        <w:t xml:space="preserve"> </w:t>
      </w:r>
      <w:r>
        <w:rPr>
          <w:iCs/>
          <w:i/>
        </w:rPr>
        <w:t xml:space="preserve">et al.</w:t>
      </w:r>
      <w:r>
        <w:t xml:space="preserve"> Trauma outcome improves following the advanced trauma life support program in a developing country.</w:t>
      </w:r>
      <w:r>
        <w:t xml:space="preserve"> </w:t>
      </w:r>
      <w:r>
        <w:rPr>
          <w:iCs/>
          <w:i/>
        </w:rPr>
        <w:t xml:space="preserve">J Trauma</w:t>
      </w:r>
      <w:r>
        <w:t xml:space="preserve"> </w:t>
      </w:r>
      <w:r>
        <w:rPr>
          <w:bCs/>
          <w:b/>
        </w:rPr>
        <w:t xml:space="preserve">34</w:t>
      </w:r>
      <w:r>
        <w:t xml:space="preserve">, 890–899 (1993).</w:t>
      </w:r>
    </w:p>
    <w:bookmarkEnd w:id="156"/>
    <w:bookmarkStart w:id="157" w:name="ref-Olson2001"/>
    <w:p>
      <w:pPr>
        <w:pStyle w:val="Bibliography"/>
      </w:pPr>
      <w:r>
        <w:t xml:space="preserve">19.</w:t>
      </w:r>
      <w:r>
        <w:t xml:space="preserve"> </w:t>
      </w:r>
      <w:r>
        <w:t xml:space="preserve">	</w:t>
      </w:r>
      <w:r>
        <w:t xml:space="preserve">Olson, C. J.</w:t>
      </w:r>
      <w:r>
        <w:t xml:space="preserve"> </w:t>
      </w:r>
      <w:r>
        <w:rPr>
          <w:iCs/>
          <w:i/>
        </w:rPr>
        <w:t xml:space="preserve">et al.</w:t>
      </w:r>
      <w:r>
        <w:t xml:space="preserve"> Influence of trauma system implementation on process of care delivered to seriously injured patients in rural trauma centers.</w:t>
      </w:r>
      <w:r>
        <w:t xml:space="preserve"> </w:t>
      </w:r>
      <w:r>
        <w:rPr>
          <w:iCs/>
          <w:i/>
        </w:rPr>
        <w:t xml:space="preserve">Surgery</w:t>
      </w:r>
      <w:r>
        <w:t xml:space="preserve"> </w:t>
      </w:r>
      <w:r>
        <w:rPr>
          <w:bCs/>
          <w:b/>
        </w:rPr>
        <w:t xml:space="preserve">130</w:t>
      </w:r>
      <w:r>
        <w:t xml:space="preserve">, 273–279 (2001).</w:t>
      </w:r>
    </w:p>
    <w:bookmarkEnd w:id="157"/>
    <w:bookmarkStart w:id="158" w:name="ref-vanOlden2004"/>
    <w:p>
      <w:pPr>
        <w:pStyle w:val="Bibliography"/>
      </w:pPr>
      <w:r>
        <w:t xml:space="preserve">20.</w:t>
      </w:r>
      <w:r>
        <w:t xml:space="preserve"> </w:t>
      </w:r>
      <w:r>
        <w:t xml:space="preserve">	</w:t>
      </w:r>
      <w:r>
        <w:t xml:space="preserve">Olden, G. D. J. van</w:t>
      </w:r>
      <w:r>
        <w:t xml:space="preserve"> </w:t>
      </w:r>
      <w:r>
        <w:rPr>
          <w:iCs/>
          <w:i/>
        </w:rPr>
        <w:t xml:space="preserve">et al.</w:t>
      </w:r>
      <w:r>
        <w:t xml:space="preserve"> Clinical impact of advanced trauma life support.</w:t>
      </w:r>
      <w:r>
        <w:t xml:space="preserve"> </w:t>
      </w:r>
      <w:r>
        <w:rPr>
          <w:iCs/>
          <w:i/>
        </w:rPr>
        <w:t xml:space="preserve">Am J Emerg Med</w:t>
      </w:r>
      <w:r>
        <w:t xml:space="preserve"> </w:t>
      </w:r>
      <w:r>
        <w:rPr>
          <w:bCs/>
          <w:b/>
        </w:rPr>
        <w:t xml:space="preserve">22</w:t>
      </w:r>
      <w:r>
        <w:t xml:space="preserve">, 522–525 (2004).</w:t>
      </w:r>
    </w:p>
    <w:bookmarkEnd w:id="158"/>
    <w:bookmarkStart w:id="159"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 J Traumatol</w:t>
      </w:r>
      <w:r>
        <w:t xml:space="preserve"> </w:t>
      </w:r>
      <w:r>
        <w:rPr>
          <w:bCs/>
          <w:b/>
        </w:rPr>
        <w:t xml:space="preserve">13</w:t>
      </w:r>
      <w:r>
        <w:t xml:space="preserve">, 341–344 (2010).</w:t>
      </w:r>
    </w:p>
    <w:bookmarkEnd w:id="159"/>
    <w:bookmarkStart w:id="160" w:name="ref-Drimousis2011"/>
    <w:p>
      <w:pPr>
        <w:pStyle w:val="Bibliography"/>
      </w:pPr>
      <w:r>
        <w:t xml:space="preserve">22.</w:t>
      </w:r>
      <w:r>
        <w:t xml:space="preserve"> </w:t>
      </w:r>
      <w:r>
        <w:t xml:space="preserve">	</w:t>
      </w:r>
      <w:r>
        <w:t xml:space="preserve">Drimousis, P. G.</w:t>
      </w:r>
      <w:r>
        <w:t xml:space="preserve"> </w:t>
      </w:r>
      <w:r>
        <w:rPr>
          <w:iCs/>
          <w:i/>
        </w:rPr>
        <w:t xml:space="preserve">et al.</w:t>
      </w:r>
      <w:r>
        <w:t xml:space="preserve"> Advanced trauma life support certified physicians in a non trauma system setting: Is it enough?</w:t>
      </w:r>
      <w:r>
        <w:t xml:space="preserve"> </w:t>
      </w:r>
      <w:r>
        <w:rPr>
          <w:iCs/>
          <w:i/>
        </w:rPr>
        <w:t xml:space="preserve">Resuscitation</w:t>
      </w:r>
      <w:r>
        <w:t xml:space="preserve"> </w:t>
      </w:r>
      <w:r>
        <w:rPr>
          <w:bCs/>
          <w:b/>
        </w:rPr>
        <w:t xml:space="preserve">82</w:t>
      </w:r>
      <w:r>
        <w:t xml:space="preserve">, 180–184 (2011).</w:t>
      </w:r>
    </w:p>
    <w:bookmarkEnd w:id="160"/>
    <w:bookmarkStart w:id="161" w:name="ref-Hashmi2013"/>
    <w:p>
      <w:pPr>
        <w:pStyle w:val="Bibliography"/>
      </w:pPr>
      <w:r>
        <w:t xml:space="preserve">23.</w:t>
      </w:r>
      <w:r>
        <w:t xml:space="preserve"> </w:t>
      </w:r>
      <w:r>
        <w:t xml:space="preserve">	</w:t>
      </w:r>
      <w:r>
        <w:t xml:space="preserve">Hashmi, Z. G.</w:t>
      </w:r>
      <w:r>
        <w:t xml:space="preserve"> </w:t>
      </w:r>
      <w:r>
        <w:rPr>
          <w:iCs/>
          <w:i/>
        </w:rPr>
        <w:t xml:space="preserve">et al.</w:t>
      </w:r>
      <w:r>
        <w:t xml:space="preserve"> Hospital-based trauma quality improvement initiatives.</w:t>
      </w:r>
      <w:r>
        <w:t xml:space="preserve"> </w:t>
      </w:r>
      <w:r>
        <w:rPr>
          <w:iCs/>
          <w:i/>
        </w:rPr>
        <w:t xml:space="preserve">J Trauma</w:t>
      </w:r>
      <w:r>
        <w:t xml:space="preserve"> </w:t>
      </w:r>
      <w:r>
        <w:rPr>
          <w:bCs/>
          <w:b/>
        </w:rPr>
        <w:t xml:space="preserve">75</w:t>
      </w:r>
      <w:r>
        <w:t xml:space="preserve">, 60–68 (2013).</w:t>
      </w:r>
    </w:p>
    <w:bookmarkEnd w:id="161"/>
    <w:bookmarkStart w:id="162" w:name="ref-Petroze2014"/>
    <w:p>
      <w:pPr>
        <w:pStyle w:val="Bibliography"/>
      </w:pPr>
      <w:r>
        <w:t xml:space="preserve">24.</w:t>
      </w:r>
      <w:r>
        <w:t xml:space="preserve"> </w:t>
      </w:r>
      <w:r>
        <w:t xml:space="preserve">	</w:t>
      </w:r>
      <w:r>
        <w:t xml:space="preserve">Petroze, R. T.</w:t>
      </w:r>
      <w:r>
        <w:t xml:space="preserve"> </w:t>
      </w:r>
      <w:r>
        <w:rPr>
          <w:iCs/>
          <w:i/>
        </w:rPr>
        <w:t xml:space="preserve">et al.</w:t>
      </w:r>
      <w:r>
        <w:t xml:space="preserve"> Can focused trauma education initiatives reduce mortality or improve resource utilization in a low-resource setting?</w:t>
      </w:r>
      <w:r>
        <w:t xml:space="preserve"> </w:t>
      </w:r>
      <w:r>
        <w:rPr>
          <w:iCs/>
          <w:i/>
        </w:rPr>
        <w:t xml:space="preserve">World J. Surg.</w:t>
      </w:r>
      <w:r>
        <w:t xml:space="preserve"> </w:t>
      </w:r>
      <w:r>
        <w:rPr>
          <w:bCs/>
          <w:b/>
        </w:rPr>
        <w:t xml:space="preserve">39</w:t>
      </w:r>
      <w:r>
        <w:t xml:space="preserve">, 926–933 (2014).</w:t>
      </w:r>
    </w:p>
    <w:bookmarkEnd w:id="162"/>
    <w:bookmarkStart w:id="163" w:name="ref-Bellanova2016"/>
    <w:p>
      <w:pPr>
        <w:pStyle w:val="Bibliography"/>
      </w:pPr>
      <w:r>
        <w:t xml:space="preserve">25.</w:t>
      </w:r>
      <w:r>
        <w:t xml:space="preserve"> </w:t>
      </w:r>
      <w:r>
        <w:t xml:space="preserve">	</w:t>
      </w:r>
      <w:r>
        <w:t xml:space="preserve">Giovanni Bellanova, R. B., Francesco Buccelletti. How formative courses about damage control surgery and non-operative management improved outcome and survival in unstable politrauma patients in a mountain trauma center.</w:t>
      </w:r>
      <w:r>
        <w:t xml:space="preserve"> </w:t>
      </w:r>
      <w:r>
        <w:rPr>
          <w:iCs/>
          <w:i/>
        </w:rPr>
        <w:t xml:space="preserve">Annali italiani di chirurgia</w:t>
      </w:r>
      <w:r>
        <w:t xml:space="preserve"> </w:t>
      </w:r>
      <w:r>
        <w:rPr>
          <w:bCs/>
          <w:b/>
        </w:rPr>
        <w:t xml:space="preserve">87</w:t>
      </w:r>
      <w:r>
        <w:t xml:space="preserve">, 68–74 (2016).</w:t>
      </w:r>
    </w:p>
    <w:bookmarkEnd w:id="163"/>
    <w:bookmarkStart w:id="164" w:name="ref-GerdinWärnberg2022"/>
    <w:p>
      <w:pPr>
        <w:pStyle w:val="Bibliography"/>
      </w:pPr>
      <w:r>
        <w:t xml:space="preserve">26.</w:t>
      </w:r>
      <w:r>
        <w:t xml:space="preserve"> </w:t>
      </w:r>
      <w:r>
        <w:t xml:space="preserve">	</w:t>
      </w:r>
      <w:r>
        <w:t xml:space="preserve">Gerdin Wärnberg, M.</w:t>
      </w:r>
      <w:r>
        <w:t xml:space="preserve"> </w:t>
      </w:r>
      <w:r>
        <w:rPr>
          <w:iCs/>
          <w:i/>
        </w:rPr>
        <w:t xml:space="preserve">et al.</w:t>
      </w:r>
      <w:r>
        <w:t xml:space="preserve"> A pilot multicentre cluster randomised trial to compare the effect of trauma life support training programmes on patient and provider outcomes.</w:t>
      </w:r>
      <w:r>
        <w:t xml:space="preserve"> </w:t>
      </w:r>
      <w:r>
        <w:rPr>
          <w:iCs/>
          <w:i/>
        </w:rPr>
        <w:t xml:space="preserve">BMJ Open</w:t>
      </w:r>
      <w:r>
        <w:t xml:space="preserve"> </w:t>
      </w:r>
      <w:r>
        <w:rPr>
          <w:bCs/>
          <w:b/>
        </w:rPr>
        <w:t xml:space="preserve">12</w:t>
      </w:r>
      <w:r>
        <w:t xml:space="preserve">, e057504 (2022).</w:t>
      </w:r>
    </w:p>
    <w:bookmarkEnd w:id="164"/>
    <w:bookmarkStart w:id="165" w:name="ref-Hemming2015"/>
    <w:p>
      <w:pPr>
        <w:pStyle w:val="Bibliography"/>
      </w:pPr>
      <w:r>
        <w:t xml:space="preserve">27.</w:t>
      </w:r>
      <w:r>
        <w:t xml:space="preserve"> </w:t>
      </w:r>
      <w:r>
        <w:t xml:space="preserve">	</w:t>
      </w:r>
      <w:r>
        <w:t xml:space="preserve">Hemming, K.</w:t>
      </w:r>
      <w:r>
        <w:t xml:space="preserve"> </w:t>
      </w:r>
      <w:r>
        <w:rPr>
          <w:iCs/>
          <w:i/>
        </w:rPr>
        <w:t xml:space="preserve">et al.</w:t>
      </w:r>
      <w:r>
        <w:t xml:space="preserve"> The stepped wedge cluster randomised trial: Rationale, design, analysis, and reporting.</w:t>
      </w:r>
      <w:r>
        <w:t xml:space="preserve"> </w:t>
      </w:r>
      <w:r>
        <w:rPr>
          <w:iCs/>
          <w:i/>
        </w:rPr>
        <w:t xml:space="preserve">BMJ</w:t>
      </w:r>
      <w:r>
        <w:t xml:space="preserve"> </w:t>
      </w:r>
      <w:r>
        <w:rPr>
          <w:bCs/>
          <w:b/>
        </w:rPr>
        <w:t xml:space="preserve">350</w:t>
      </w:r>
      <w:r>
        <w:t xml:space="preserve">, h391–h391 (2015).</w:t>
      </w:r>
    </w:p>
    <w:bookmarkEnd w:id="165"/>
    <w:bookmarkStart w:id="166" w:name="ref-Hemming2020May"/>
    <w:p>
      <w:pPr>
        <w:pStyle w:val="Bibliography"/>
      </w:pPr>
      <w:r>
        <w:t xml:space="preserve">28.</w:t>
      </w:r>
      <w:r>
        <w:t xml:space="preserve"> </w:t>
      </w:r>
      <w:r>
        <w:t xml:space="preserve">	</w:t>
      </w:r>
      <w:r>
        <w:t xml:space="preserve">Hemming, K.</w:t>
      </w:r>
      <w:r>
        <w:t xml:space="preserve"> </w:t>
      </w:r>
      <w:r>
        <w:rPr>
          <w:iCs/>
          <w:i/>
        </w:rPr>
        <w:t xml:space="preserve">et al.</w:t>
      </w:r>
      <w:r>
        <w:t xml:space="preserve"> Reflection on modern methods: When is a stepped-wedge cluster randomized trial a good study design choice?</w:t>
      </w:r>
      <w:r>
        <w:t xml:space="preserve"> </w:t>
      </w:r>
      <w:r>
        <w:rPr>
          <w:iCs/>
          <w:i/>
        </w:rPr>
        <w:t xml:space="preserve">Int J Epidemiol</w:t>
      </w:r>
      <w:r>
        <w:t xml:space="preserve"> </w:t>
      </w:r>
      <w:r>
        <w:rPr>
          <w:bCs/>
          <w:b/>
        </w:rPr>
        <w:t xml:space="preserve">49</w:t>
      </w:r>
      <w:r>
        <w:t xml:space="preserve">, 1043–1052 (2020).</w:t>
      </w:r>
    </w:p>
    <w:bookmarkEnd w:id="166"/>
    <w:bookmarkStart w:id="167" w:name="ref-Kasza2022"/>
    <w:p>
      <w:pPr>
        <w:pStyle w:val="Bibliography"/>
      </w:pPr>
      <w:r>
        <w:t xml:space="preserve">29.</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167"/>
    <w:bookmarkStart w:id="168" w:name="ref-harris_research_2009"/>
    <w:p>
      <w:pPr>
        <w:pStyle w:val="Bibliography"/>
      </w:pPr>
      <w:r>
        <w:t xml:space="preserve">30.</w:t>
      </w:r>
      <w:r>
        <w:t xml:space="preserve"> </w:t>
      </w:r>
      <w:r>
        <w:t xml:space="preserve">	</w:t>
      </w:r>
      <w:r>
        <w:t xml:space="preserve">Harris, P. A.</w:t>
      </w:r>
      <w:r>
        <w:t xml:space="preserve"> </w:t>
      </w:r>
      <w:r>
        <w:rPr>
          <w:iCs/>
          <w:i/>
        </w:rPr>
        <w:t xml:space="preserve">et al.</w:t>
      </w:r>
      <w:r>
        <w:t xml:space="preserve"> Research electronic data capture (</w:t>
      </w:r>
      <w:r>
        <w:t xml:space="preserve">REDCap</w:t>
      </w:r>
      <w:r>
        <w:t xml:space="preserve">)–a metadata-driven methodology and workflow process for providing translational research informatics support.</w:t>
      </w:r>
      <w:r>
        <w:t xml:space="preserve"> </w:t>
      </w:r>
      <w:r>
        <w:rPr>
          <w:iCs/>
          <w:i/>
        </w:rPr>
        <w:t xml:space="preserve">Journal of Biomedical Informatics</w:t>
      </w:r>
      <w:r>
        <w:t xml:space="preserve"> </w:t>
      </w:r>
      <w:r>
        <w:rPr>
          <w:bCs/>
          <w:b/>
        </w:rPr>
        <w:t xml:space="preserve">42</w:t>
      </w:r>
      <w:r>
        <w:t xml:space="preserve">, 377–381 (2009).</w:t>
      </w:r>
    </w:p>
    <w:bookmarkEnd w:id="168"/>
    <w:bookmarkStart w:id="169" w:name="ref-harris_redcap_2019"/>
    <w:p>
      <w:pPr>
        <w:pStyle w:val="Bibliography"/>
      </w:pPr>
      <w:r>
        <w:t xml:space="preserve">31.</w:t>
      </w:r>
      <w:r>
        <w:t xml:space="preserve"> </w:t>
      </w:r>
      <w:r>
        <w:t xml:space="preserve">	</w:t>
      </w:r>
      <w:r>
        <w:t xml:space="preserve">Harris, P. A.</w:t>
      </w:r>
      <w:r>
        <w:t xml:space="preserve"> </w:t>
      </w:r>
      <w:r>
        <w:rPr>
          <w:iCs/>
          <w:i/>
        </w:rPr>
        <w:t xml:space="preserve">et al.</w:t>
      </w:r>
      <w:r>
        <w:t xml:space="preserve"> The</w:t>
      </w:r>
      <w:r>
        <w:t xml:space="preserve"> </w:t>
      </w:r>
      <w:r>
        <w:t xml:space="preserve">REDCap</w:t>
      </w:r>
      <w:r>
        <w:t xml:space="preserve"> </w:t>
      </w:r>
      <w:r>
        <w:t xml:space="preserve">consortium:</w:t>
      </w:r>
      <w:r>
        <w:t xml:space="preserve"> </w:t>
      </w:r>
      <w:r>
        <w:t xml:space="preserve">Building</w:t>
      </w:r>
      <w:r>
        <w:t xml:space="preserve"> </w:t>
      </w:r>
      <w:r>
        <w:t xml:space="preserve">an international community of software platform partners.</w:t>
      </w:r>
      <w:r>
        <w:t xml:space="preserve"> </w:t>
      </w:r>
      <w:r>
        <w:rPr>
          <w:iCs/>
          <w:i/>
        </w:rPr>
        <w:t xml:space="preserve">Journal of Biomedical Informatics</w:t>
      </w:r>
      <w:r>
        <w:t xml:space="preserve"> </w:t>
      </w:r>
      <w:r>
        <w:rPr>
          <w:bCs/>
          <w:b/>
        </w:rPr>
        <w:t xml:space="preserve">95</w:t>
      </w:r>
      <w:r>
        <w:t xml:space="preserve">, 103208 (2019).</w:t>
      </w:r>
    </w:p>
    <w:bookmarkEnd w:id="169"/>
    <w:bookmarkStart w:id="170" w:name="ref-STEPCARE2023"/>
    <w:p>
      <w:pPr>
        <w:pStyle w:val="Bibliography"/>
      </w:pPr>
      <w:r>
        <w:t xml:space="preserve">32.</w:t>
      </w:r>
      <w:r>
        <w:t xml:space="preserve"> </w:t>
      </w:r>
      <w:r>
        <w:t xml:space="preserve">	</w:t>
      </w:r>
      <w:r>
        <w:t xml:space="preserve">Nielsen, Niklas. Sedation,</w:t>
      </w:r>
      <w:r>
        <w:t xml:space="preserve"> </w:t>
      </w:r>
      <w:r>
        <w:t xml:space="preserve">Temperature</w:t>
      </w:r>
      <w:r>
        <w:t xml:space="preserve"> </w:t>
      </w:r>
      <w:r>
        <w:t xml:space="preserve">and</w:t>
      </w:r>
      <w:r>
        <w:t xml:space="preserve"> </w:t>
      </w:r>
      <w:r>
        <w:t xml:space="preserve">Pressure</w:t>
      </w:r>
      <w:r>
        <w:t xml:space="preserve"> </w:t>
      </w:r>
      <w:r>
        <w:t xml:space="preserve">after</w:t>
      </w:r>
      <w:r>
        <w:t xml:space="preserve"> </w:t>
      </w:r>
      <w:r>
        <w:t xml:space="preserve">Cardiac</w:t>
      </w:r>
      <w:r>
        <w:t xml:space="preserve"> </w:t>
      </w:r>
      <w:r>
        <w:t xml:space="preserve">Arrest</w:t>
      </w:r>
      <w:r>
        <w:t xml:space="preserve"> </w:t>
      </w:r>
      <w:r>
        <w:t xml:space="preserve">and</w:t>
      </w:r>
      <w:r>
        <w:t xml:space="preserve"> </w:t>
      </w:r>
      <w:r>
        <w:t xml:space="preserve">Resuscitation</w:t>
      </w:r>
      <w:r>
        <w:t xml:space="preserve"> </w:t>
      </w:r>
      <w:r>
        <w:t xml:space="preserve">– the</w:t>
      </w:r>
      <w:r>
        <w:t xml:space="preserve"> </w:t>
      </w:r>
      <w:r>
        <w:t xml:space="preserve">STEPCARE</w:t>
      </w:r>
      <w:r>
        <w:t xml:space="preserve"> </w:t>
      </w:r>
      <w:r>
        <w:t xml:space="preserve">trial. (2023).</w:t>
      </w:r>
    </w:p>
    <w:bookmarkEnd w:id="170"/>
    <w:bookmarkStart w:id="171" w:name="ref-Diaz2021"/>
    <w:p>
      <w:pPr>
        <w:pStyle w:val="Bibliography"/>
      </w:pPr>
      <w:r>
        <w:t xml:space="preserve">33.</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171"/>
    <w:bookmarkStart w:id="172" w:name="ref-Li2020"/>
    <w:p>
      <w:pPr>
        <w:pStyle w:val="Bibliography"/>
      </w:pPr>
      <w:r>
        <w:t xml:space="preserve">34.</w:t>
      </w:r>
      <w:r>
        <w:t xml:space="preserve"> </w:t>
      </w:r>
      <w:r>
        <w:t xml:space="preserve">	</w:t>
      </w:r>
      <w:r>
        <w:t xml:space="preserve">Li, F.</w:t>
      </w:r>
      <w:r>
        <w:t xml:space="preserve"> </w:t>
      </w:r>
      <w:r>
        <w:rPr>
          <w:iCs/>
          <w:i/>
        </w:rPr>
        <w:t xml:space="preserve">et al.</w:t>
      </w:r>
      <w:r>
        <w:t xml:space="preserve"> Mixed-effects models for the design and analysis of stepped wedge cluster randomized trials: An overview.</w:t>
      </w:r>
      <w:r>
        <w:t xml:space="preserve"> </w:t>
      </w:r>
      <w:r>
        <w:rPr>
          <w:iCs/>
          <w:i/>
        </w:rPr>
        <w:t xml:space="preserve">Stat Methods Med Res</w:t>
      </w:r>
      <w:r>
        <w:t xml:space="preserve"> </w:t>
      </w:r>
      <w:r>
        <w:rPr>
          <w:bCs/>
          <w:b/>
        </w:rPr>
        <w:t xml:space="preserve">30</w:t>
      </w:r>
      <w:r>
        <w:t xml:space="preserve">, 612–639 (2020).</w:t>
      </w:r>
    </w:p>
    <w:bookmarkEnd w:id="172"/>
    <w:bookmarkStart w:id="173" w:name="ref-Campbell2005"/>
    <w:p>
      <w:pPr>
        <w:pStyle w:val="Bibliography"/>
      </w:pPr>
      <w:r>
        <w:t xml:space="preserve">35.</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173"/>
    <w:bookmarkStart w:id="174" w:name="ref-Eldridge2015"/>
    <w:p>
      <w:pPr>
        <w:pStyle w:val="Bibliography"/>
      </w:pPr>
      <w:r>
        <w:t xml:space="preserve">36.</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174"/>
    <w:bookmarkStart w:id="175" w:name="ref-Hemming2020Feb"/>
    <w:p>
      <w:pPr>
        <w:pStyle w:val="Bibliography"/>
      </w:pPr>
      <w:r>
        <w:t xml:space="preserve">37.</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175"/>
    <w:bookmarkStart w:id="176" w:name="ref-Martin2016"/>
    <w:p>
      <w:pPr>
        <w:pStyle w:val="Bibliography"/>
      </w:pPr>
      <w:r>
        <w:t xml:space="preserve">38.</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176"/>
    <w:bookmarkStart w:id="177" w:name="ref-Korevaar2021"/>
    <w:p>
      <w:pPr>
        <w:pStyle w:val="Bibliography"/>
      </w:pPr>
      <w:r>
        <w:t xml:space="preserve">39.</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177"/>
    <w:bookmarkStart w:id="178" w:name="ref-icmje_2024"/>
    <w:p>
      <w:pPr>
        <w:pStyle w:val="Bibliography"/>
      </w:pPr>
      <w:r>
        <w:t xml:space="preserve">40.</w:t>
      </w:r>
      <w:r>
        <w:t xml:space="preserve"> </w:t>
      </w:r>
      <w:r>
        <w:t xml:space="preserve">	</w:t>
      </w:r>
      <w:r>
        <w:t xml:space="preserve">ICMJE</w:t>
      </w:r>
      <w:r>
        <w:t xml:space="preserve"> </w:t>
      </w:r>
      <w:r>
        <w:t xml:space="preserve"> </w:t>
      </w:r>
      <w:r>
        <w:t xml:space="preserve">Recommendations</w:t>
      </w:r>
      <w:r>
        <w:t xml:space="preserve"> </w:t>
      </w:r>
      <w:r>
        <w:t xml:space="preserve"> </w:t>
      </w:r>
      <w:r>
        <w:t xml:space="preserve">Defining</w:t>
      </w:r>
      <w:r>
        <w:t xml:space="preserve"> </w:t>
      </w:r>
      <w:r>
        <w:t xml:space="preserve">the</w:t>
      </w:r>
      <w:r>
        <w:t xml:space="preserve"> </w:t>
      </w:r>
      <w:r>
        <w:t xml:space="preserve">Role</w:t>
      </w:r>
      <w:r>
        <w:t xml:space="preserve"> </w:t>
      </w:r>
      <w:r>
        <w:t xml:space="preserve">of</w:t>
      </w:r>
      <w:r>
        <w:t xml:space="preserve"> </w:t>
      </w:r>
      <w:r>
        <w:t xml:space="preserve">Authors</w:t>
      </w:r>
      <w:r>
        <w:t xml:space="preserve"> </w:t>
      </w:r>
      <w:r>
        <w:t xml:space="preserve">and</w:t>
      </w:r>
      <w:r>
        <w:t xml:space="preserve"> </w:t>
      </w:r>
      <w:r>
        <w:t xml:space="preserve">Contributors</w:t>
      </w:r>
      <w:r>
        <w:t xml:space="preserve">.</w:t>
      </w:r>
    </w:p>
    <w:bookmarkEnd w:id="178"/>
    <w:bookmarkEnd w:id="179"/>
    <w:bookmarkEnd w:id="180"/>
    <w:bookmarkStart w:id="214" w:name="appendices"/>
    <w:p>
      <w:pPr>
        <w:pStyle w:val="Heading1"/>
      </w:pPr>
      <w:r>
        <w:t xml:space="preserve">19. Appendices</w:t>
      </w:r>
    </w:p>
    <w:bookmarkStart w:id="193" w:name="X6651722c1859312d91791f28b527f979d4c4c33"/>
    <w:p>
      <w:pPr>
        <w:pStyle w:val="Heading2"/>
      </w:pPr>
      <w:r>
        <w:t xml:space="preserve">19.1 Initial hospital screening instrument</w:t>
      </w:r>
    </w:p>
    <w:p>
      <w:pPr>
        <w:pStyle w:val="FirstParagraph"/>
      </w:pPr>
      <w:r>
        <w:drawing>
          <wp:inline>
            <wp:extent cx="5334000" cy="7539317"/>
            <wp:effectExtent b="0" l="0" r="0" t="0"/>
            <wp:docPr descr="" title="" id="182" name="Picture"/>
            <a:graphic>
              <a:graphicData uri="http://schemas.openxmlformats.org/drawingml/2006/picture">
                <pic:pic>
                  <pic:nvPicPr>
                    <pic:cNvPr descr="./appendices/hospital-screening-instrument/hospital-screening-instrument-1.pdf" id="183" name="Picture"/>
                    <pic:cNvPicPr>
                      <a:picLocks noChangeArrowheads="1" noChangeAspect="1"/>
                    </pic:cNvPicPr>
                  </pic:nvPicPr>
                  <pic:blipFill>
                    <a:blip r:embed="rId181"/>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5" name="Picture"/>
            <a:graphic>
              <a:graphicData uri="http://schemas.openxmlformats.org/drawingml/2006/picture">
                <pic:pic>
                  <pic:nvPicPr>
                    <pic:cNvPr descr="./appendices/hospital-screening-instrument/hospital-screening-instrument-2.pdf" id="186" name="Picture"/>
                    <pic:cNvPicPr>
                      <a:picLocks noChangeArrowheads="1" noChangeAspect="1"/>
                    </pic:cNvPicPr>
                  </pic:nvPicPr>
                  <pic:blipFill>
                    <a:blip r:embed="rId184"/>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88" name="Picture"/>
            <a:graphic>
              <a:graphicData uri="http://schemas.openxmlformats.org/drawingml/2006/picture">
                <pic:pic>
                  <pic:nvPicPr>
                    <pic:cNvPr descr="./appendices/hospital-screening-instrument/hospital-screening-instrument-3.pdf" id="189" name="Picture"/>
                    <pic:cNvPicPr>
                      <a:picLocks noChangeArrowheads="1" noChangeAspect="1"/>
                    </pic:cNvPicPr>
                  </pic:nvPicPr>
                  <pic:blipFill>
                    <a:blip r:embed="rId187"/>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1" name="Picture"/>
            <a:graphic>
              <a:graphicData uri="http://schemas.openxmlformats.org/drawingml/2006/picture">
                <pic:pic>
                  <pic:nvPicPr>
                    <pic:cNvPr descr="./appendices/hospital-screening-instrument/hospital-screening-instrument-4.pdf" id="192" name="Picture"/>
                    <pic:cNvPicPr>
                      <a:picLocks noChangeArrowheads="1" noChangeAspect="1"/>
                    </pic:cNvPicPr>
                  </pic:nvPicPr>
                  <pic:blipFill>
                    <a:blip r:embed="rId190"/>
                    <a:stretch>
                      <a:fillRect/>
                    </a:stretch>
                  </pic:blipFill>
                  <pic:spPr bwMode="auto">
                    <a:xfrm>
                      <a:off x="0" y="0"/>
                      <a:ext cx="5334000" cy="7539317"/>
                    </a:xfrm>
                    <a:prstGeom prst="rect">
                      <a:avLst/>
                    </a:prstGeom>
                    <a:noFill/>
                    <a:ln w="9525">
                      <a:noFill/>
                      <a:headEnd/>
                      <a:tailEnd/>
                    </a:ln>
                  </pic:spPr>
                </pic:pic>
              </a:graphicData>
            </a:graphic>
          </wp:inline>
        </w:drawing>
      </w:r>
    </w:p>
    <w:bookmarkEnd w:id="193"/>
    <w:bookmarkStart w:id="212" w:name="X262d92c087f9db09afb96fa2e4272c0b9027027"/>
    <w:p>
      <w:pPr>
        <w:pStyle w:val="Heading2"/>
      </w:pPr>
      <w:r>
        <w:t xml:space="preserve">19.2 In-depth hospital screening interview instrument</w:t>
      </w:r>
    </w:p>
    <w:p>
      <w:pPr>
        <w:pStyle w:val="FirstParagraph"/>
      </w:pPr>
      <w:r>
        <w:drawing>
          <wp:inline>
            <wp:extent cx="5334000" cy="7539317"/>
            <wp:effectExtent b="0" l="0" r="0" t="0"/>
            <wp:docPr descr="" title="" id="195" name="Picture"/>
            <a:graphic>
              <a:graphicData uri="http://schemas.openxmlformats.org/drawingml/2006/picture">
                <pic:pic>
                  <pic:nvPicPr>
                    <pic:cNvPr descr="./appendices/hospital-screening-interview-instrument/hospital-screening-interview-1.pdf" id="196" name="Picture"/>
                    <pic:cNvPicPr>
                      <a:picLocks noChangeArrowheads="1" noChangeAspect="1"/>
                    </pic:cNvPicPr>
                  </pic:nvPicPr>
                  <pic:blipFill>
                    <a:blip r:embed="rId194"/>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198" name="Picture"/>
            <a:graphic>
              <a:graphicData uri="http://schemas.openxmlformats.org/drawingml/2006/picture">
                <pic:pic>
                  <pic:nvPicPr>
                    <pic:cNvPr descr="./appendices/hospital-screening-interview-instrument/hospital-screening-interview-2.pdf" id="199" name="Picture"/>
                    <pic:cNvPicPr>
                      <a:picLocks noChangeArrowheads="1" noChangeAspect="1"/>
                    </pic:cNvPicPr>
                  </pic:nvPicPr>
                  <pic:blipFill>
                    <a:blip r:embed="rId197"/>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1" name="Picture"/>
            <a:graphic>
              <a:graphicData uri="http://schemas.openxmlformats.org/drawingml/2006/picture">
                <pic:pic>
                  <pic:nvPicPr>
                    <pic:cNvPr descr="./appendices/hospital-screening-interview-instrument/hospital-screening-interview-3.pdf" id="202" name="Picture"/>
                    <pic:cNvPicPr>
                      <a:picLocks noChangeArrowheads="1" noChangeAspect="1"/>
                    </pic:cNvPicPr>
                  </pic:nvPicPr>
                  <pic:blipFill>
                    <a:blip r:embed="rId200"/>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4" name="Picture"/>
            <a:graphic>
              <a:graphicData uri="http://schemas.openxmlformats.org/drawingml/2006/picture">
                <pic:pic>
                  <pic:nvPicPr>
                    <pic:cNvPr descr="./appendices/hospital-screening-interview-instrument/hospital-screening-interview-4.pdf" id="205" name="Picture"/>
                    <pic:cNvPicPr>
                      <a:picLocks noChangeArrowheads="1" noChangeAspect="1"/>
                    </pic:cNvPicPr>
                  </pic:nvPicPr>
                  <pic:blipFill>
                    <a:blip r:embed="rId203"/>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07" name="Picture"/>
            <a:graphic>
              <a:graphicData uri="http://schemas.openxmlformats.org/drawingml/2006/picture">
                <pic:pic>
                  <pic:nvPicPr>
                    <pic:cNvPr descr="./appendices/hospital-screening-interview-instrument/hospital-screening-interview-5.pdf" id="208" name="Picture"/>
                    <pic:cNvPicPr>
                      <a:picLocks noChangeArrowheads="1" noChangeAspect="1"/>
                    </pic:cNvPicPr>
                  </pic:nvPicPr>
                  <pic:blipFill>
                    <a:blip r:embed="rId206"/>
                    <a:stretch>
                      <a:fillRect/>
                    </a:stretch>
                  </pic:blipFill>
                  <pic:spPr bwMode="auto">
                    <a:xfrm>
                      <a:off x="0" y="0"/>
                      <a:ext cx="5334000" cy="7539317"/>
                    </a:xfrm>
                    <a:prstGeom prst="rect">
                      <a:avLst/>
                    </a:prstGeom>
                    <a:noFill/>
                    <a:ln w="9525">
                      <a:noFill/>
                      <a:headEnd/>
                      <a:tailEnd/>
                    </a:ln>
                  </pic:spPr>
                </pic:pic>
              </a:graphicData>
            </a:graphic>
          </wp:inline>
        </w:drawing>
      </w:r>
    </w:p>
    <w:p>
      <w:pPr>
        <w:pStyle w:val="BodyText"/>
      </w:pPr>
      <w:r>
        <w:drawing>
          <wp:inline>
            <wp:extent cx="5334000" cy="7539317"/>
            <wp:effectExtent b="0" l="0" r="0" t="0"/>
            <wp:docPr descr="" title="" id="210" name="Picture"/>
            <a:graphic>
              <a:graphicData uri="http://schemas.openxmlformats.org/drawingml/2006/picture">
                <pic:pic>
                  <pic:nvPicPr>
                    <pic:cNvPr descr="./appendices/hospital-screening-interview-instrument/hospital-screening-interview-6.pdf" id="211" name="Picture"/>
                    <pic:cNvPicPr>
                      <a:picLocks noChangeArrowheads="1" noChangeAspect="1"/>
                    </pic:cNvPicPr>
                  </pic:nvPicPr>
                  <pic:blipFill>
                    <a:blip r:embed="rId209"/>
                    <a:stretch>
                      <a:fillRect/>
                    </a:stretch>
                  </pic:blipFill>
                  <pic:spPr bwMode="auto">
                    <a:xfrm>
                      <a:off x="0" y="0"/>
                      <a:ext cx="5334000" cy="7539317"/>
                    </a:xfrm>
                    <a:prstGeom prst="rect">
                      <a:avLst/>
                    </a:prstGeom>
                    <a:noFill/>
                    <a:ln w="9525">
                      <a:noFill/>
                      <a:headEnd/>
                      <a:tailEnd/>
                    </a:ln>
                  </pic:spPr>
                </pic:pic>
              </a:graphicData>
            </a:graphic>
          </wp:inline>
        </w:drawing>
      </w:r>
    </w:p>
    <w:bookmarkEnd w:id="212"/>
    <w:bookmarkStart w:id="213" w:name="sec-appendix-case-record-form"/>
    <w:p>
      <w:pPr>
        <w:pStyle w:val="Heading2"/>
      </w:pPr>
      <w:r>
        <w:t xml:space="preserve">19.3 Case Record Form</w:t>
      </w:r>
    </w:p>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40">
    <w:p>
      <w:pPr>
        <w:pStyle w:val="FootnoteText"/>
      </w:pPr>
      <w:r>
        <w:rPr>
          <w:rStyle w:val="FootnoteReference"/>
        </w:rPr>
        <w:footnoteRef/>
      </w:r>
      <w:r>
        <w:t xml:space="preserve"> </w:t>
      </w:r>
      <w:r>
        <w:t xml:space="preserve">These include but are not limited to implementing of a trauma team approach, opening a trauma centre and implementing a trauma quality improvement programme.</w:t>
      </w:r>
    </w:p>
  </w:footnote>
  <w:footnote w:id="60">
    <w:p>
      <w:pPr>
        <w:pStyle w:val="FootnoteText"/>
      </w:pPr>
      <w:r>
        <w:rPr>
          <w:rStyle w:val="FootnoteReference"/>
        </w:rPr>
        <w:footnoteRef/>
      </w:r>
      <w:r>
        <w:t xml:space="preserve"> </w:t>
      </w:r>
      <w:r>
        <w:t xml:space="preserve">Randomization will be done using bespoke code from previous trials.</w:t>
      </w:r>
    </w:p>
  </w:footnote>
  <w:footnote w:id="74">
    <w:p>
      <w:pPr>
        <w:pStyle w:val="FootnoteText"/>
      </w:pPr>
      <w:r>
        <w:rPr>
          <w:rStyle w:val="FootnoteReference"/>
        </w:rPr>
        <w:footnoteRef/>
      </w:r>
      <w:r>
        <w:t xml:space="preserve"> </w:t>
      </w:r>
      <w:r>
        <w:rPr>
          <w:bCs/>
          <w:b/>
        </w:rPr>
        <w:t xml:space="preserve">Note:</w:t>
      </w:r>
      <w:r>
        <w:t xml:space="preserve"> </w:t>
      </w:r>
      <w:r>
        <w:t xml:space="preserve">Batches will not be based on regions because it will be logistically more feasible to include clusters from different regions in each batch.</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image" Id="rId181" Target="media/rId181.pdf" /><Relationship Type="http://schemas.openxmlformats.org/officeDocument/2006/relationships/image" Id="rId184" Target="media/rId184.pdf" /><Relationship Type="http://schemas.openxmlformats.org/officeDocument/2006/relationships/image" Id="rId187" Target="media/rId187.pdf" /><Relationship Type="http://schemas.openxmlformats.org/officeDocument/2006/relationships/image" Id="rId190" Target="media/rId190.pdf" /><Relationship Type="http://schemas.openxmlformats.org/officeDocument/2006/relationships/image" Id="rId194" Target="media/rId194.pdf" /><Relationship Type="http://schemas.openxmlformats.org/officeDocument/2006/relationships/image" Id="rId197" Target="media/rId197.pdf" /><Relationship Type="http://schemas.openxmlformats.org/officeDocument/2006/relationships/image" Id="rId200" Target="media/rId200.pdf" /><Relationship Type="http://schemas.openxmlformats.org/officeDocument/2006/relationships/image" Id="rId203" Target="media/rId203.pdf" /><Relationship Type="http://schemas.openxmlformats.org/officeDocument/2006/relationships/image" Id="rId206" Target="media/rId206.pdf" /><Relationship Type="http://schemas.openxmlformats.org/officeDocument/2006/relationships/image" Id="rId209" Target="media/rId209.pdf" /><Relationship Type="http://schemas.openxmlformats.org/officeDocument/2006/relationships/image" Id="rId79" Target="media/rId79.pdf" /><Relationship Type="http://schemas.openxmlformats.org/officeDocument/2006/relationships/image" Id="rId22" Target="media/rId22.pdf" /><Relationship Type="http://schemas.openxmlformats.org/officeDocument/2006/relationships/image" Id="rId32" Target="media/rId3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2024-02-22T05:53:06Z</dcterms:created>
  <dcterms:modified xsi:type="dcterms:W3CDTF">2024-02-22T05:53:06Z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subtitle">
    <vt:lpwstr>Clinical Trial Protocol Version 0.6.1 2024-02-22</vt:lpwstr>
  </property>
  <property fmtid="{D5CDD505-2E9C-101B-9397-08002B2CF9AE}" pid="13" name="toc-title">
    <vt:lpwstr>Table of contents</vt:lpwstr>
  </property>
</Properties>
</file>