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Trial</w:t>
      </w:r>
      <w:r>
        <w:t xml:space="preserve"> </w:t>
      </w:r>
      <w:r>
        <w:t xml:space="preserve">Protocol</w:t>
      </w:r>
    </w:p>
    <w:p>
      <w:pPr>
        <w:pStyle w:val="Sub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Version number: 0.9</w:t>
      </w:r>
    </w:p>
    <w:p>
      <w:pPr>
        <w:pStyle w:val="BodyText"/>
      </w:pPr>
      <w:r>
        <w:t xml:space="preserve">Date: 2023-12-04</w:t>
      </w:r>
    </w:p>
    <w:p>
      <w:pPr>
        <w:pStyle w:val="BodyText"/>
      </w:pPr>
      <w:r>
        <w:t xml:space="preserve">Sponsor: Karolinska Institutet</w:t>
      </w:r>
    </w:p>
    <w:p>
      <w:pPr>
        <w:pStyle w:val="BodyText"/>
      </w:pPr>
      <w:r>
        <w:t xml:space="preserve">Co-sponsor: The George Institute for Global Health, India</w:t>
      </w:r>
    </w:p>
    <w:p>
      <w:pPr>
        <w:pStyle w:val="BodyText"/>
      </w:pPr>
      <w:r>
        <w:t xml:space="preserve">Principal Investigator: Martin Gerdin Wärnberg</w:t>
      </w:r>
    </w:p>
    <w:p>
      <w:r>
        <w:br w:type="page"/>
      </w:r>
    </w:p>
    <w:bookmarkStart w:id="20" w:name="roles-and-contact-information"/>
    <w:p>
      <w:pPr>
        <w:pStyle w:val="Heading1"/>
      </w:pPr>
      <w:r>
        <w:t xml:space="preserve">1. Roles and Contact information</w:t>
      </w:r>
    </w:p>
    <w:p>
      <w:pPr>
        <w:pStyle w:val="FirstParagraph"/>
      </w:pPr>
      <w:r>
        <w:rPr>
          <w:iCs/>
          <w:i/>
        </w:rPr>
        <w:t xml:space="preserve">List the name, role in the trial, contact address, telephone number,</w:t>
      </w:r>
      <w:r>
        <w:rPr>
          <w:iCs/>
          <w:i/>
        </w:rPr>
        <w:t xml:space="preserve"> </w:t>
      </w:r>
      <w:r>
        <w:rPr>
          <w:iCs/>
          <w:i/>
        </w:rPr>
        <w:t xml:space="preserve">and email for all involved in the trial (Sponsor, eventual Co-sponsor,</w:t>
      </w:r>
      <w:r>
        <w:rPr>
          <w:iCs/>
          <w:i/>
        </w:rPr>
        <w:t xml:space="preserve"> </w:t>
      </w:r>
      <w:r>
        <w:rPr>
          <w:iCs/>
          <w:i/>
        </w:rPr>
        <w:t xml:space="preserve">Coordinating Investigator/Principal Investigator, clinical monitoring</w:t>
      </w:r>
      <w:r>
        <w:rPr>
          <w:iCs/>
          <w:i/>
        </w:rPr>
        <w:t xml:space="preserve"> </w:t>
      </w:r>
      <w:r>
        <w:rPr>
          <w:iCs/>
          <w:i/>
        </w:rPr>
        <w:t xml:space="preserve">organization if appointed, etc.). Add rows if needed for the trial.</w:t>
      </w:r>
    </w:p>
    <w:p>
      <w:pPr>
        <w:pStyle w:val="BodyText"/>
      </w:pPr>
      <w:r>
        <w:rPr>
          <w:iCs/>
          <w:i/>
        </w:rPr>
        <w:t xml:space="preserve">Contact details must be provided for the sponsor; name and address and</w:t>
      </w:r>
      <w:r>
        <w:rPr>
          <w:iCs/>
          <w:i/>
        </w:rPr>
        <w:t xml:space="preserve"> </w:t>
      </w:r>
      <w:r>
        <w:rPr>
          <w:iCs/>
          <w:i/>
        </w:rPr>
        <w:t xml:space="preserve">the name and responsibilities of the sponsor's representative and any</w:t>
      </w:r>
      <w:r>
        <w:rPr>
          <w:iCs/>
          <w:i/>
        </w:rPr>
        <w:t xml:space="preserve"> </w:t>
      </w:r>
      <w:r>
        <w:rPr>
          <w:iCs/>
          <w:i/>
        </w:rPr>
        <w:t xml:space="preserve">co-sponsors authorised to sign the clinical trial protocol or any</w:t>
      </w:r>
      <w:r>
        <w:rPr>
          <w:iCs/>
          <w:i/>
        </w:rPr>
        <w:t xml:space="preserve"> </w:t>
      </w:r>
      <w:r>
        <w:rPr>
          <w:iCs/>
          <w:i/>
        </w:rPr>
        <w:t xml:space="preserve">eventual amendments of this.</w:t>
      </w:r>
    </w:p>
    <w:p>
      <w:pPr>
        <w:pStyle w:val="BodyText"/>
      </w:pPr>
      <w:r>
        <w:rPr>
          <w:iCs/>
          <w:i/>
        </w:rPr>
        <w:t xml:space="preserve">In order to avoid liability issues in clinical trials with multiple</w:t>
      </w:r>
      <w:r>
        <w:rPr>
          <w:iCs/>
          <w:i/>
        </w:rPr>
        <w:t xml:space="preserve"> </w:t>
      </w:r>
      <w:r>
        <w:rPr>
          <w:iCs/>
          <w:i/>
        </w:rPr>
        <w:t xml:space="preserve">sponsors, all sponsors shall be subject to the liability of one sponsor</w:t>
      </w:r>
      <w:r>
        <w:rPr>
          <w:iCs/>
          <w:i/>
        </w:rPr>
        <w:t xml:space="preserve"> </w:t>
      </w:r>
      <w:r>
        <w:rPr>
          <w:iCs/>
          <w:i/>
        </w:rPr>
        <w:t xml:space="preserve">unless they otherwise agree in a written agreement.</w:t>
      </w:r>
    </w:p>
    <w:tbl>
      <w:tblPr>
        <w:tblStyle w:val="Table"/>
        <w:tblW w:type="pct" w:w="4931"/>
        <w:tblLook w:firstRow="1" w:lastRow="0" w:firstColumn="0" w:lastColumn="0" w:noHBand="0" w:noVBand="0" w:val="0020"/>
        <w:jc w:val="start"/>
      </w:tblPr>
      <w:tblGrid>
        <w:gridCol w:w="3960"/>
        <w:gridCol w:w="3850"/>
      </w:tblGrid>
      <w:tr>
        <w:trPr>
          <w:tblHeader w:val="true"/>
        </w:trPr>
        <w:tc>
          <w:tcPr/>
          <w:p>
            <w:pPr>
              <w:pStyle w:val="Compact"/>
              <w:jc w:val="left"/>
            </w:pPr>
            <w:r>
              <w:rPr>
                <w:bCs/>
                <w:b/>
              </w:rPr>
              <w:t xml:space="preserve">Responsibility in the clinical</w:t>
            </w:r>
            <w:r>
              <w:rPr>
                <w:bCs/>
                <w:b/>
              </w:rPr>
              <w:t xml:space="preserve"> </w:t>
            </w:r>
            <w:r>
              <w:rPr>
                <w:bCs/>
                <w:b/>
              </w:rPr>
              <w:t xml:space="preserve">trial</w:t>
            </w:r>
          </w:p>
        </w:tc>
        <w:tc>
          <w:tcPr/>
          <w:p>
            <w:pPr>
              <w:pStyle w:val="Compact"/>
            </w:pPr>
          </w:p>
        </w:tc>
      </w:tr>
      <w:tr>
        <w:tc>
          <w:tcPr/>
          <w:p>
            <w:pPr>
              <w:jc w:val="left"/>
            </w:pPr>
            <w:r>
              <w:t xml:space="preserve">Sponsor</w:t>
            </w:r>
          </w:p>
          <w:p>
            <w:pPr>
              <w:jc w:val="left"/>
            </w:pPr>
            <w:r>
              <w:t xml:space="preserve">Responsibility:</w:t>
            </w:r>
          </w:p>
          <w:p>
            <w:pPr>
              <w:numPr>
                <w:ilvl w:val="0"/>
                <w:numId w:val="1001"/>
              </w:numPr>
              <w:jc w:val="left"/>
            </w:pPr>
            <w:r>
              <w:t xml:space="preserve">X</w:t>
            </w:r>
          </w:p>
          <w:p>
            <w:pPr>
              <w:numPr>
                <w:ilvl w:val="0"/>
                <w:numId w:val="1001"/>
              </w:numPr>
              <w:jc w:val="left"/>
            </w:pPr>
            <w:r>
              <w:t xml:space="preserve">Y</w:t>
            </w:r>
          </w:p>
        </w:tc>
        <w:tc>
          <w:tcPr/>
          <w:p>
            <w:pPr>
              <w:jc w:val="left"/>
            </w:pPr>
            <w:r>
              <w:t xml:space="preserve">&lt;&lt;Name, title&gt;&gt;</w:t>
            </w:r>
          </w:p>
          <w:p>
            <w:pPr>
              <w:jc w:val="left"/>
            </w:pPr>
            <w:r>
              <w:t xml:space="preserve">&lt;&lt;Site/Institution&gt;&gt;</w:t>
            </w:r>
          </w:p>
          <w:p>
            <w:pPr>
              <w:jc w:val="left"/>
            </w:pPr>
            <w:r>
              <w:t xml:space="preserve">&lt;&lt;Contact address&gt;&gt;</w:t>
            </w:r>
          </w:p>
          <w:p>
            <w:pPr>
              <w:jc w:val="left"/>
            </w:pPr>
            <w:r>
              <w:t xml:space="preserve">&lt;&lt;Telephone number&gt;&gt;</w:t>
            </w:r>
          </w:p>
          <w:p>
            <w:pPr>
              <w:jc w:val="left"/>
            </w:pPr>
            <w:r>
              <w:t xml:space="preserve">&lt;&lt;Email&gt;&gt;</w:t>
            </w:r>
          </w:p>
        </w:tc>
      </w:tr>
      <w:tr>
        <w:tc>
          <w:tcPr/>
          <w:p>
            <w:pPr>
              <w:jc w:val="left"/>
            </w:pPr>
            <w:r>
              <w:t xml:space="preserve">Co-sponsor</w:t>
            </w:r>
          </w:p>
          <w:p>
            <w:pPr>
              <w:jc w:val="left"/>
            </w:pPr>
            <w:r>
              <w:t xml:space="preserve">Responsibility:</w:t>
            </w:r>
          </w:p>
          <w:p>
            <w:pPr>
              <w:numPr>
                <w:ilvl w:val="0"/>
                <w:numId w:val="1002"/>
              </w:numPr>
              <w:jc w:val="left"/>
            </w:pPr>
            <w:r>
              <w:t xml:space="preserve">X</w:t>
            </w:r>
          </w:p>
          <w:p>
            <w:pPr>
              <w:numPr>
                <w:ilvl w:val="0"/>
                <w:numId w:val="1002"/>
              </w:numPr>
              <w:jc w:val="left"/>
            </w:pPr>
            <w:r>
              <w:t xml:space="preserve">Y</w:t>
            </w:r>
          </w:p>
        </w:tc>
        <w:tc>
          <w:tcPr/>
          <w:p>
            <w:pPr>
              <w:pStyle w:val="Compact"/>
            </w:pPr>
          </w:p>
        </w:tc>
      </w:tr>
      <w:tr>
        <w:tc>
          <w:tcPr/>
          <w:p>
            <w:pPr>
              <w:jc w:val="left"/>
            </w:pPr>
            <w:r>
              <w:rPr>
                <w:iCs/>
                <w:i/>
              </w:rPr>
              <w:t xml:space="preserve">Coordinating Investigator /</w:t>
            </w:r>
            <w:r>
              <w:rPr>
                <w:iCs/>
                <w:i/>
              </w:rPr>
              <w:t xml:space="preserve"> </w:t>
            </w:r>
            <w:r>
              <w:rPr>
                <w:iCs/>
                <w:i/>
              </w:rPr>
              <w:t xml:space="preserve">Principal Investigator</w:t>
            </w:r>
          </w:p>
          <w:p>
            <w:pPr>
              <w:jc w:val="left"/>
            </w:pPr>
            <w:r>
              <w:t xml:space="preserve">Responsibility:</w:t>
            </w:r>
          </w:p>
          <w:p>
            <w:pPr>
              <w:numPr>
                <w:ilvl w:val="0"/>
                <w:numId w:val="1003"/>
              </w:numPr>
              <w:jc w:val="left"/>
            </w:pPr>
            <w:r>
              <w:t xml:space="preserve">X</w:t>
            </w:r>
          </w:p>
          <w:p>
            <w:pPr>
              <w:numPr>
                <w:ilvl w:val="0"/>
                <w:numId w:val="1003"/>
              </w:numPr>
              <w:jc w:val="left"/>
            </w:pPr>
            <w:r>
              <w:t xml:space="preserve">Y</w:t>
            </w:r>
          </w:p>
        </w:tc>
        <w:tc>
          <w:tcPr/>
          <w:p>
            <w:pPr>
              <w:pStyle w:val="Compact"/>
            </w:pPr>
          </w:p>
        </w:tc>
      </w:tr>
      <w:tr>
        <w:tc>
          <w:tcPr/>
          <w:p>
            <w:pPr>
              <w:pStyle w:val="Compact"/>
              <w:jc w:val="left"/>
            </w:pPr>
            <w:r>
              <w:rPr>
                <w:iCs/>
                <w:i/>
              </w:rPr>
              <w:t xml:space="preserve">Specify others involved:</w:t>
            </w:r>
            <w:r>
              <w:br/>
            </w:r>
            <w:r>
              <w:rPr>
                <w:iCs/>
                <w:i/>
              </w:rPr>
              <w:t xml:space="preserve">Clinical monitoring organization,</w:t>
            </w:r>
            <w:r>
              <w:rPr>
                <w:iCs/>
                <w:i/>
              </w:rPr>
              <w:t xml:space="preserve"> </w:t>
            </w:r>
            <w:r>
              <w:rPr>
                <w:iCs/>
                <w:i/>
              </w:rPr>
              <w:t xml:space="preserve">project management, statistics or</w:t>
            </w:r>
            <w:r>
              <w:rPr>
                <w:iCs/>
                <w:i/>
              </w:rPr>
              <w:t xml:space="preserve"> </w:t>
            </w:r>
            <w:r>
              <w:rPr>
                <w:iCs/>
                <w:i/>
              </w:rPr>
              <w:t xml:space="preserve">data management.</w:t>
            </w:r>
          </w:p>
        </w:tc>
        <w:tc>
          <w:tcPr/>
          <w:p>
            <w:pPr>
              <w:pStyle w:val="Compact"/>
            </w:pPr>
          </w:p>
        </w:tc>
      </w:tr>
    </w:tbl>
    <w:p>
      <w:r>
        <w:br w:type="page"/>
      </w:r>
    </w:p>
    <w:bookmarkEnd w:id="20"/>
    <w:bookmarkStart w:id="21" w:name="list-of-used-acronyms-and-abbreviations"/>
    <w:p>
      <w:pPr>
        <w:pStyle w:val="Heading1"/>
      </w:pPr>
      <w:r>
        <w:t xml:space="preserve">2. List of used acronyms and abbreviations</w:t>
      </w:r>
    </w:p>
    <w:p>
      <w:pPr>
        <w:pStyle w:val="FirstParagraph"/>
      </w:pPr>
      <w:r>
        <w:rPr>
          <w:iCs/>
          <w:i/>
        </w:rPr>
        <w:t xml:space="preserve">List all abbreviations used in the protocol. Each term should be</w:t>
      </w:r>
      <w:r>
        <w:rPr>
          <w:iCs/>
          <w:i/>
        </w:rPr>
        <w:t xml:space="preserve"> </w:t>
      </w:r>
      <w:r>
        <w:rPr>
          <w:iCs/>
          <w:i/>
        </w:rPr>
        <w:t xml:space="preserve">written out fully the first time it is used in the protocol, with the</w:t>
      </w:r>
      <w:r>
        <w:rPr>
          <w:iCs/>
          <w:i/>
        </w:rPr>
        <w:t xml:space="preserve"> </w:t>
      </w:r>
      <w:r>
        <w:rPr>
          <w:iCs/>
          <w:i/>
        </w:rPr>
        <w:t xml:space="preserve">abbreviation in parentheses. Examples of common abbreviations are shown</w:t>
      </w:r>
      <w:r>
        <w:rPr>
          <w:iCs/>
          <w:i/>
        </w:rPr>
        <w:t xml:space="preserve"> </w:t>
      </w:r>
      <w:r>
        <w:rPr>
          <w:iCs/>
          <w:i/>
        </w:rPr>
        <w:t xml:space="preserve">below but this list should be adapted to your trial; add and/or remove</w:t>
      </w:r>
      <w:r>
        <w:rPr>
          <w:iCs/>
          <w:i/>
        </w:rPr>
        <w:t xml:space="preserve"> </w:t>
      </w:r>
      <w:r>
        <w:rPr>
          <w:iCs/>
          <w:i/>
        </w:rPr>
        <w:t xml:space="preserve">rows as needed.</w:t>
      </w:r>
    </w:p>
    <w:tbl>
      <w:tblPr>
        <w:tblStyle w:val="Table"/>
        <w:tblW w:type="pct" w:w="4870"/>
        <w:tblLook w:firstRow="1" w:lastRow="0" w:firstColumn="0" w:lastColumn="0" w:noHBand="0" w:noVBand="0" w:val="0020"/>
        <w:jc w:val="start"/>
      </w:tblPr>
      <w:tblGrid>
        <w:gridCol w:w="1954"/>
        <w:gridCol w:w="5760"/>
      </w:tblGrid>
      <w:tr>
        <w:trPr>
          <w:tblHeader w:val="true"/>
        </w:trPr>
        <w:tc>
          <w:tcPr/>
          <w:p>
            <w:pPr>
              <w:pStyle w:val="Compact"/>
              <w:jc w:val="left"/>
            </w:pPr>
            <w:r>
              <w:rPr>
                <w:bCs/>
                <w:b/>
              </w:rPr>
              <w:t xml:space="preserve">Abbreviation</w:t>
            </w:r>
          </w:p>
        </w:tc>
        <w:tc>
          <w:tcPr/>
          <w:p>
            <w:pPr>
              <w:pStyle w:val="Compact"/>
              <w:jc w:val="left"/>
            </w:pPr>
            <w:r>
              <w:rPr>
                <w:bCs/>
                <w:b/>
              </w:rPr>
              <w:t xml:space="preserve">Term/Explanation</w:t>
            </w:r>
          </w:p>
        </w:tc>
      </w:tr>
      <w:tr>
        <w:tc>
          <w:tcPr/>
          <w:p>
            <w:pPr>
              <w:pStyle w:val="Compact"/>
              <w:jc w:val="left"/>
            </w:pPr>
            <w:r>
              <w:t xml:space="preserve">Adverse Event (AE)</w:t>
            </w:r>
          </w:p>
        </w:tc>
        <w:tc>
          <w:tcPr/>
          <w:p>
            <w:pPr>
              <w:pStyle w:val="Compact"/>
              <w:jc w:val="left"/>
            </w:pPr>
            <w:r>
              <w:t xml:space="preserve">Any untoward medical occurrence in a subject to whom a</w:t>
            </w:r>
            <w:r>
              <w:t xml:space="preserve"> </w:t>
            </w:r>
            <w:r>
              <w:t xml:space="preserve">medicinal product is administered and which does not</w:t>
            </w:r>
            <w:r>
              <w:t xml:space="preserve"> </w:t>
            </w:r>
            <w:r>
              <w:t xml:space="preserve">necessarily have a causal relationship with this</w:t>
            </w:r>
            <w:r>
              <w:t xml:space="preserve"> </w:t>
            </w:r>
            <w:r>
              <w:t xml:space="preserve">treatment.</w:t>
            </w:r>
          </w:p>
        </w:tc>
      </w:tr>
      <w:tr>
        <w:tc>
          <w:tcPr/>
          <w:p>
            <w:pPr>
              <w:pStyle w:val="Compact"/>
              <w:jc w:val="left"/>
            </w:pPr>
            <w:r>
              <w:t xml:space="preserve">Serious Adverse</w:t>
            </w:r>
            <w:r>
              <w:t xml:space="preserve"> </w:t>
            </w:r>
            <w:r>
              <w:t xml:space="preserve">Event (SAE)</w:t>
            </w:r>
          </w:p>
        </w:tc>
        <w:tc>
          <w:tcPr/>
          <w:p>
            <w:pPr>
              <w:pStyle w:val="Compact"/>
              <w:jc w:val="left"/>
            </w:pPr>
            <w:r>
              <w:t xml:space="preserve">Any untoward medical occurrence that at any dose</w:t>
            </w:r>
            <w:r>
              <w:t xml:space="preserve"> </w:t>
            </w:r>
            <w:r>
              <w:t xml:space="preserve">requires inpatient hospitalisation or prolongation of</w:t>
            </w:r>
            <w:r>
              <w:t xml:space="preserve"> </w:t>
            </w:r>
            <w:r>
              <w:t xml:space="preserve">existing hospitalisation, results in persistent or</w:t>
            </w:r>
            <w:r>
              <w:t xml:space="preserve"> </w:t>
            </w:r>
            <w:r>
              <w:t xml:space="preserve">significant disability or incapacity, results in a</w:t>
            </w:r>
            <w:r>
              <w:t xml:space="preserve"> </w:t>
            </w:r>
            <w:r>
              <w:t xml:space="preserve">congenital anomaly or birth defect, is</w:t>
            </w:r>
            <w:r>
              <w:t xml:space="preserve"> </w:t>
            </w:r>
            <w:r>
              <w:t xml:space="preserve">life-threatening, or results in death</w:t>
            </w:r>
          </w:p>
        </w:tc>
      </w:tr>
      <w:tr>
        <w:tc>
          <w:tcPr/>
          <w:p>
            <w:pPr>
              <w:pStyle w:val="Compact"/>
              <w:jc w:val="left"/>
            </w:pPr>
            <w:r>
              <w:t xml:space="preserve">AR</w:t>
            </w:r>
          </w:p>
        </w:tc>
        <w:tc>
          <w:tcPr/>
          <w:p>
            <w:pPr>
              <w:pStyle w:val="Compact"/>
              <w:jc w:val="left"/>
            </w:pPr>
            <w:r>
              <w:t xml:space="preserve">Adverse Reaction = any unfavorable and unexpected</w:t>
            </w:r>
            <w:r>
              <w:t xml:space="preserve"> </w:t>
            </w:r>
            <w:r>
              <w:t xml:space="preserve">reaction to an investigational medicinal product,</w:t>
            </w:r>
            <w:r>
              <w:t xml:space="preserve"> </w:t>
            </w:r>
            <w:r>
              <w:t xml:space="preserve">regardless of dose</w:t>
            </w:r>
          </w:p>
        </w:tc>
      </w:tr>
      <w:tr>
        <w:tc>
          <w:tcPr/>
          <w:p>
            <w:pPr>
              <w:pStyle w:val="Compact"/>
              <w:jc w:val="left"/>
            </w:pPr>
            <w:r>
              <w:t xml:space="preserve">ASR</w:t>
            </w:r>
          </w:p>
        </w:tc>
        <w:tc>
          <w:tcPr/>
          <w:p>
            <w:pPr>
              <w:pStyle w:val="Compact"/>
              <w:jc w:val="left"/>
            </w:pPr>
            <w:r>
              <w:t xml:space="preserve">Annual Safety Report = the annual safety report for</w:t>
            </w:r>
            <w:r>
              <w:t xml:space="preserve"> </w:t>
            </w:r>
            <w:r>
              <w:t xml:space="preserve">reporting to authorities. In Sweden this is the Swedish</w:t>
            </w:r>
            <w:r>
              <w:t xml:space="preserve"> </w:t>
            </w:r>
            <w:r>
              <w:t xml:space="preserve">Medical Products Agency.</w:t>
            </w:r>
          </w:p>
        </w:tc>
      </w:tr>
      <w:tr>
        <w:tc>
          <w:tcPr/>
          <w:p>
            <w:pPr>
              <w:pStyle w:val="Compact"/>
              <w:jc w:val="left"/>
            </w:pPr>
            <w:r>
              <w:t xml:space="preserve">CRF</w:t>
            </w:r>
          </w:p>
        </w:tc>
        <w:tc>
          <w:tcPr/>
          <w:p>
            <w:pPr>
              <w:pStyle w:val="Compact"/>
              <w:jc w:val="left"/>
            </w:pPr>
            <w:r>
              <w:t xml:space="preserve">Case Report Form</w:t>
            </w:r>
          </w:p>
        </w:tc>
      </w:tr>
      <w:tr>
        <w:tc>
          <w:tcPr/>
          <w:p>
            <w:pPr>
              <w:pStyle w:val="Compact"/>
              <w:jc w:val="left"/>
            </w:pPr>
            <w:r>
              <w:t xml:space="preserve">CTIS</w:t>
            </w:r>
          </w:p>
        </w:tc>
        <w:tc>
          <w:tcPr/>
          <w:p>
            <w:pPr>
              <w:pStyle w:val="Compact"/>
              <w:jc w:val="left"/>
            </w:pPr>
            <w:r>
              <w:t xml:space="preserve">Clinical Trial Information System = Centralized EU</w:t>
            </w:r>
            <w:r>
              <w:t xml:space="preserve"> </w:t>
            </w:r>
            <w:r>
              <w:t xml:space="preserve">database/portal for application and communication with</w:t>
            </w:r>
            <w:r>
              <w:t xml:space="preserve"> </w:t>
            </w:r>
            <w:r>
              <w:t xml:space="preserve">authorities concerning clinical trials. In Sweden this</w:t>
            </w:r>
            <w:r>
              <w:t xml:space="preserve"> </w:t>
            </w:r>
            <w:r>
              <w:t xml:space="preserve">includes the Swedish Medical Products Agency and the</w:t>
            </w:r>
            <w:r>
              <w:t xml:space="preserve"> </w:t>
            </w:r>
            <w:r>
              <w:t xml:space="preserve">Swedish Ethical Review Authority.</w:t>
            </w:r>
          </w:p>
        </w:tc>
      </w:tr>
      <w:tr>
        <w:tc>
          <w:tcPr/>
          <w:p>
            <w:pPr>
              <w:pStyle w:val="Compact"/>
              <w:jc w:val="left"/>
            </w:pPr>
            <w:r>
              <w:t xml:space="preserve">CTR</w:t>
            </w:r>
          </w:p>
        </w:tc>
        <w:tc>
          <w:tcPr/>
          <w:p>
            <w:pPr>
              <w:pStyle w:val="Compact"/>
              <w:jc w:val="left"/>
            </w:pPr>
            <w:r>
              <w:t xml:space="preserve">EU Regulation 536/2014, also called CTR, Clinical</w:t>
            </w:r>
            <w:r>
              <w:t xml:space="preserve"> </w:t>
            </w:r>
            <w:r>
              <w:t xml:space="preserve">Trials Regulation</w:t>
            </w:r>
          </w:p>
        </w:tc>
      </w:tr>
      <w:tr>
        <w:tc>
          <w:tcPr/>
          <w:p>
            <w:pPr>
              <w:pStyle w:val="Compact"/>
              <w:jc w:val="left"/>
            </w:pPr>
            <w:r>
              <w:t xml:space="preserve">DSUR</w:t>
            </w:r>
          </w:p>
        </w:tc>
        <w:tc>
          <w:tcPr/>
          <w:p>
            <w:pPr>
              <w:pStyle w:val="Compact"/>
              <w:jc w:val="left"/>
            </w:pPr>
            <w:r>
              <w:t xml:space="preserve">Development Safety Update Report = the standard which</w:t>
            </w:r>
            <w:r>
              <w:t xml:space="preserve"> </w:t>
            </w:r>
            <w:r>
              <w:t xml:space="preserve">should be used for annual safety reporting to</w:t>
            </w:r>
            <w:r>
              <w:t xml:space="preserve"> </w:t>
            </w:r>
            <w:r>
              <w:t xml:space="preserve">authorities</w:t>
            </w:r>
          </w:p>
        </w:tc>
      </w:tr>
      <w:tr>
        <w:tc>
          <w:tcPr/>
          <w:p>
            <w:pPr>
              <w:pStyle w:val="Compact"/>
              <w:jc w:val="left"/>
            </w:pPr>
            <w:r>
              <w:t xml:space="preserve">EPM</w:t>
            </w:r>
          </w:p>
        </w:tc>
        <w:tc>
          <w:tcPr/>
          <w:p>
            <w:pPr>
              <w:pStyle w:val="Compact"/>
              <w:jc w:val="left"/>
            </w:pPr>
            <w:r>
              <w:t xml:space="preserve">Etikprövningsmyndigheten (English: Swedish Ethical</w:t>
            </w:r>
            <w:r>
              <w:t xml:space="preserve"> </w:t>
            </w:r>
            <w:r>
              <w:t xml:space="preserve">Review Authority)</w:t>
            </w:r>
          </w:p>
        </w:tc>
      </w:tr>
      <w:tr>
        <w:tc>
          <w:tcPr/>
          <w:p>
            <w:pPr>
              <w:pStyle w:val="Compact"/>
              <w:jc w:val="left"/>
            </w:pPr>
            <w:r>
              <w:t xml:space="preserve">GCP</w:t>
            </w:r>
          </w:p>
        </w:tc>
        <w:tc>
          <w:tcPr/>
          <w:p>
            <w:pPr>
              <w:pStyle w:val="Compact"/>
              <w:jc w:val="left"/>
            </w:pPr>
            <w:r>
              <w:t xml:space="preserve">Good Clinical Practice</w:t>
            </w:r>
          </w:p>
        </w:tc>
      </w:tr>
      <w:tr>
        <w:tc>
          <w:tcPr/>
          <w:p>
            <w:pPr>
              <w:pStyle w:val="Compact"/>
              <w:jc w:val="left"/>
            </w:pPr>
            <w:r>
              <w:t xml:space="preserve">IB</w:t>
            </w:r>
          </w:p>
        </w:tc>
        <w:tc>
          <w:tcPr/>
          <w:p>
            <w:pPr>
              <w:pStyle w:val="Compact"/>
              <w:jc w:val="left"/>
            </w:pPr>
            <w:r>
              <w:t xml:space="preserve">Investigator’s Brochure</w:t>
            </w:r>
          </w:p>
        </w:tc>
      </w:tr>
      <w:tr>
        <w:tc>
          <w:tcPr/>
          <w:p>
            <w:pPr>
              <w:pStyle w:val="Compact"/>
              <w:jc w:val="left"/>
            </w:pPr>
            <w:r>
              <w:t xml:space="preserve">ICH</w:t>
            </w:r>
          </w:p>
        </w:tc>
        <w:tc>
          <w:tcPr/>
          <w:p>
            <w:pPr>
              <w:pStyle w:val="Compact"/>
              <w:jc w:val="left"/>
            </w:pPr>
            <w:r>
              <w:t xml:space="preserve">International Council for Harmonization</w:t>
            </w:r>
          </w:p>
        </w:tc>
      </w:tr>
      <w:tr>
        <w:tc>
          <w:tcPr/>
          <w:p>
            <w:pPr>
              <w:pStyle w:val="Compact"/>
              <w:jc w:val="left"/>
            </w:pPr>
            <w:r>
              <w:t xml:space="preserve">ITT</w:t>
            </w:r>
          </w:p>
        </w:tc>
        <w:tc>
          <w:tcPr/>
          <w:p>
            <w:pPr>
              <w:pStyle w:val="Compact"/>
              <w:jc w:val="left"/>
            </w:pPr>
            <w:r>
              <w:t xml:space="preserve">Intention-to-treat = including all data from all</w:t>
            </w:r>
            <w:r>
              <w:t xml:space="preserve"> </w:t>
            </w:r>
            <w:r>
              <w:t xml:space="preserve">subjects who have participated in the trial</w:t>
            </w:r>
          </w:p>
        </w:tc>
      </w:tr>
      <w:tr>
        <w:tc>
          <w:tcPr/>
          <w:p>
            <w:pPr>
              <w:pStyle w:val="Compact"/>
              <w:jc w:val="left"/>
            </w:pPr>
            <w:r>
              <w:t xml:space="preserve">PP</w:t>
            </w:r>
          </w:p>
        </w:tc>
        <w:tc>
          <w:tcPr/>
          <w:p>
            <w:pPr>
              <w:pStyle w:val="Compact"/>
              <w:jc w:val="left"/>
            </w:pPr>
            <w:r>
              <w:t xml:space="preserve">Per Protocol analysis = including only data from</w:t>
            </w:r>
            <w:r>
              <w:t xml:space="preserve"> </w:t>
            </w:r>
            <w:r>
              <w:t xml:space="preserve">subjects who have completed the trial completely in</w:t>
            </w:r>
            <w:r>
              <w:t xml:space="preserve"> </w:t>
            </w:r>
            <w:r>
              <w:t xml:space="preserve">accordance with the protocol, with no deviations from</w:t>
            </w:r>
            <w:r>
              <w:t xml:space="preserve"> </w:t>
            </w:r>
            <w:r>
              <w:t xml:space="preserve">the protocol</w:t>
            </w:r>
          </w:p>
        </w:tc>
      </w:tr>
      <w:tr>
        <w:tc>
          <w:tcPr/>
          <w:p>
            <w:pPr>
              <w:pStyle w:val="Compact"/>
              <w:jc w:val="left"/>
            </w:pPr>
            <w:r>
              <w:t xml:space="preserve">RSI</w:t>
            </w:r>
          </w:p>
        </w:tc>
        <w:tc>
          <w:tcPr/>
          <w:p>
            <w:pPr>
              <w:pStyle w:val="Compact"/>
              <w:jc w:val="left"/>
            </w:pPr>
            <w:r>
              <w:t xml:space="preserve">Reference safety information. A list of all known</w:t>
            </w:r>
            <w:r>
              <w:t xml:space="preserve"> </w:t>
            </w:r>
            <w:r>
              <w:t xml:space="preserve">adverse reactions for the investigational medicinal</w:t>
            </w:r>
            <w:r>
              <w:t xml:space="preserve"> </w:t>
            </w:r>
            <w:r>
              <w:t xml:space="preserve">product, including severity and frequency of the</w:t>
            </w:r>
            <w:r>
              <w:t xml:space="preserve"> </w:t>
            </w:r>
            <w:r>
              <w:t xml:space="preserve">adverse reaction. The RSI is contained in the Summary</w:t>
            </w:r>
            <w:r>
              <w:t xml:space="preserve"> </w:t>
            </w:r>
            <w:r>
              <w:t xml:space="preserve">of Product Characteristics or IB and is used to</w:t>
            </w:r>
            <w:r>
              <w:t xml:space="preserve"> </w:t>
            </w:r>
            <w:r>
              <w:t xml:space="preserve">determine which new adverse reactions should be</w:t>
            </w:r>
            <w:r>
              <w:t xml:space="preserve"> </w:t>
            </w:r>
            <w:r>
              <w:t xml:space="preserve">reported as suspected unexpected serious adverse</w:t>
            </w:r>
            <w:r>
              <w:t xml:space="preserve"> </w:t>
            </w:r>
            <w:r>
              <w:t xml:space="preserve">reactions (SUSARs).</w:t>
            </w:r>
          </w:p>
        </w:tc>
      </w:tr>
      <w:tr>
        <w:tc>
          <w:tcPr/>
          <w:p>
            <w:pPr>
              <w:pStyle w:val="Compact"/>
              <w:jc w:val="left"/>
            </w:pPr>
            <w:r>
              <w:t xml:space="preserve">SPC or SmPC</w:t>
            </w:r>
          </w:p>
        </w:tc>
        <w:tc>
          <w:tcPr/>
          <w:p>
            <w:pPr>
              <w:pStyle w:val="Compact"/>
              <w:jc w:val="left"/>
            </w:pPr>
            <w:r>
              <w:t xml:space="preserve">Summary of Product Characteristics</w:t>
            </w:r>
          </w:p>
        </w:tc>
      </w:tr>
      <w:tr>
        <w:tc>
          <w:tcPr/>
          <w:p>
            <w:pPr>
              <w:pStyle w:val="Compact"/>
              <w:jc w:val="left"/>
            </w:pPr>
            <w:r>
              <w:t xml:space="preserve">SUSAR</w:t>
            </w:r>
          </w:p>
        </w:tc>
        <w:tc>
          <w:tcPr/>
          <w:p>
            <w:pPr>
              <w:pStyle w:val="Compact"/>
              <w:jc w:val="left"/>
            </w:pPr>
            <w:r>
              <w:t xml:space="preserve">Suspected Unexpected Serious Adverse Reaction. This is</w:t>
            </w:r>
            <w:r>
              <w:t xml:space="preserve"> </w:t>
            </w:r>
            <w:r>
              <w:t xml:space="preserve">an event that is likely related to the investigational</w:t>
            </w:r>
            <w:r>
              <w:t xml:space="preserve"> </w:t>
            </w:r>
            <w:r>
              <w:t xml:space="preserve">medicinal product but with unexpected occurrence. An</w:t>
            </w:r>
            <w:r>
              <w:t xml:space="preserve"> </w:t>
            </w:r>
            <w:r>
              <w:t xml:space="preserve">adverse reaction is unexpected if its nature or</w:t>
            </w:r>
            <w:r>
              <w:t xml:space="preserve"> </w:t>
            </w:r>
            <w:r>
              <w:t xml:space="preserve">seriousness is not consistent with the information on</w:t>
            </w:r>
            <w:r>
              <w:t xml:space="preserve"> </w:t>
            </w:r>
            <w:r>
              <w:t xml:space="preserve">the product in the RSI.</w:t>
            </w:r>
          </w:p>
        </w:tc>
      </w:tr>
    </w:tbl>
    <w:p>
      <w:r>
        <w:br w:type="page"/>
      </w:r>
    </w:p>
    <w:bookmarkEnd w:id="21"/>
    <w:bookmarkStart w:id="22" w:name="synopsis"/>
    <w:p>
      <w:pPr>
        <w:pStyle w:val="Heading1"/>
      </w:pPr>
      <w:r>
        <w:t xml:space="preserve">3.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w:t>
      </w:r>
      <w:r>
        <w:rPr>
          <w:vertAlign w:val="superscript"/>
        </w:rPr>
        <w:t xml:space="preserve">1,2</w:t>
      </w:r>
      <w:r>
        <w:t xml:space="preserve">. Many training programmes have been developed to help physicians in the initial management of trauma patients</w:t>
      </w:r>
      <w:r>
        <w:rPr>
          <w:vertAlign w:val="superscript"/>
        </w:rPr>
        <w:t xml:space="preserve">3–6</w:t>
      </w:r>
      <w:r>
        <w:t xml:space="preserve">.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w:t>
      </w:r>
      <w:r>
        <w:rPr>
          <w:vertAlign w:val="superscript"/>
        </w:rPr>
        <w:t xml:space="preserve">7</w:t>
      </w:r>
      <w:r>
        <w:t xml:space="preserve">. Despite its widespread use, there are no controlled trials showing that ATLS</w:t>
      </w:r>
      <w:r>
        <w:rPr>
          <w:vertAlign w:val="superscript"/>
        </w:rPr>
        <w:t xml:space="preserve">®</w:t>
      </w:r>
      <w:r>
        <w:t xml:space="preserve"> </w:t>
      </w:r>
      <w:r>
        <w:t xml:space="preserve">improves patient outcomes</w:t>
      </w:r>
      <w:r>
        <w:rPr>
          <w:vertAlign w:val="superscript"/>
        </w:rPr>
        <w:t xml:space="preserve">3,4,6</w:t>
      </w:r>
      <w:r>
        <w:t xml:space="preserve">. Multiple systematic reviews emphasise the need for such trials</w:t>
      </w:r>
      <w:r>
        <w:rPr>
          <w:vertAlign w:val="superscript"/>
        </w:rPr>
        <w:t xml:space="preserve">3,4,6</w:t>
      </w:r>
      <w:r>
        <w:t xml:space="preserve">.</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w:t>
      </w:r>
      <w:r>
        <w:t xml:space="preserve"> </w:t>
      </w:r>
      <w:r>
        <w:t xml:space="preserve">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pPr>
        <w:pStyle w:val="BodyText"/>
      </w:pPr>
      <w:r>
        <w:rPr>
          <w:iCs/>
          <w:i/>
        </w:rPr>
        <w:t xml:space="preserve">Patients</w:t>
      </w:r>
      <w:r>
        <w:t xml:space="preserve"> </w:t>
      </w:r>
      <w:r>
        <w:t xml:space="preserve">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In-hospital data collection will be conducted under a waiver of informed consent. Patients will be informed about the trial and their right to opt out of data collection. Patients will be informed that they can withdraw their data from the trial at any time.</w:t>
      </w:r>
    </w:p>
    <w:p>
      <w:pPr>
        <w:pStyle w:val="BodyText"/>
      </w:pPr>
      <w:r>
        <w:rPr>
          <w:bCs/>
          <w:b/>
        </w:rPr>
        <w:t xml:space="preserve">Trial Period</w:t>
      </w:r>
      <w:r>
        <w:t xml:space="preserve"> </w:t>
      </w:r>
      <w:r>
        <w:t xml:space="preserve">2024-10-01 to 2029-10-01</w:t>
      </w:r>
    </w:p>
    <w:p>
      <w:r>
        <w:br w:type="page"/>
      </w:r>
    </w:p>
    <w:bookmarkEnd w:id="22"/>
    <w:bookmarkStart w:id="27" w:name="background-and-rationale"/>
    <w:p>
      <w:pPr>
        <w:pStyle w:val="Heading1"/>
      </w:pPr>
      <w:r>
        <w:t xml:space="preserve">4.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8</w:t>
      </w:r>
      <w:r>
        <w:t xml:space="preserve">. Traumatic brain injury and exsanguination are the most common causes of trauma deaths</w:t>
      </w:r>
      <w:r>
        <w:rPr>
          <w:vertAlign w:val="superscript"/>
        </w:rPr>
        <w:t xml:space="preserve">9,10</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9,11</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3–6</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7</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5</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3,4,6</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(Figure @ref(fig:forest-plot))</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recruitment rate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6" w:name="updated-systematic-review"/>
    <w:p>
      <w:pPr>
        <w:pStyle w:val="Heading2"/>
      </w:pPr>
      <w:r>
        <w:t xml:space="preserve">4.1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4" name="Picture"/>
                  <a:graphic>
                    <a:graphicData uri="http://schemas.openxmlformats.org/drawingml/2006/picture">
                      <pic:pic>
                        <pic:nvPicPr>
                          <pic:cNvPr descr="forest-plot.pdf"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tc>
      </w:tr>
    </w:tbl>
    <w:bookmarkEnd w:id="26"/>
    <w:bookmarkEnd w:id="27"/>
    <w:bookmarkStart w:id="28" w:name="benefit-risk-evaluation"/>
    <w:p>
      <w:pPr>
        <w:pStyle w:val="Heading1"/>
      </w:pPr>
      <w:r>
        <w:t xml:space="preserve">5.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8"/>
    <w:bookmarkStart w:id="29" w:name="trial-aim"/>
    <w:p>
      <w:pPr>
        <w:pStyle w:val="Heading1"/>
      </w:pPr>
      <w:r>
        <w:t xml:space="preserve">6.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9"/>
    <w:bookmarkStart w:id="85" w:name="trial-design-and-procedures"/>
    <w:p>
      <w:pPr>
        <w:pStyle w:val="Heading1"/>
      </w:pPr>
      <w:r>
        <w:t xml:space="preserve">7. Trial design and procedures</w:t>
      </w:r>
    </w:p>
    <w:bookmarkStart w:id="30" w:name="overall-trial-design"/>
    <w:p>
      <w:pPr>
        <w:pStyle w:val="Heading2"/>
      </w:pPr>
      <w:r>
        <w:t xml:space="preserve">7.1 Overall trial design</w:t>
      </w:r>
    </w:p>
    <w:p>
      <w:pPr>
        <w:pStyle w:val="FirstParagraph"/>
      </w:pPr>
      <w:r>
        <w:t xml:space="preserve">We will conduct a batched stepped-wedge cluster randomised controlled trial (see Figure @ref(fig:trial-design)). The stepped-wedge trial is a uni-directional cross-over trial but the time point when clusters cross-over from standard care to the intervention is randomised</w:t>
      </w:r>
      <w:r>
        <w:rPr>
          <w:vertAlign w:val="superscript"/>
        </w:rPr>
        <w:t xml:space="preserve">27</w:t>
      </w:r>
      <w:r>
        <w:t xml:space="preserve">. Each cluster will be a tertiary hospital in India. We will conduct this trial in India because physicians providing initial trauma care in India are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30"/>
    <w:bookmarkStart w:id="34" w:name="design-justification"/>
    <w:p>
      <w:pPr>
        <w:pStyle w:val="Heading2"/>
      </w:pPr>
      <w:r>
        <w:t xml:space="preserve">7.2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2" name="Picture"/>
                  <a:graphic>
                    <a:graphicData uri="http://schemas.openxmlformats.org/drawingml/2006/picture">
                      <pic:pic>
                        <pic:nvPicPr>
                          <pic:cNvPr descr="trial-design-figure-30-clusters-5-sequences-6-batches-6-batches-overlap-4-min-standard-care-4-min-intervention-1-transition-months-0-transition-overlap.pdf"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tr>
    </w:tbl>
    <w:bookmarkEnd w:id="34"/>
    <w:bookmarkStart w:id="39" w:name="cluster-selection"/>
    <w:p>
      <w:pPr>
        <w:pStyle w:val="Heading2"/>
      </w:pPr>
      <w:r>
        <w:t xml:space="preserve">7.3 Cluster selection</w:t>
      </w:r>
    </w:p>
    <w:bookmarkStart w:id="35" w:name="eligiibility-criteria"/>
    <w:p>
      <w:pPr>
        <w:pStyle w:val="Heading3"/>
      </w:pPr>
      <w:r>
        <w:t xml:space="preserve">7.3.1 Eligiibility criteria</w:t>
      </w:r>
    </w:p>
    <w:p>
      <w:pPr>
        <w:pStyle w:val="FirstParagraph"/>
      </w:pPr>
      <w:r>
        <w:rPr>
          <w:bCs/>
          <w:b/>
        </w:rPr>
        <w:t xml:space="preserve">Clusters</w:t>
      </w:r>
      <w:r>
        <w:t xml:space="preserve"> </w:t>
      </w:r>
      <w:r>
        <w:t xml:space="preserve">must meet the following criteria:</w:t>
      </w:r>
    </w:p>
    <w:p>
      <w:pPr>
        <w:numPr>
          <w:ilvl w:val="0"/>
          <w:numId w:val="1004"/>
        </w:numPr>
        <w:pStyle w:val="Compact"/>
      </w:pPr>
      <w:r>
        <w:t xml:space="preserve">baseline admission rate of at least 400 patients with trauma per year or 35 patients with trauma per month for at least the last six months;</w:t>
      </w:r>
    </w:p>
    <w:p>
      <w:pPr>
        <w:numPr>
          <w:ilvl w:val="0"/>
          <w:numId w:val="1004"/>
        </w:numPr>
        <w:pStyle w:val="Compact"/>
      </w:pPr>
      <w:r>
        <w:t xml:space="preserve">provides general surgery, imaging and blood banking services around the clock; and</w:t>
      </w:r>
    </w:p>
    <w:p>
      <w:pPr>
        <w:numPr>
          <w:ilvl w:val="0"/>
          <w:numId w:val="1004"/>
        </w:numPr>
        <w:pStyle w:val="Compact"/>
      </w:pPr>
      <w:r>
        <w:t xml:space="preserve">no more than 25% of physicians providing initial trauma care trained in any trauma life support programme.</w:t>
      </w:r>
    </w:p>
    <w:bookmarkEnd w:id="35"/>
    <w:bookmarkStart w:id="38" w:name="screening"/>
    <w:p>
      <w:pPr>
        <w:pStyle w:val="Heading3"/>
      </w:pPr>
      <w:r>
        <w:t xml:space="preserve">7.3.2 Screening</w:t>
      </w:r>
    </w:p>
    <w:p>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form</w:t>
      </w:r>
      <w:r>
        <w:rPr>
          <w:rStyle w:val="FootnoteReference"/>
        </w:rPr>
        <w:footnoteReference w:id="36"/>
      </w:r>
      <w:r>
        <w:t xml:space="preserve"> </w:t>
      </w:r>
      <w:r>
        <w:t xml:space="preserve">and logged in a cluster screening log</w:t>
      </w:r>
      <w:r>
        <w:rPr>
          <w:rStyle w:val="FootnoteReference"/>
        </w:rPr>
        <w:footnoteReference w:id="37"/>
      </w:r>
      <w:r>
        <w:t xml:space="preserve">.</w:t>
      </w:r>
    </w:p>
    <w:bookmarkEnd w:id="38"/>
    <w:bookmarkEnd w:id="39"/>
    <w:bookmarkStart w:id="43" w:name="patient-participants-selection"/>
    <w:p>
      <w:pPr>
        <w:pStyle w:val="Heading2"/>
      </w:pPr>
      <w:r>
        <w:t xml:space="preserve">7.4 Patient participants selection</w:t>
      </w:r>
    </w:p>
    <w:bookmarkStart w:id="40" w:name="eligiibility-criteria-1"/>
    <w:p>
      <w:pPr>
        <w:pStyle w:val="Heading3"/>
      </w:pPr>
      <w:r>
        <w:t xml:space="preserve">7.4.1 Eligiibility criteria</w:t>
      </w:r>
    </w:p>
    <w:p>
      <w:pPr>
        <w:pStyle w:val="FirstParagraph"/>
      </w:pPr>
      <w:r>
        <w:rPr>
          <w:bCs/>
          <w:b/>
        </w:rPr>
        <w:t xml:space="preserve">Patients participants</w:t>
      </w:r>
      <w:r>
        <w:t xml:space="preserve"> </w:t>
      </w:r>
      <w:r>
        <w:t xml:space="preserve">must meet the following criteria:</w:t>
      </w:r>
    </w:p>
    <w:p>
      <w:pPr>
        <w:numPr>
          <w:ilvl w:val="0"/>
          <w:numId w:val="1005"/>
        </w:numPr>
        <w:pStyle w:val="Compact"/>
      </w:pPr>
      <w:r>
        <w:t xml:space="preserve">age of at least 15 years;</w:t>
      </w:r>
    </w:p>
    <w:p>
      <w:pPr>
        <w:numPr>
          <w:ilvl w:val="0"/>
          <w:numId w:val="1005"/>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5"/>
        </w:numPr>
        <w:pStyle w:val="Compact"/>
      </w:pPr>
      <w:r>
        <w:t xml:space="preserve">admitted or died between arrival at the hospital and admission;</w:t>
      </w:r>
    </w:p>
    <w:p>
      <w:pPr>
        <w:numPr>
          <w:ilvl w:val="0"/>
          <w:numId w:val="1005"/>
        </w:numPr>
        <w:pStyle w:val="Compact"/>
      </w:pPr>
      <w:r>
        <w:t xml:space="preserve">transferred from the emergency department of a participating hospital to another hospital for admission; and</w:t>
      </w:r>
    </w:p>
    <w:p>
      <w:pPr>
        <w:numPr>
          <w:ilvl w:val="0"/>
          <w:numId w:val="1005"/>
        </w:numPr>
        <w:pStyle w:val="Compact"/>
      </w:pPr>
      <w:r>
        <w:t xml:space="preserve">trauma occurred less than 48 hours before arrival at the hospital.</w:t>
      </w:r>
    </w:p>
    <w:bookmarkEnd w:id="40"/>
    <w:bookmarkStart w:id="41" w:name="screening-1"/>
    <w:p>
      <w:pPr>
        <w:pStyle w:val="Heading3"/>
      </w:pPr>
      <w:r>
        <w:t xml:space="preserve">7.4.2 Screening</w:t>
      </w:r>
    </w:p>
    <w:p>
      <w:pPr>
        <w:pStyle w:val="FirstParagraph"/>
      </w:pPr>
      <w:r>
        <w:t xml:space="preserve">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bookmarkEnd w:id="41"/>
    <w:bookmarkStart w:id="42" w:name="withdrawal-criteria"/>
    <w:p>
      <w:pPr>
        <w:pStyle w:val="Heading3"/>
      </w:pPr>
      <w:r>
        <w:t xml:space="preserve">7.4.3 Withdrawal criteria</w:t>
      </w:r>
    </w:p>
    <w:p>
      <w:pPr>
        <w:pStyle w:val="FirstParagraph"/>
      </w:pPr>
      <w:r>
        <w:t xml:space="preserve">Patient participants can choose to withdraw their consent to out of hospital follow up at any time. If they withdray their consent to out of hospital follow up the clinical research 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w:t>
      </w:r>
      <w:r>
        <w:t xml:space="preserve"> </w:t>
      </w:r>
      <w:r>
        <w:t xml:space="preserve">performed according to the participating hospitals routine.</w:t>
      </w:r>
    </w:p>
    <w:bookmarkEnd w:id="42"/>
    <w:bookmarkEnd w:id="43"/>
    <w:bookmarkStart w:id="45" w:name="procedures"/>
    <w:p>
      <w:pPr>
        <w:pStyle w:val="Heading2"/>
      </w:pPr>
      <w:r>
        <w:t xml:space="preserve">7.5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44"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default">Follow up</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tcBorders>
          </w:tcPr>
          <w:p>
            <w:pPr>
              <w:spacing w:before="0" w:after="60"/>
              <w:keepNext/>
              <w:jc w:val="start"/>
            </w:pPr>
            <w:r>
              <w:rPr>
                <w:rFonts w:ascii="Calibri" w:hAnsi="Calibri"/>
                <w:sz w:val="20"/>
              </w:rPr>
              <w:t xml:space="default">90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Within 7 days of discharge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44"/>
    <w:bookmarkEnd w:id="45"/>
    <w:bookmarkStart w:id="46" w:name="biological-sampling-procedures"/>
    <w:p>
      <w:pPr>
        <w:pStyle w:val="Heading2"/>
      </w:pPr>
      <w:r>
        <w:t xml:space="preserve">7.6 Biological sampling procedures</w:t>
      </w:r>
    </w:p>
    <w:p>
      <w:pPr>
        <w:pStyle w:val="FirstParagraph"/>
      </w:pPr>
      <w:r>
        <w:t xml:space="preserve">This trial does not include biological sampling.</w:t>
      </w:r>
    </w:p>
    <w:bookmarkEnd w:id="46"/>
    <w:bookmarkStart w:id="48" w:name="end-of-trial"/>
    <w:p>
      <w:pPr>
        <w:pStyle w:val="Heading2"/>
      </w:pPr>
      <w:r>
        <w:t xml:space="preserve">7.7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w:t>
      </w:r>
      <w:r>
        <w:t xml:space="preserve"> </w:t>
      </w:r>
      <w:r>
        <w:t xml:space="preserve">follow-up. Decisions on premature termination are taken by the sponsor.</w:t>
      </w:r>
    </w:p>
    <w:bookmarkStart w:id="47" w:name="intervention-and-control-treatment"/>
    <w:p>
      <w:pPr>
        <w:pStyle w:val="Heading3"/>
      </w:pPr>
      <w:r>
        <w:t xml:space="preserve">7.7.1 Intervention and control treatment</w:t>
      </w:r>
    </w:p>
    <w:p>
      <w:pPr>
        <w:pStyle w:val="FirstParagraph"/>
      </w:pPr>
      <w:r>
        <w:t xml:space="preserve">The intervention will be ATLS®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We will train the number of physicians needed to reach the required patient sample size.</w:t>
      </w:r>
    </w:p>
    <w:p>
      <w:pPr>
        <w:pStyle w:val="BodyText"/>
      </w:pPr>
      <w:r>
        <w:rPr>
          <w:bCs/>
          <w:b/>
        </w:rPr>
        <w:t xml:space="preserve">Advanced Trauma Life Support® (ATLS®)</w:t>
      </w:r>
      <w:r>
        <w:rPr>
          <w:vertAlign w:val="superscript"/>
          <w:bCs/>
          <w:b/>
        </w:rPr>
        <w:t xml:space="preserve">7</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47"/>
    <w:bookmarkEnd w:id="48"/>
    <w:bookmarkStart w:id="49" w:name="Xf02b29e15f63d0cbcdfc4516a30aea727e4ce25"/>
    <w:p>
      <w:pPr>
        <w:pStyle w:val="Heading2"/>
      </w:pPr>
      <w:r>
        <w:t xml:space="preserve">7.8 Description of investigational medicinal products</w:t>
      </w:r>
    </w:p>
    <w:p>
      <w:pPr>
        <w:pStyle w:val="FirstParagraph"/>
      </w:pPr>
      <w:r>
        <w:t xml:space="preserve">This trial does not include any investigational medicinal products.</w:t>
      </w:r>
    </w:p>
    <w:bookmarkEnd w:id="49"/>
    <w:bookmarkStart w:id="51" w:name="randomization"/>
    <w:p>
      <w:pPr>
        <w:pStyle w:val="Heading2"/>
      </w:pPr>
      <w:r>
        <w:t xml:space="preserve">7.9 Randomization</w:t>
      </w:r>
    </w:p>
    <w:p>
      <w:pPr>
        <w:pStyle w:val="FirstParagraph"/>
      </w:pPr>
      <w:r>
        <w:t xml:space="preserve">We will assign clusters to batches as they are found to be eligible and receive ethical approval, and will randomise the clusters to intervention implementation sequences within batches</w:t>
      </w:r>
      <w:r>
        <w:rPr>
          <w:rStyle w:val="FootnoteReference"/>
        </w:rPr>
        <w:footnoteReference w:id="50"/>
      </w:r>
      <w:r>
        <w:t xml:space="preserve">. Randomisation will be stratified by geographical region and anticipated cluster size.</w:t>
      </w:r>
    </w:p>
    <w:bookmarkEnd w:id="51"/>
    <w:bookmarkStart w:id="52" w:name="blinding"/>
    <w:p>
      <w:pPr>
        <w:pStyle w:val="Heading2"/>
      </w:pPr>
      <w:r>
        <w:t xml:space="preserve">7.10 Blinding</w:t>
      </w:r>
    </w:p>
    <w:p>
      <w:pPr>
        <w:pStyle w:val="FirstParagraph"/>
      </w:pPr>
      <w:r>
        <w:t xml:space="preserve">It is not possible to blind a stepped-wedge trial, because all clusters receive the intervention.</w:t>
      </w:r>
    </w:p>
    <w:bookmarkEnd w:id="52"/>
    <w:bookmarkStart w:id="53" w:name="auxiliary-medicinal-products"/>
    <w:p>
      <w:pPr>
        <w:pStyle w:val="Heading2"/>
      </w:pPr>
      <w:r>
        <w:t xml:space="preserve">7.11 Auxiliary medicinal products</w:t>
      </w:r>
    </w:p>
    <w:p>
      <w:pPr>
        <w:pStyle w:val="FirstParagraph"/>
      </w:pPr>
      <w:r>
        <w:t xml:space="preserve">This trial does not include any auxiliary medicinal products.</w:t>
      </w:r>
    </w:p>
    <w:bookmarkEnd w:id="53"/>
    <w:bookmarkStart w:id="54" w:name="Xc2d650b6c6acd0528e005be9fdded9065220778"/>
    <w:p>
      <w:pPr>
        <w:pStyle w:val="Heading2"/>
      </w:pPr>
      <w:r>
        <w:t xml:space="preserve">7.12 Concomitant use of other medications or treatments</w:t>
      </w:r>
    </w:p>
    <w:p>
      <w:pPr>
        <w:pStyle w:val="FirstParagraph"/>
      </w:pPr>
      <w:r>
        <w:t xml:space="preserve">Medications or treatments considered necessary for the safety and well-being of the subject may be provided at the discretion of the investigators, unless otherwise specified in the exclusion criteria.</w:t>
      </w:r>
    </w:p>
    <w:bookmarkEnd w:id="54"/>
    <w:bookmarkStart w:id="55" w:name="treatment-after-trial-end"/>
    <w:p>
      <w:pPr>
        <w:pStyle w:val="Heading2"/>
      </w:pPr>
      <w:r>
        <w:t xml:space="preserve">7.13 Treatment after trial end</w:t>
      </w:r>
    </w:p>
    <w:p>
      <w:pPr>
        <w:pStyle w:val="FirstParagraph"/>
      </w:pPr>
      <w:r>
        <w:rPr>
          <w:iCs/>
          <w:i/>
        </w:rPr>
        <w:t xml:space="preserve">Describe any continued treatment of subjects after the trial end, e.g.,</w:t>
      </w:r>
      <w:r>
        <w:rPr>
          <w:iCs/>
          <w:i/>
        </w:rPr>
        <w:t xml:space="preserve"> </w:t>
      </w:r>
      <w:r>
        <w:rPr>
          <w:iCs/>
          <w:i/>
        </w:rPr>
        <w:t xml:space="preserve">if the subject returns to previous treatments, if the subject receives</w:t>
      </w:r>
      <w:r>
        <w:rPr>
          <w:iCs/>
          <w:i/>
        </w:rPr>
        <w:t xml:space="preserve"> </w:t>
      </w:r>
      <w:r>
        <w:rPr>
          <w:iCs/>
          <w:i/>
        </w:rPr>
        <w:t xml:space="preserve">no further treatment, if the subject continues treatment with the</w:t>
      </w:r>
      <w:r>
        <w:rPr>
          <w:iCs/>
          <w:i/>
        </w:rPr>
        <w:t xml:space="preserve"> </w:t>
      </w:r>
      <w:r>
        <w:rPr>
          <w:iCs/>
          <w:i/>
        </w:rPr>
        <w:t xml:space="preserve">investigational medicinal product (note that this may require approval</w:t>
      </w:r>
      <w:r>
        <w:rPr>
          <w:iCs/>
          <w:i/>
        </w:rPr>
        <w:t xml:space="preserve"> </w:t>
      </w:r>
      <w:r>
        <w:rPr>
          <w:iCs/>
          <w:i/>
        </w:rPr>
        <w:t xml:space="preserve">by the Swedish Medical Products Agency).</w:t>
      </w:r>
    </w:p>
    <w:bookmarkEnd w:id="55"/>
    <w:bookmarkStart w:id="58" w:name="outcomes"/>
    <w:p>
      <w:pPr>
        <w:pStyle w:val="Heading2"/>
      </w:pPr>
      <w:r>
        <w:t xml:space="preserve">7.14 Outcomes</w:t>
      </w:r>
    </w:p>
    <w:bookmarkStart w:id="56" w:name="primary-outcome"/>
    <w:p>
      <w:pPr>
        <w:pStyle w:val="Heading3"/>
      </w:pPr>
      <w:r>
        <w:t xml:space="preserve">7.14.1 Primary outcome</w:t>
      </w:r>
    </w:p>
    <w:p>
      <w:pPr>
        <w:pStyle w:val="FirstParagraph"/>
      </w:pPr>
      <w:r>
        <w:t xml:space="preserve">The primary outcome will be in-hospital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56"/>
    <w:bookmarkStart w:id="57" w:name="secondary-outcomes"/>
    <w:p>
      <w:pPr>
        <w:pStyle w:val="Heading3"/>
      </w:pPr>
      <w:r>
        <w:t xml:space="preserve">7.14.2 Secondary outcomes</w:t>
      </w:r>
    </w:p>
    <w:p>
      <w:pPr>
        <w:numPr>
          <w:ilvl w:val="0"/>
          <w:numId w:val="1006"/>
        </w:numPr>
        <w:pStyle w:val="Compact"/>
      </w:pPr>
      <w:r>
        <w:t xml:space="preserve">All cause mortality within 24 hours, 30 days, and three months of arrival at the emergency department. Data on this outcome will be collected from patient hospital records or by calling the patient or a patient representative.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pPr>
        <w:numPr>
          <w:ilvl w:val="0"/>
          <w:numId w:val="1006"/>
        </w:numPr>
        <w:pStyle w:val="Compact"/>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 [^question:whodas];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In-hospital pulmonary, septic, or renal complications [^question:complications].</w:t>
      </w:r>
    </w:p>
    <w:p>
      <w:pPr>
        <w:pStyle w:val="FirstParagraph"/>
      </w:pPr>
      <w:r>
        <w:t xml:space="preserve">[^question:whodas]</w:t>
      </w:r>
      <w:r>
        <w:t xml:space="preserve"> </w:t>
      </w:r>
      <w:r>
        <w:rPr>
          <w:bCs/>
          <w:b/>
        </w:rPr>
        <w:t xml:space="preserve">Question:</w:t>
      </w:r>
      <w:r>
        <w:t xml:space="preserve"> </w:t>
      </w:r>
      <w:r>
        <w:t xml:space="preserve">Should we measure functional outcome/disability with WHODAS instead?</w:t>
      </w:r>
    </w:p>
    <w:p>
      <w:pPr>
        <w:pStyle w:val="BodyText"/>
      </w:pPr>
      <w:r>
        <w:t xml:space="preserve">[^question:complications]</w:t>
      </w:r>
      <w:r>
        <w:t xml:space="preserve"> </w:t>
      </w:r>
      <w:r>
        <w:rPr>
          <w:bCs/>
          <w:b/>
        </w:rPr>
        <w:t xml:space="preserve">Question:</w:t>
      </w:r>
      <w:r>
        <w:t xml:space="preserve"> </w:t>
      </w:r>
      <w:r>
        <w:t xml:space="preserve">Should we remove complications because they are too difficult to measure?</w:t>
      </w:r>
    </w:p>
    <w:bookmarkEnd w:id="57"/>
    <w:bookmarkEnd w:id="58"/>
    <w:bookmarkStart w:id="59" w:name="independent-data-monitoring-committee"/>
    <w:p>
      <w:pPr>
        <w:pStyle w:val="Heading2"/>
      </w:pPr>
      <w:r>
        <w:t xml:space="preserve">7.15 Independent Data Monitoring Committee</w:t>
      </w:r>
    </w:p>
    <w:p>
      <w:pPr>
        <w:pStyle w:val="FirstParagraph"/>
      </w:pPr>
      <w:r>
        <w:rPr>
          <w:iCs/>
          <w:i/>
        </w:rPr>
        <w:t xml:space="preserve">If the clinical trial involves an extended risk or if the trial is</w:t>
      </w:r>
      <w:r>
        <w:rPr>
          <w:iCs/>
          <w:i/>
        </w:rPr>
        <w:t xml:space="preserve"> </w:t>
      </w:r>
      <w:r>
        <w:rPr>
          <w:iCs/>
          <w:i/>
        </w:rPr>
        <w:t xml:space="preserve">performed over a long time period and is divided into different blinded</w:t>
      </w:r>
      <w:r>
        <w:rPr>
          <w:iCs/>
          <w:i/>
        </w:rPr>
        <w:t xml:space="preserve"> </w:t>
      </w:r>
      <w:r>
        <w:rPr>
          <w:iCs/>
          <w:i/>
        </w:rPr>
        <w:t xml:space="preserve">treatment groups, an external independent (of the sponsor and</w:t>
      </w:r>
      <w:r>
        <w:rPr>
          <w:iCs/>
          <w:i/>
        </w:rPr>
        <w:t xml:space="preserve"> </w:t>
      </w:r>
      <w:r>
        <w:rPr>
          <w:iCs/>
          <w:i/>
        </w:rPr>
        <w:t xml:space="preserve">investigator) data monitoring committee should evaluate the decoded</w:t>
      </w:r>
      <w:r>
        <w:rPr>
          <w:iCs/>
          <w:i/>
        </w:rPr>
        <w:t xml:space="preserve"> </w:t>
      </w:r>
      <w:r>
        <w:rPr>
          <w:iCs/>
          <w:i/>
        </w:rPr>
        <w:t xml:space="preserve">results.</w:t>
      </w:r>
    </w:p>
    <w:p>
      <w:pPr>
        <w:pStyle w:val="BodyText"/>
      </w:pPr>
      <w:r>
        <w:rPr>
          <w:iCs/>
          <w:i/>
        </w:rPr>
        <w:t xml:space="preserve">Remove this section if not applicable.</w:t>
      </w:r>
    </w:p>
    <w:bookmarkEnd w:id="59"/>
    <w:bookmarkStart w:id="67" w:name="statistics"/>
    <w:p>
      <w:pPr>
        <w:pStyle w:val="Heading2"/>
      </w:pPr>
      <w:r>
        <w:t xml:space="preserve">7.16 Statistics</w:t>
      </w:r>
    </w:p>
    <w:p>
      <w:pPr>
        <w:pStyle w:val="FirstParagraph"/>
      </w:pPr>
      <w:r>
        <w:rPr>
          <w:iCs/>
          <w:i/>
        </w:rPr>
        <w:t xml:space="preserve">This statistics section provides general guidelines, i.e. not</w:t>
      </w:r>
      <w:r>
        <w:rPr>
          <w:iCs/>
          <w:i/>
        </w:rPr>
        <w:t xml:space="preserve"> </w:t>
      </w:r>
      <w:r>
        <w:rPr>
          <w:iCs/>
          <w:i/>
        </w:rPr>
        <w:t xml:space="preserve">everything is applicable to all trials. It is not necessary to use all</w:t>
      </w:r>
      <w:r>
        <w:rPr>
          <w:iCs/>
          <w:i/>
        </w:rPr>
        <w:t xml:space="preserve"> </w:t>
      </w:r>
      <w:r>
        <w:rPr>
          <w:iCs/>
          <w:i/>
        </w:rPr>
        <w:t xml:space="preserve">sub-sections and some sub-sections can be deleted and/or new ones</w:t>
      </w:r>
      <w:r>
        <w:rPr>
          <w:iCs/>
          <w:i/>
        </w:rPr>
        <w:t xml:space="preserve"> </w:t>
      </w:r>
      <w:r>
        <w:rPr>
          <w:iCs/>
          <w:i/>
        </w:rPr>
        <w:t xml:space="preserve">added.</w:t>
      </w:r>
    </w:p>
    <w:bookmarkStart w:id="60" w:name="analysis-population"/>
    <w:p>
      <w:pPr>
        <w:pStyle w:val="Heading3"/>
      </w:pPr>
      <w:r>
        <w:t xml:space="preserve">7.16.1 Analysis population</w:t>
      </w:r>
    </w:p>
    <w:p>
      <w:pPr>
        <w:numPr>
          <w:ilvl w:val="0"/>
          <w:numId w:val="1007"/>
        </w:numPr>
      </w:pPr>
      <w:r>
        <w:rPr>
          <w:iCs/>
          <w:i/>
        </w:rPr>
        <w:t xml:space="preserve">Define the subjects that will be included in the analyses, e.g.,</w:t>
      </w:r>
      <w:r>
        <w:rPr>
          <w:iCs/>
          <w:i/>
        </w:rPr>
        <w:t xml:space="preserve"> </w:t>
      </w:r>
      <w:r>
        <w:rPr>
          <w:iCs/>
          <w:i/>
        </w:rPr>
        <w:t xml:space="preserve">state if the analyses will apply intention-to-treat (ITT) or per</w:t>
      </w:r>
      <w:r>
        <w:rPr>
          <w:iCs/>
          <w:i/>
        </w:rPr>
        <w:t xml:space="preserve"> </w:t>
      </w:r>
      <w:r>
        <w:rPr>
          <w:iCs/>
          <w:i/>
        </w:rPr>
        <w:t xml:space="preserve">protocol (PP).</w:t>
      </w:r>
    </w:p>
    <w:p>
      <w:pPr>
        <w:numPr>
          <w:ilvl w:val="0"/>
          <w:numId w:val="1007"/>
        </w:numPr>
      </w:pPr>
      <w:r>
        <w:rPr>
          <w:iCs/>
          <w:i/>
        </w:rPr>
        <w:t xml:space="preserve">Specify whether sensitivity analyses of the main analyses will be</w:t>
      </w:r>
      <w:r>
        <w:rPr>
          <w:iCs/>
          <w:i/>
        </w:rPr>
        <w:t xml:space="preserve"> </w:t>
      </w:r>
      <w:r>
        <w:rPr>
          <w:iCs/>
          <w:i/>
        </w:rPr>
        <w:t xml:space="preserve">performed, i.e. examining the sensitivity of an ITT analysis with</w:t>
      </w:r>
      <w:r>
        <w:rPr>
          <w:iCs/>
          <w:i/>
        </w:rPr>
        <w:t xml:space="preserve"> </w:t>
      </w:r>
      <w:r>
        <w:rPr>
          <w:iCs/>
          <w:i/>
        </w:rPr>
        <w:t xml:space="preserve">help of a complementary PP analysis.</w:t>
      </w:r>
    </w:p>
    <w:bookmarkEnd w:id="60"/>
    <w:bookmarkStart w:id="63" w:name="statistical-analyses"/>
    <w:p>
      <w:pPr>
        <w:pStyle w:val="Heading3"/>
      </w:pPr>
      <w:r>
        <w:t xml:space="preserve">7.16.2 Statistical analyses</w:t>
      </w:r>
    </w:p>
    <w:bookmarkStart w:id="61" w:name="statistical-methods"/>
    <w:p>
      <w:pPr>
        <w:pStyle w:val="Heading4"/>
      </w:pPr>
      <w:r>
        <w:t xml:space="preserve">7.16.2.1</w:t>
      </w:r>
      <w:r>
        <w:t xml:space="preserve"> </w:t>
      </w:r>
      <w:r>
        <w:rPr>
          <w:bCs/>
          <w:b/>
        </w:rPr>
        <w:t xml:space="preserve">Statistical methods</w:t>
      </w:r>
    </w:p>
    <w:p>
      <w:pPr>
        <w:numPr>
          <w:ilvl w:val="0"/>
          <w:numId w:val="1008"/>
        </w:numPr>
      </w:pPr>
      <w:r>
        <w:rPr>
          <w:iCs/>
          <w:i/>
        </w:rPr>
        <w:t xml:space="preserve">Provide a general description of the descriptive/summary</w:t>
      </w:r>
      <w:r>
        <w:rPr>
          <w:iCs/>
          <w:i/>
        </w:rPr>
        <w:t xml:space="preserve"> </w:t>
      </w:r>
      <w:r>
        <w:rPr>
          <w:iCs/>
          <w:i/>
        </w:rPr>
        <w:t xml:space="preserve">statistics.</w:t>
      </w:r>
    </w:p>
    <w:p>
      <w:pPr>
        <w:numPr>
          <w:ilvl w:val="0"/>
          <w:numId w:val="1008"/>
        </w:numPr>
      </w:pPr>
      <w:r>
        <w:rPr>
          <w:iCs/>
          <w:i/>
        </w:rPr>
        <w:t xml:space="preserve">Describe the statistical methods that will be used to answer the</w:t>
      </w:r>
      <w:r>
        <w:rPr>
          <w:iCs/>
          <w:i/>
        </w:rPr>
        <w:t xml:space="preserve"> </w:t>
      </w:r>
      <w:r>
        <w:rPr>
          <w:iCs/>
          <w:i/>
        </w:rPr>
        <w:t xml:space="preserve">primary and secondary objectives and clarify the underlying</w:t>
      </w:r>
      <w:r>
        <w:rPr>
          <w:iCs/>
          <w:i/>
        </w:rPr>
        <w:t xml:space="preserve"> </w:t>
      </w:r>
      <w:r>
        <w:rPr>
          <w:iCs/>
          <w:i/>
        </w:rPr>
        <w:t xml:space="preserve">statistical models. State which covariates (and any stratifications)</w:t>
      </w:r>
      <w:r>
        <w:rPr>
          <w:iCs/>
          <w:i/>
        </w:rPr>
        <w:t xml:space="preserve"> </w:t>
      </w:r>
      <w:r>
        <w:rPr>
          <w:iCs/>
          <w:i/>
        </w:rPr>
        <w:t xml:space="preserve">will be adjusted for in the analyses. Any subgroup analyses must be</w:t>
      </w:r>
      <w:r>
        <w:rPr>
          <w:iCs/>
          <w:i/>
        </w:rPr>
        <w:t xml:space="preserve"> </w:t>
      </w:r>
      <w:r>
        <w:rPr>
          <w:iCs/>
          <w:i/>
        </w:rPr>
        <w:t xml:space="preserve">specified.</w:t>
      </w:r>
    </w:p>
    <w:p>
      <w:pPr>
        <w:numPr>
          <w:ilvl w:val="0"/>
          <w:numId w:val="1008"/>
        </w:numPr>
      </w:pPr>
      <w:r>
        <w:rPr>
          <w:iCs/>
          <w:i/>
        </w:rPr>
        <w:t xml:space="preserve">State any transformations of variables and justification for this.</w:t>
      </w:r>
    </w:p>
    <w:p>
      <w:pPr>
        <w:numPr>
          <w:ilvl w:val="0"/>
          <w:numId w:val="1008"/>
        </w:numPr>
      </w:pPr>
      <w:r>
        <w:rPr>
          <w:iCs/>
          <w:i/>
        </w:rPr>
        <w:t xml:space="preserve">State how the trial results will be reported, e.g., a relative</w:t>
      </w:r>
      <w:r>
        <w:rPr>
          <w:iCs/>
          <w:i/>
        </w:rPr>
        <w:t xml:space="preserve"> </w:t>
      </w:r>
      <w:r>
        <w:rPr>
          <w:iCs/>
          <w:i/>
        </w:rPr>
        <w:t xml:space="preserve">treatment effect with associated 95% confidence interval and</w:t>
      </w:r>
      <w:r>
        <w:rPr>
          <w:iCs/>
          <w:i/>
        </w:rPr>
        <w:t xml:space="preserve"> </w:t>
      </w:r>
      <w:r>
        <w:rPr>
          <w:iCs/>
          <w:i/>
        </w:rPr>
        <w:t xml:space="preserve">p-value.</w:t>
      </w:r>
    </w:p>
    <w:p>
      <w:pPr>
        <w:numPr>
          <w:ilvl w:val="0"/>
          <w:numId w:val="1008"/>
        </w:numPr>
      </w:pPr>
      <w:r>
        <w:rPr>
          <w:iCs/>
          <w:i/>
        </w:rPr>
        <w:t xml:space="preserve">State if one- or two-sided tests of statistical significance will</w:t>
      </w:r>
      <w:r>
        <w:rPr>
          <w:iCs/>
          <w:i/>
        </w:rPr>
        <w:t xml:space="preserve"> </w:t>
      </w:r>
      <w:r>
        <w:rPr>
          <w:iCs/>
          <w:i/>
        </w:rPr>
        <w:t xml:space="preserve">be used. Justify the use of one-sided tests in particular.</w:t>
      </w:r>
    </w:p>
    <w:p>
      <w:pPr>
        <w:numPr>
          <w:ilvl w:val="0"/>
          <w:numId w:val="1008"/>
        </w:numPr>
      </w:pPr>
      <w:r>
        <w:rPr>
          <w:iCs/>
          <w:i/>
        </w:rPr>
        <w:t xml:space="preserve">If hypothesis testing is not appropriate, an alternative process</w:t>
      </w:r>
      <w:r>
        <w:rPr>
          <w:iCs/>
          <w:i/>
        </w:rPr>
        <w:t xml:space="preserve"> </w:t>
      </w:r>
      <w:r>
        <w:rPr>
          <w:iCs/>
          <w:i/>
        </w:rPr>
        <w:t xml:space="preserve">for arriving at statistical conclusions should be provided.</w:t>
      </w:r>
    </w:p>
    <w:bookmarkEnd w:id="61"/>
    <w:bookmarkStart w:id="62" w:name="drop-outs"/>
    <w:p>
      <w:pPr>
        <w:pStyle w:val="Heading4"/>
      </w:pPr>
      <w:r>
        <w:t xml:space="preserve">7.16.2.2</w:t>
      </w:r>
      <w:r>
        <w:t xml:space="preserve"> </w:t>
      </w:r>
      <w:r>
        <w:rPr>
          <w:bCs/>
          <w:b/>
        </w:rPr>
        <w:t xml:space="preserve">Drop-outs</w:t>
      </w:r>
    </w:p>
    <w:p>
      <w:pPr>
        <w:numPr>
          <w:ilvl w:val="0"/>
          <w:numId w:val="1009"/>
        </w:numPr>
      </w:pPr>
      <w:r>
        <w:rPr>
          <w:iCs/>
          <w:i/>
        </w:rPr>
        <w:t xml:space="preserve">Specify how drop-outs and missing values will be handled. For</w:t>
      </w:r>
      <w:r>
        <w:rPr>
          <w:iCs/>
          <w:i/>
        </w:rPr>
        <w:t xml:space="preserve"> </w:t>
      </w:r>
      <w:r>
        <w:rPr>
          <w:iCs/>
          <w:i/>
        </w:rPr>
        <w:t xml:space="preserve">planned imputation of missing values, the method for this must be</w:t>
      </w:r>
      <w:r>
        <w:rPr>
          <w:iCs/>
          <w:i/>
        </w:rPr>
        <w:t xml:space="preserve"> </w:t>
      </w:r>
      <w:r>
        <w:rPr>
          <w:iCs/>
          <w:i/>
        </w:rPr>
        <w:t xml:space="preserve">stated.</w:t>
      </w:r>
    </w:p>
    <w:p>
      <w:pPr>
        <w:numPr>
          <w:ilvl w:val="0"/>
          <w:numId w:val="1009"/>
        </w:numPr>
      </w:pPr>
      <w:r>
        <w:rPr>
          <w:iCs/>
          <w:i/>
        </w:rPr>
        <w:t xml:space="preserve">State how any deviations from the original statistical analysis</w:t>
      </w:r>
      <w:r>
        <w:rPr>
          <w:iCs/>
          <w:i/>
        </w:rPr>
        <w:t xml:space="preserve"> </w:t>
      </w:r>
      <w:r>
        <w:rPr>
          <w:iCs/>
          <w:i/>
        </w:rPr>
        <w:t xml:space="preserve">plan will be reported.</w:t>
      </w:r>
    </w:p>
    <w:bookmarkEnd w:id="62"/>
    <w:bookmarkEnd w:id="63"/>
    <w:bookmarkStart w:id="64" w:name="X896bf6c42ae15110ac332d49639cc30532a3d51"/>
    <w:p>
      <w:pPr>
        <w:pStyle w:val="Heading3"/>
      </w:pPr>
      <w:r>
        <w:t xml:space="preserve">7.16.3 Adjustment of significance and confidence interval</w:t>
      </w:r>
    </w:p>
    <w:p>
      <w:pPr>
        <w:numPr>
          <w:ilvl w:val="0"/>
          <w:numId w:val="1010"/>
        </w:numPr>
        <w:pStyle w:val="Compact"/>
      </w:pPr>
      <w:r>
        <w:rPr>
          <w:iCs/>
          <w:i/>
        </w:rPr>
        <w:t xml:space="preserve">Indicate possible tests for multiple comparisons. Adjustment should</w:t>
      </w:r>
      <w:r>
        <w:rPr>
          <w:iCs/>
          <w:i/>
        </w:rPr>
        <w:t xml:space="preserve"> </w:t>
      </w:r>
      <w:r>
        <w:rPr>
          <w:iCs/>
          <w:i/>
        </w:rPr>
        <w:t xml:space="preserve">always be considered for multiple primary outcomes. Specify details</w:t>
      </w:r>
      <w:r>
        <w:rPr>
          <w:iCs/>
          <w:i/>
        </w:rPr>
        <w:t xml:space="preserve"> </w:t>
      </w:r>
      <w:r>
        <w:rPr>
          <w:iCs/>
          <w:i/>
        </w:rPr>
        <w:t xml:space="preserve">of any adjustment procedures or provide an explanation for why</w:t>
      </w:r>
      <w:r>
        <w:rPr>
          <w:iCs/>
          <w:i/>
        </w:rPr>
        <w:t xml:space="preserve"> </w:t>
      </w:r>
      <w:r>
        <w:rPr>
          <w:iCs/>
          <w:i/>
        </w:rPr>
        <w:t xml:space="preserve">adjustment is not considered necessary.</w:t>
      </w:r>
    </w:p>
    <w:bookmarkEnd w:id="64"/>
    <w:bookmarkStart w:id="65" w:name="sample-size-calculations"/>
    <w:p>
      <w:pPr>
        <w:pStyle w:val="Heading3"/>
      </w:pPr>
      <w:r>
        <w:t xml:space="preserve">7.16.4 Sample size calculations</w:t>
      </w:r>
    </w:p>
    <w:p>
      <w:pPr>
        <w:numPr>
          <w:ilvl w:val="0"/>
          <w:numId w:val="1011"/>
        </w:numPr>
      </w:pPr>
      <w:r>
        <w:rPr>
          <w:iCs/>
          <w:i/>
        </w:rPr>
        <w:t xml:space="preserve">State the total number of subjects needed for the trial. Sample</w:t>
      </w:r>
      <w:r>
        <w:rPr>
          <w:iCs/>
          <w:i/>
        </w:rPr>
        <w:t xml:space="preserve"> </w:t>
      </w:r>
      <w:r>
        <w:rPr>
          <w:iCs/>
          <w:i/>
        </w:rPr>
        <w:t xml:space="preserve">size calculations should be performed for all primary outcome</w:t>
      </w:r>
      <w:r>
        <w:rPr>
          <w:iCs/>
          <w:i/>
        </w:rPr>
        <w:t xml:space="preserve"> </w:t>
      </w:r>
      <w:r>
        <w:rPr>
          <w:iCs/>
          <w:i/>
        </w:rPr>
        <w:t xml:space="preserve">variables (in the case of several). In the case of multicentre</w:t>
      </w:r>
      <w:r>
        <w:rPr>
          <w:iCs/>
          <w:i/>
        </w:rPr>
        <w:t xml:space="preserve"> </w:t>
      </w:r>
      <w:r>
        <w:rPr>
          <w:iCs/>
          <w:i/>
        </w:rPr>
        <w:t xml:space="preserve">trials, the number of subjects at each site should be stated.</w:t>
      </w:r>
    </w:p>
    <w:p>
      <w:pPr>
        <w:numPr>
          <w:ilvl w:val="0"/>
          <w:numId w:val="1011"/>
        </w:numPr>
      </w:pPr>
      <w:r>
        <w:rPr>
          <w:iCs/>
          <w:i/>
        </w:rPr>
        <w:t xml:space="preserve">State and motivate the effect size (e.g., group differences,</w:t>
      </w:r>
      <w:r>
        <w:rPr>
          <w:iCs/>
          <w:i/>
        </w:rPr>
        <w:t xml:space="preserve"> </w:t>
      </w:r>
      <w:r>
        <w:rPr>
          <w:iCs/>
          <w:i/>
        </w:rPr>
        <w:t xml:space="preserve">standard deviations) that sample size calculation builds upon,</w:t>
      </w:r>
      <w:r>
        <w:rPr>
          <w:iCs/>
          <w:i/>
        </w:rPr>
        <w:t xml:space="preserve"> </w:t>
      </w:r>
      <w:r>
        <w:rPr>
          <w:iCs/>
          <w:i/>
        </w:rPr>
        <w:t xml:space="preserve">usually the smallest clinically relevant effect.</w:t>
      </w:r>
    </w:p>
    <w:p>
      <w:pPr>
        <w:numPr>
          <w:ilvl w:val="0"/>
          <w:numId w:val="1011"/>
        </w:numPr>
      </w:pPr>
      <w:r>
        <w:rPr>
          <w:iCs/>
          <w:i/>
        </w:rPr>
        <w:t xml:space="preserve">Specify in detail the assumptions on which the sample size is</w:t>
      </w:r>
      <w:r>
        <w:rPr>
          <w:iCs/>
          <w:i/>
        </w:rPr>
        <w:t xml:space="preserve"> </w:t>
      </w:r>
      <w:r>
        <w:rPr>
          <w:iCs/>
          <w:i/>
        </w:rPr>
        <w:t xml:space="preserve">based. Specify in particular:</w:t>
      </w:r>
    </w:p>
    <w:p>
      <w:pPr>
        <w:numPr>
          <w:ilvl w:val="1"/>
          <w:numId w:val="1012"/>
        </w:numPr>
      </w:pPr>
      <w:r>
        <w:rPr>
          <w:iCs/>
          <w:i/>
        </w:rPr>
        <w:t xml:space="preserve">method by which the sample size is calculated</w:t>
      </w:r>
    </w:p>
    <w:p>
      <w:pPr>
        <w:numPr>
          <w:ilvl w:val="1"/>
          <w:numId w:val="1012"/>
        </w:numPr>
      </w:pPr>
      <w:r>
        <w:rPr>
          <w:iCs/>
          <w:i/>
        </w:rPr>
        <w:t xml:space="preserve">significance level</w:t>
      </w:r>
    </w:p>
    <w:p>
      <w:pPr>
        <w:numPr>
          <w:ilvl w:val="1"/>
          <w:numId w:val="1012"/>
        </w:numPr>
      </w:pPr>
      <w:r>
        <w:rPr>
          <w:iCs/>
          <w:i/>
        </w:rPr>
        <w:t xml:space="preserve">desired power</w:t>
      </w:r>
    </w:p>
    <w:p>
      <w:pPr>
        <w:numPr>
          <w:ilvl w:val="1"/>
          <w:numId w:val="1012"/>
        </w:numPr>
      </w:pPr>
      <w:r>
        <w:rPr>
          <w:iCs/>
          <w:i/>
        </w:rPr>
        <w:t xml:space="preserve">compensation for expected drop-outs</w:t>
      </w:r>
    </w:p>
    <w:p>
      <w:pPr>
        <w:numPr>
          <w:ilvl w:val="1"/>
          <w:numId w:val="1012"/>
        </w:numPr>
      </w:pPr>
      <w:r>
        <w:rPr>
          <w:iCs/>
          <w:i/>
        </w:rPr>
        <w:t xml:space="preserve">handling of any corrections for multiple comparisons</w:t>
      </w:r>
    </w:p>
    <w:bookmarkEnd w:id="65"/>
    <w:bookmarkStart w:id="66" w:name="interim-analysis-if-relevant"/>
    <w:p>
      <w:pPr>
        <w:pStyle w:val="Heading3"/>
      </w:pPr>
      <w:r>
        <w:t xml:space="preserve">7.16.5 Interim analysis (if relevant)</w:t>
      </w:r>
    </w:p>
    <w:p>
      <w:pPr>
        <w:numPr>
          <w:ilvl w:val="0"/>
          <w:numId w:val="1013"/>
        </w:numPr>
      </w:pPr>
      <w:r>
        <w:rPr>
          <w:iCs/>
          <w:i/>
        </w:rPr>
        <w:t xml:space="preserve">A description of the statistical methods to be applied.</w:t>
      </w:r>
    </w:p>
    <w:p>
      <w:pPr>
        <w:numPr>
          <w:ilvl w:val="0"/>
          <w:numId w:val="1013"/>
        </w:numPr>
      </w:pPr>
      <w:r>
        <w:rPr>
          <w:iCs/>
          <w:i/>
        </w:rPr>
        <w:t xml:space="preserve">Time points for interim analyses.</w:t>
      </w:r>
    </w:p>
    <w:p>
      <w:pPr>
        <w:numPr>
          <w:ilvl w:val="0"/>
          <w:numId w:val="1013"/>
        </w:numPr>
      </w:pPr>
      <w:r>
        <w:rPr>
          <w:iCs/>
          <w:i/>
        </w:rPr>
        <w:t xml:space="preserve">Criteria for trial termination.</w:t>
      </w:r>
    </w:p>
    <w:p>
      <w:pPr>
        <w:numPr>
          <w:ilvl w:val="0"/>
          <w:numId w:val="1013"/>
        </w:numPr>
      </w:pPr>
      <w:r>
        <w:rPr>
          <w:iCs/>
          <w:i/>
        </w:rPr>
        <w:t xml:space="preserve">Potential need for recalculation of sample size.</w:t>
      </w:r>
    </w:p>
    <w:bookmarkEnd w:id="66"/>
    <w:bookmarkEnd w:id="67"/>
    <w:bookmarkStart w:id="68" w:name="quality-control-and-quality-assurance"/>
    <w:p>
      <w:pPr>
        <w:pStyle w:val="Heading2"/>
      </w:pPr>
      <w:r>
        <w:t xml:space="preserve">7.17 Quality Control and Quality Assurance</w:t>
      </w:r>
    </w:p>
    <w:p>
      <w:pPr>
        <w:pStyle w:val="FirstParagraph"/>
      </w:pPr>
      <w:r>
        <w:rPr>
          <w:iCs/>
          <w:i/>
        </w:rPr>
        <w:t xml:space="preserve">In a clinical trial for medicinal products the sponsor is responsible</w:t>
      </w:r>
      <w:r>
        <w:rPr>
          <w:iCs/>
          <w:i/>
        </w:rPr>
        <w:t xml:space="preserve"> </w:t>
      </w:r>
      <w:r>
        <w:rPr>
          <w:iCs/>
          <w:i/>
        </w:rPr>
        <w:t xml:space="preserve">for Quality Control (monitoring) and Quality Assurance (auditing). An</w:t>
      </w:r>
      <w:r>
        <w:rPr>
          <w:iCs/>
          <w:i/>
        </w:rPr>
        <w:t xml:space="preserve"> </w:t>
      </w:r>
      <w:r>
        <w:rPr>
          <w:iCs/>
          <w:i/>
        </w:rPr>
        <w:t xml:space="preserve">independent review (monitoring) should be carried out for all clinical</w:t>
      </w:r>
      <w:r>
        <w:rPr>
          <w:iCs/>
          <w:i/>
        </w:rPr>
        <w:t xml:space="preserve"> </w:t>
      </w:r>
      <w:r>
        <w:rPr>
          <w:iCs/>
          <w:i/>
        </w:rPr>
        <w:t xml:space="preserve">trials for medicinal products. The sponsor is responsible for appointing</w:t>
      </w:r>
      <w:r>
        <w:rPr>
          <w:iCs/>
          <w:i/>
        </w:rPr>
        <w:t xml:space="preserve"> </w:t>
      </w:r>
      <w:r>
        <w:rPr>
          <w:iCs/>
          <w:i/>
        </w:rPr>
        <w:t xml:space="preserve">a monitor and for the quality throughout the trial; design, conduct,</w:t>
      </w:r>
      <w:r>
        <w:rPr>
          <w:iCs/>
          <w:i/>
        </w:rPr>
        <w:t xml:space="preserve"> </w:t>
      </w:r>
      <w:r>
        <w:rPr>
          <w:iCs/>
          <w:i/>
        </w:rPr>
        <w:t xml:space="preserve">data collection, evaluation, reporting, and archiving. Methods used</w:t>
      </w:r>
      <w:r>
        <w:rPr>
          <w:iCs/>
          <w:i/>
        </w:rPr>
        <w:t xml:space="preserve"> </w:t>
      </w:r>
      <w:r>
        <w:rPr>
          <w:iCs/>
          <w:i/>
        </w:rPr>
        <w:t xml:space="preserve">should be proportionate in relation to the trial’s risks.</w:t>
      </w:r>
    </w:p>
    <w:p>
      <w:pPr>
        <w:pStyle w:val="BodyText"/>
      </w:pPr>
      <w:r>
        <w:rPr>
          <w:iCs/>
          <w:i/>
        </w:rPr>
        <w:t xml:space="preserve">There may be less stringent rules for low-intervention clinical trials</w:t>
      </w:r>
      <w:r>
        <w:rPr>
          <w:iCs/>
          <w:i/>
        </w:rPr>
        <w:t xml:space="preserve"> </w:t>
      </w:r>
      <w:r>
        <w:rPr>
          <w:iCs/>
          <w:i/>
        </w:rPr>
        <w:t xml:space="preserve">(see cover page), e.g. limited monitoring requirements.</w:t>
      </w:r>
    </w:p>
    <w:bookmarkEnd w:id="68"/>
    <w:bookmarkStart w:id="69" w:name="quality-assurance-and-sponsor-oversight"/>
    <w:p>
      <w:pPr>
        <w:pStyle w:val="Heading2"/>
      </w:pPr>
      <w:r>
        <w:t xml:space="preserve">7.18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p>
    <w:bookmarkEnd w:id="69"/>
    <w:bookmarkStart w:id="71" w:name="monitoring"/>
    <w:p>
      <w:pPr>
        <w:pStyle w:val="Heading2"/>
      </w:pPr>
      <w:r>
        <w:t xml:space="preserve">7.19 Monitoring</w:t>
      </w:r>
    </w:p>
    <w:p>
      <w:pPr>
        <w:pStyle w:val="FirstParagraph"/>
      </w:pPr>
      <w:r>
        <w:rPr>
          <w:iCs/>
          <w:i/>
        </w:rPr>
        <w:t xml:space="preserve">The minimum level for quality control is that the following can be</w:t>
      </w:r>
      <w:r>
        <w:rPr>
          <w:iCs/>
          <w:i/>
        </w:rPr>
        <w:t xml:space="preserve"> </w:t>
      </w:r>
      <w:r>
        <w:rPr>
          <w:iCs/>
          <w:i/>
        </w:rPr>
        <w:t xml:space="preserve">verified:</w:t>
      </w:r>
    </w:p>
    <w:p>
      <w:pPr>
        <w:numPr>
          <w:ilvl w:val="0"/>
          <w:numId w:val="1014"/>
        </w:numPr>
      </w:pPr>
      <w:r>
        <w:rPr>
          <w:iCs/>
          <w:i/>
        </w:rPr>
        <w:t xml:space="preserve">that subjects exist</w:t>
      </w:r>
    </w:p>
    <w:p>
      <w:pPr>
        <w:numPr>
          <w:ilvl w:val="0"/>
          <w:numId w:val="1014"/>
        </w:numPr>
      </w:pPr>
      <w:r>
        <w:rPr>
          <w:iCs/>
          <w:i/>
        </w:rPr>
        <w:t xml:space="preserve">that informed consent has been signed prior to execution of any</w:t>
      </w:r>
      <w:r>
        <w:rPr>
          <w:iCs/>
          <w:i/>
        </w:rPr>
        <w:t xml:space="preserve"> </w:t>
      </w:r>
      <w:r>
        <w:rPr>
          <w:iCs/>
          <w:i/>
        </w:rPr>
        <w:t xml:space="preserve">trial-specific actions</w:t>
      </w:r>
    </w:p>
    <w:p>
      <w:pPr>
        <w:numPr>
          <w:ilvl w:val="0"/>
          <w:numId w:val="1014"/>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14"/>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r>
        <w:rPr>
          <w:rStyle w:val="FootnoteReference"/>
        </w:rPr>
        <w:footnoteReference w:id="70"/>
      </w:r>
    </w:p>
    <w:bookmarkEnd w:id="71"/>
    <w:bookmarkStart w:id="72" w:name="source-data"/>
    <w:p>
      <w:pPr>
        <w:pStyle w:val="Heading2"/>
      </w:pPr>
      <w:r>
        <w:t xml:space="preserve">7.20 Source data</w:t>
      </w:r>
    </w:p>
    <w:p>
      <w:pPr>
        <w:pStyle w:val="FirstParagraph"/>
      </w:pPr>
      <w:r>
        <w:rPr>
          <w:iCs/>
          <w:i/>
        </w:rPr>
        <w:t xml:space="preserve">Refer to, and indicate in the site-specific source data reference</w:t>
      </w:r>
      <w:r>
        <w:rPr>
          <w:iCs/>
          <w:i/>
        </w:rPr>
        <w:t xml:space="preserve"> </w:t>
      </w:r>
      <w:r>
        <w:rPr>
          <w:iCs/>
          <w:i/>
        </w:rPr>
        <w:t xml:space="preserve">document of the trial site, the location of the source data for each</w:t>
      </w:r>
      <w:r>
        <w:rPr>
          <w:iCs/>
          <w:i/>
        </w:rPr>
        <w:t xml:space="preserve"> </w:t>
      </w:r>
      <w:r>
        <w:rPr>
          <w:iCs/>
          <w:i/>
        </w:rPr>
        <w:t xml:space="preserve">variable. The CRF may in specific cases be defined as the source data</w:t>
      </w:r>
      <w:r>
        <w:rPr>
          <w:iCs/>
          <w:i/>
        </w:rPr>
        <w:t xml:space="preserve"> </w:t>
      </w:r>
      <w:r>
        <w:rPr>
          <w:iCs/>
          <w:i/>
        </w:rPr>
        <w:t xml:space="preserve">for specific endpoints (variables) that are not recorded elsewhere, in</w:t>
      </w:r>
      <w:r>
        <w:rPr>
          <w:iCs/>
          <w:i/>
        </w:rPr>
        <w:t xml:space="preserve"> </w:t>
      </w:r>
      <w:r>
        <w:rPr>
          <w:iCs/>
          <w:i/>
        </w:rPr>
        <w:t xml:space="preserve">which case the data are recorded directly in the CRF.</w:t>
      </w:r>
    </w:p>
    <w:p>
      <w:pPr>
        <w:pStyle w:val="BodyText"/>
      </w:pPr>
      <w:r>
        <w:rPr>
          <w:iCs/>
          <w:i/>
        </w:rPr>
        <w:t xml:space="preserve">Also describe that the monitor has access to medical records and source</w:t>
      </w:r>
      <w:r>
        <w:rPr>
          <w:iCs/>
          <w:i/>
        </w:rPr>
        <w:t xml:space="preserve"> </w:t>
      </w:r>
      <w:r>
        <w:rPr>
          <w:iCs/>
          <w:i/>
        </w:rPr>
        <w:t xml:space="preserve">data after secrecy agreements have been signed by the responsible party</w:t>
      </w:r>
      <w:r>
        <w:rPr>
          <w:iCs/>
          <w:i/>
        </w:rPr>
        <w:t xml:space="preserve"> </w:t>
      </w:r>
      <w:r>
        <w:rPr>
          <w:iCs/>
          <w:i/>
        </w:rPr>
        <w:t xml:space="preserve">at the site and by the monitor. Subjects have provided consent by</w:t>
      </w:r>
      <w:r>
        <w:rPr>
          <w:iCs/>
          <w:i/>
        </w:rPr>
        <w:t xml:space="preserve"> </w:t>
      </w:r>
      <w:r>
        <w:rPr>
          <w:iCs/>
          <w:i/>
        </w:rPr>
        <w:t xml:space="preserve">signing the Subject Information and Informed Consent Form where this is</w:t>
      </w:r>
      <w:r>
        <w:rPr>
          <w:iCs/>
          <w:i/>
        </w:rPr>
        <w:t xml:space="preserve"> </w:t>
      </w:r>
      <w:r>
        <w:rPr>
          <w:iCs/>
          <w:i/>
        </w:rPr>
        <w:t xml:space="preserve">specified.</w:t>
      </w:r>
    </w:p>
    <w:p>
      <w:pPr>
        <w:pStyle w:val="BodyText"/>
      </w:pPr>
      <w:r>
        <w:rPr>
          <w:iCs/>
          <w:i/>
        </w:rPr>
        <w:t xml:space="preserve">Text suggestion:</w:t>
      </w:r>
      <w:r>
        <w:t xml:space="preserve"> </w:t>
      </w:r>
      <w:r>
        <w:t xml:space="preserve">The investigator must keep source documents for each</w:t>
      </w:r>
      <w:r>
        <w:t xml:space="preserve"> </w:t>
      </w:r>
      <w:r>
        <w:t xml:space="preserve">subject in the trial. A document describing what has been classified as</w:t>
      </w:r>
      <w:r>
        <w:t xml:space="preserve"> </w:t>
      </w:r>
      <w:r>
        <w:t xml:space="preserve">source data in the trial (source data reference document) should be</w:t>
      </w:r>
      <w:r>
        <w:t xml:space="preserve"> </w:t>
      </w:r>
      <w:r>
        <w:t xml:space="preserve">included in the Investigator Site File (ISF). The investigator must</w:t>
      </w:r>
      <w:r>
        <w:t xml:space="preserve"> </w:t>
      </w:r>
      <w:r>
        <w:t xml:space="preserve">ensure that all source documents are accessible for monitoring and other</w:t>
      </w:r>
      <w:r>
        <w:t xml:space="preserve"> </w:t>
      </w:r>
      <w:r>
        <w:t xml:space="preserve">quality control activities.</w:t>
      </w:r>
    </w:p>
    <w:p>
      <w:pPr>
        <w:pStyle w:val="BodyText"/>
      </w:pPr>
      <w:r>
        <w:t xml:space="preserve">Source data is defined before trial start at each individual site and</w:t>
      </w:r>
      <w:r>
        <w:t xml:space="preserve"> </w:t>
      </w:r>
      <w:r>
        <w:t xml:space="preserve">can, in cases where source data is not registered in another document,</w:t>
      </w:r>
      <w:r>
        <w:t xml:space="preserve"> </w:t>
      </w:r>
      <w:r>
        <w:t xml:space="preserve">consist of the CRF. This should be decided in consultation with the</w:t>
      </w:r>
      <w:r>
        <w:t xml:space="preserve"> </w:t>
      </w:r>
      <w:r>
        <w:t xml:space="preserve">monitor and clearly stated in the source data reference document.</w:t>
      </w:r>
    </w:p>
    <w:p>
      <w:pPr>
        <w:pStyle w:val="BodyText"/>
      </w:pPr>
      <w:r>
        <w:t xml:space="preserve">Access to trial-related documentation, such as subjects' medical</w:t>
      </w:r>
      <w:r>
        <w:t xml:space="preserve"> </w:t>
      </w:r>
      <w:r>
        <w:t xml:space="preserve">records, CRFs, other source data and other trial documentation will be</w:t>
      </w:r>
      <w:r>
        <w:t xml:space="preserve"> </w:t>
      </w:r>
      <w:r>
        <w:t xml:space="preserve">provided for monitoring and auditing purposes. Access to subjects'</w:t>
      </w:r>
      <w:r>
        <w:t xml:space="preserve"> </w:t>
      </w:r>
      <w:r>
        <w:t xml:space="preserve">medical records will require a confidentiality agreement to be signed by</w:t>
      </w:r>
      <w:r>
        <w:t xml:space="preserve"> </w:t>
      </w:r>
      <w:r>
        <w:t xml:space="preserve">the person in charge of the medical records at the trial site and by the</w:t>
      </w:r>
      <w:r>
        <w:t xml:space="preserve"> </w:t>
      </w:r>
      <w:r>
        <w:t xml:space="preserve">monitor and auditor, if applicable. Access will also be granted in the</w:t>
      </w:r>
      <w:r>
        <w:t xml:space="preserve"> </w:t>
      </w:r>
      <w:r>
        <w:t xml:space="preserve">context of regulatory inspections.</w:t>
      </w:r>
    </w:p>
    <w:bookmarkEnd w:id="72"/>
    <w:bookmarkStart w:id="74" w:name="Xc375ff589a212c40edd22855353d68d440706fb"/>
    <w:p>
      <w:pPr>
        <w:pStyle w:val="Heading2"/>
      </w:pPr>
      <w:r>
        <w:t xml:space="preserve">7.21 Deviations, serious breaches and other reporting obligations</w:t>
      </w:r>
    </w:p>
    <w:p>
      <w:pPr>
        <w:pStyle w:val="FirstParagraph"/>
      </w:pPr>
      <w:r>
        <w:rPr>
          <w:iCs/>
          <w:i/>
        </w:rPr>
        <w:t xml:space="preserve">The protocol should describe how deviations or serious breaches from</w:t>
      </w:r>
      <w:r>
        <w:rPr>
          <w:iCs/>
          <w:i/>
        </w:rPr>
        <w:t xml:space="preserve"> </w:t>
      </w:r>
      <w:r>
        <w:rPr>
          <w:iCs/>
          <w:i/>
        </w:rPr>
        <w:t xml:space="preserve">Clinical Trials Regulation, the approved trial protocol, ICH-GCP and</w:t>
      </w:r>
      <w:r>
        <w:rPr>
          <w:iCs/>
          <w:i/>
        </w:rPr>
        <w:t xml:space="preserve"> </w:t>
      </w:r>
      <w:r>
        <w:rPr>
          <w:iCs/>
          <w:i/>
        </w:rPr>
        <w:t xml:space="preserve">other regulations, directly affect, or with high likelihood could</w:t>
      </w:r>
      <w:r>
        <w:rPr>
          <w:iCs/>
          <w:i/>
        </w:rPr>
        <w:t xml:space="preserve"> </w:t>
      </w:r>
      <w:r>
        <w:rPr>
          <w:iCs/>
          <w:i/>
        </w:rPr>
        <w:t xml:space="preserve">affect, the safety of subjects and their rights or the reliability and</w:t>
      </w:r>
      <w:r>
        <w:rPr>
          <w:iCs/>
          <w:i/>
        </w:rPr>
        <w:t xml:space="preserve"> </w:t>
      </w:r>
      <w:r>
        <w:rPr>
          <w:iCs/>
          <w:i/>
        </w:rPr>
        <w:t xml:space="preserve">robustness of the data generated in the trial. In addition, the protocol</w:t>
      </w:r>
      <w:r>
        <w:rPr>
          <w:iCs/>
          <w:i/>
        </w:rPr>
        <w:t xml:space="preserve"> </w:t>
      </w:r>
      <w:r>
        <w:rPr>
          <w:iCs/>
          <w:i/>
        </w:rPr>
        <w:t xml:space="preserve">needs to describe how the investigators should report suspected serious</w:t>
      </w:r>
      <w:r>
        <w:rPr>
          <w:iCs/>
          <w:i/>
        </w:rPr>
        <w:t xml:space="preserve"> </w:t>
      </w:r>
      <w:r>
        <w:rPr>
          <w:iCs/>
          <w:i/>
        </w:rPr>
        <w:t xml:space="preserve">breaches to the sponsor.</w:t>
      </w:r>
    </w:p>
    <w:p>
      <w:pPr>
        <w:pStyle w:val="BodyText"/>
      </w:pPr>
      <w:r>
        <w:rPr>
          <w:iCs/>
          <w:i/>
        </w:rPr>
        <w:t xml:space="preserve">Serious breaches should be assessed by the sponsor and without undue</w:t>
      </w:r>
      <w:r>
        <w:rPr>
          <w:iCs/>
          <w:i/>
        </w:rPr>
        <w:t xml:space="preserve"> </w:t>
      </w:r>
      <w:r>
        <w:rPr>
          <w:iCs/>
          <w:i/>
        </w:rPr>
        <w:t xml:space="preserve">delay but at the latest within 7 days be reported by the sponsor to the</w:t>
      </w:r>
      <w:r>
        <w:rPr>
          <w:iCs/>
          <w:i/>
        </w:rPr>
        <w:t xml:space="preserve"> </w:t>
      </w:r>
      <w:r>
        <w:rPr>
          <w:iCs/>
          <w:i/>
        </w:rPr>
        <w:t xml:space="preserve">Swedish Medical Products Agency via CTIS. See also section 13,</w:t>
      </w:r>
      <w:r>
        <w:rPr>
          <w:iCs/>
          <w:i/>
        </w:rPr>
        <w:t xml:space="preserve"> </w:t>
      </w:r>
      <w:r>
        <w:rPr>
          <w:iCs/>
          <w:i/>
        </w:rPr>
        <w:t xml:space="preserve">Substantial changes to the trial.</w:t>
      </w:r>
    </w:p>
    <w:p>
      <w:pPr>
        <w:pStyle w:val="BodyText"/>
      </w:pPr>
      <w:r>
        <w:rPr>
          <w:iCs/>
          <w:i/>
        </w:rPr>
        <w:t xml:space="preserve">Link to Guideline for the notification of serious breaches of</w:t>
      </w:r>
      <w:r>
        <w:rPr>
          <w:iCs/>
          <w:i/>
        </w:rPr>
        <w:t xml:space="preserve"> </w:t>
      </w:r>
      <w:r>
        <w:rPr>
          <w:iCs/>
          <w:i/>
        </w:rPr>
        <w:t xml:space="preserve">Regulation (EU) No 536/2014 or the clinical trial protocol:</w:t>
      </w:r>
      <w:r>
        <w:rPr>
          <w:iCs/>
          <w:i/>
        </w:rPr>
        <w:t xml:space="preserve"> </w:t>
      </w:r>
      <w:hyperlink r:id="rId73">
        <w:r>
          <w:rPr>
            <w:rStyle w:val="Hyperlink"/>
            <w:iCs/>
            <w:i/>
          </w:rPr>
          <w:t xml:space="preserve">https://www.ema.europa.eu/en/documents/scientific-guideline/guideline-notification-serious-breaches-regulation-eu-no-536/2014-clinical-trial-protocol_en.pdf</w:t>
        </w:r>
      </w:hyperlink>
    </w:p>
    <w:p>
      <w:pPr>
        <w:pStyle w:val="BodyText"/>
      </w:pPr>
      <w:r>
        <w:rPr>
          <w:iCs/>
          <w:i/>
        </w:rPr>
        <w:t xml:space="preserve">The sponsor should notify the relevant Member States, via CTIS, of any</w:t>
      </w:r>
      <w:r>
        <w:rPr>
          <w:iCs/>
          <w:i/>
        </w:rPr>
        <w:t xml:space="preserve"> </w:t>
      </w:r>
      <w:r>
        <w:rPr>
          <w:iCs/>
          <w:i/>
        </w:rPr>
        <w:t xml:space="preserve">unexpected events that may affect the benefit/risk relationship of a</w:t>
      </w:r>
      <w:r>
        <w:rPr>
          <w:iCs/>
          <w:i/>
        </w:rPr>
        <w:t xml:space="preserve"> </w:t>
      </w:r>
      <w:r>
        <w:rPr>
          <w:iCs/>
          <w:i/>
        </w:rPr>
        <w:t xml:space="preserve">trial but are not suspected unexpected serious adverse reactions. This</w:t>
      </w:r>
      <w:r>
        <w:rPr>
          <w:iCs/>
          <w:i/>
        </w:rPr>
        <w:t xml:space="preserve"> </w:t>
      </w:r>
      <w:r>
        <w:rPr>
          <w:iCs/>
          <w:i/>
        </w:rPr>
        <w:t xml:space="preserve">should be done without undue delay, but no later than 15 days after the</w:t>
      </w:r>
      <w:r>
        <w:rPr>
          <w:iCs/>
          <w:i/>
        </w:rPr>
        <w:t xml:space="preserve"> </w:t>
      </w:r>
      <w:r>
        <w:rPr>
          <w:iCs/>
          <w:i/>
        </w:rPr>
        <w:t xml:space="preserve">sponsor becomes aware of the event.</w:t>
      </w:r>
    </w:p>
    <w:p>
      <w:pPr>
        <w:pStyle w:val="BodyText"/>
      </w:pPr>
      <w:r>
        <w:rPr>
          <w:iCs/>
          <w:i/>
        </w:rPr>
        <w:t xml:space="preserve">Text suggestion</w:t>
      </w:r>
      <w:r>
        <w:t xml:space="preserve">: The responsible investigator shall, without delay,</w:t>
      </w:r>
      <w:r>
        <w:t xml:space="preserve"> </w:t>
      </w:r>
      <w:r>
        <w:t xml:space="preserve">report to the sponsor any serious breaches and deviations from the trial</w:t>
      </w:r>
      <w:r>
        <w:t xml:space="preserve"> </w:t>
      </w:r>
      <w:r>
        <w:t xml:space="preserve">protocol, ICH-GCP and other regulations that significantly and directly</w:t>
      </w:r>
      <w:r>
        <w:t xml:space="preserve"> </w:t>
      </w:r>
      <w:r>
        <w:t xml:space="preserve">affect, or with high likelihood could affect, the subjects’ safety and</w:t>
      </w:r>
      <w:r>
        <w:t xml:space="preserve"> </w:t>
      </w:r>
      <w:r>
        <w:t xml:space="preserve">integrity or the reliability and robustness of the data generated in the</w:t>
      </w:r>
      <w:r>
        <w:t xml:space="preserve"> </w:t>
      </w:r>
      <w:r>
        <w:t xml:space="preserve">trial. The sponsor should assess the suspected serious breach and the</w:t>
      </w:r>
      <w:r>
        <w:t xml:space="preserve"> </w:t>
      </w:r>
      <w:r>
        <w:t xml:space="preserve">consequences of deviations that have occurred, and, without undue delay</w:t>
      </w:r>
      <w:r>
        <w:t xml:space="preserve"> </w:t>
      </w:r>
      <w:r>
        <w:t xml:space="preserve">but no later than 7 days (from knowledge) report these to the Swedish</w:t>
      </w:r>
      <w:r>
        <w:t xml:space="preserve"> </w:t>
      </w:r>
      <w:r>
        <w:t xml:space="preserve">Medical Products Agency via CTIS.</w:t>
      </w:r>
    </w:p>
    <w:p>
      <w:pPr>
        <w:pStyle w:val="BodyText"/>
      </w:pPr>
      <w:r>
        <w:t xml:space="preserve">Other unexpected events that may affect the benefit/risk relationship</w:t>
      </w:r>
      <w:r>
        <w:t xml:space="preserve"> </w:t>
      </w:r>
      <w:r>
        <w:t xml:space="preserve">must be reported via CTIS without undue delay, but no later than 15 days</w:t>
      </w:r>
      <w:r>
        <w:t xml:space="preserve"> </w:t>
      </w:r>
      <w:r>
        <w:t xml:space="preserve">after the sponsor becomes aware of the event.</w:t>
      </w:r>
    </w:p>
    <w:p>
      <w:pPr>
        <w:pStyle w:val="BodyText"/>
      </w:pPr>
      <w:r>
        <w:t xml:space="preserve">Minor deviations that do not affect subjects’ integrity or safety, nor</w:t>
      </w:r>
      <w:r>
        <w:t xml:space="preserve"> </w:t>
      </w:r>
      <w:r>
        <w:t xml:space="preserve">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74"/>
    <w:bookmarkStart w:id="75" w:name="audits-and-inspections"/>
    <w:p>
      <w:pPr>
        <w:pStyle w:val="Heading2"/>
      </w:pPr>
      <w:r>
        <w:t xml:space="preserve">7.22 Audits and inspections</w:t>
      </w:r>
    </w:p>
    <w:p>
      <w:pPr>
        <w:pStyle w:val="FirstParagraph"/>
      </w:pPr>
      <w:r>
        <w:rPr>
          <w:iCs/>
          <w:i/>
        </w:rPr>
        <w:t xml:space="preserve">Text suggestion:</w:t>
      </w:r>
      <w:r>
        <w:t xml:space="preserve"> </w:t>
      </w:r>
      <w:r>
        <w:t xml:space="preserve">Authorized representatives for the sponsor and</w:t>
      </w:r>
      <w:r>
        <w:t xml:space="preserve"> </w:t>
      </w:r>
      <w:r>
        <w:t xml:space="preserve">Competent Authorities (CA) may carry out audits or inspections at the</w:t>
      </w:r>
      <w:r>
        <w:t xml:space="preserve"> </w:t>
      </w:r>
      <w:r>
        <w:t xml:space="preserve">trial site, including source data verification. The investigator must</w:t>
      </w:r>
      <w:r>
        <w:t xml:space="preserve"> </w:t>
      </w:r>
      <w:r>
        <w:t xml:space="preserve">ensure that all source documents are available for audits and</w:t>
      </w:r>
      <w:r>
        <w:t xml:space="preserve"> </w:t>
      </w:r>
      <w:r>
        <w:t xml:space="preserve">inspections. The purpose of an audit or inspection is to systematically</w:t>
      </w:r>
      <w:r>
        <w:t xml:space="preserve"> </w:t>
      </w:r>
      <w:r>
        <w:t xml:space="preserve">and independently review all trial-related activities and documents, to</w:t>
      </w:r>
      <w:r>
        <w:t xml:space="preserve"> </w:t>
      </w:r>
      <w:r>
        <w:t xml:space="preserve">determine whether these activities were performed, registered, analyzed</w:t>
      </w:r>
      <w:r>
        <w:t xml:space="preserve"> </w:t>
      </w:r>
      <w:r>
        <w:t xml:space="preserve">and reported correctly according to protocol, ICH- GCP and applicable</w:t>
      </w:r>
      <w:r>
        <w:t xml:space="preserve"> </w:t>
      </w:r>
      <w:r>
        <w:t xml:space="preserve">regulations.</w:t>
      </w:r>
    </w:p>
    <w:bookmarkEnd w:id="75"/>
    <w:bookmarkStart w:id="84" w:name="ethics"/>
    <w:p>
      <w:pPr>
        <w:pStyle w:val="Heading2"/>
      </w:pPr>
      <w:r>
        <w:t xml:space="preserve">7.23 Ethics</w:t>
      </w:r>
    </w:p>
    <w:bookmarkStart w:id="76" w:name="Xe0806e4a59e9522910932ff33dfe2dc5d651a67"/>
    <w:p>
      <w:pPr>
        <w:pStyle w:val="Heading3"/>
      </w:pPr>
      <w:r>
        <w:t xml:space="preserve">7.23.1 Compliance to the protocol, ICH-GCP and regulations</w:t>
      </w:r>
    </w:p>
    <w:p>
      <w:pPr>
        <w:pStyle w:val="FirstParagraph"/>
      </w:pPr>
      <w:r>
        <w:rPr>
          <w:iCs/>
          <w:i/>
        </w:rPr>
        <w:t xml:space="preserve">Text suggestion</w:t>
      </w:r>
      <w:r>
        <w:t xml:space="preserve">: The trial will be performed in compliance with this</w:t>
      </w:r>
      <w:r>
        <w:t xml:space="preserve"> </w:t>
      </w:r>
      <w:r>
        <w:t xml:space="preserve">clinical trial protocol, the EU regulation on clinical trials on</w:t>
      </w:r>
      <w:r>
        <w:t xml:space="preserve"> </w:t>
      </w:r>
      <w:r>
        <w:t xml:space="preserve">medicinal products for human use (536/2014), the Declaration of</w:t>
      </w:r>
      <w:r>
        <w:t xml:space="preserve"> </w:t>
      </w:r>
      <w:r>
        <w:t xml:space="preserve">Helsinki, ICH-GCP (Good Clinical Practice), and current national</w:t>
      </w:r>
      <w:r>
        <w:t xml:space="preserve"> </w:t>
      </w:r>
      <w:r>
        <w:t xml:space="preserve">regulations governing this clinical trial. This is to ensure the safety</w:t>
      </w:r>
      <w:r>
        <w:t xml:space="preserve"> </w:t>
      </w:r>
      <w:r>
        <w:t xml:space="preserve">and integrity of the trial subjects as well as the quality of the data</w:t>
      </w:r>
      <w:r>
        <w:t xml:space="preserve"> </w:t>
      </w:r>
      <w:r>
        <w:t xml:space="preserve">collected.</w:t>
      </w:r>
    </w:p>
    <w:bookmarkEnd w:id="76"/>
    <w:bookmarkStart w:id="77" w:name="ethical-review-of-the-trial"/>
    <w:p>
      <w:pPr>
        <w:pStyle w:val="Heading3"/>
      </w:pPr>
      <w:r>
        <w:t xml:space="preserve">7.23.2 Ethical review of the trial</w:t>
      </w:r>
    </w:p>
    <w:p>
      <w:pPr>
        <w:pStyle w:val="FirstParagraph"/>
      </w:pPr>
      <w:r>
        <w:t xml:space="preserve">It will not be possible for patients to opt out from being subjected to the intervention, because the intervention is delivered at the cluster level and involves training physicians in trauma life support, and these physicians cannot be expected to temporarily forget their training.</w:t>
      </w:r>
      <w:r>
        <w:t xml:space="preserve"> </w:t>
      </w:r>
      <w:r>
        <w:t xml:space="preserve">- We will apply for a waiver of informed consent from the ethical review boards at the participating hospitals. We do this because the target population will often have reduced decisional capacity at the time of data collection and the nature of the intervention is such that they can not refuse receiving it.</w:t>
      </w:r>
    </w:p>
    <w:p>
      <w:pPr>
        <w:pStyle w:val="BodyText"/>
      </w:pPr>
      <w:r>
        <w:t xml:space="preserve">Our research measure up to these issues for the following reasons. First, it cannot be conducted using informed consent because the cohort of patients with severe trauma is the group most likely to benefit from improvements in early management and it is therefore crucial to include this population.</w:t>
      </w:r>
    </w:p>
    <w:p>
      <w:pPr>
        <w:pStyle w:val="BodyText"/>
      </w:pPr>
      <w:r>
        <w:rPr>
          <w:iCs/>
          <w:i/>
        </w:rPr>
        <w:t xml:space="preserve">Describe the procedure for approval of the final clinical trial</w:t>
      </w:r>
      <w:r>
        <w:rPr>
          <w:iCs/>
          <w:i/>
        </w:rPr>
        <w:t xml:space="preserve"> </w:t>
      </w:r>
      <w:r>
        <w:rPr>
          <w:iCs/>
          <w:i/>
        </w:rPr>
        <w:t xml:space="preserve">protocol and informed consent form.</w:t>
      </w:r>
      <w:r>
        <w:t xml:space="preserve"> </w:t>
      </w:r>
      <w:r>
        <w:rPr>
          <w:iCs/>
          <w:i/>
        </w:rPr>
        <w:t xml:space="preserve">Application for permission for a</w:t>
      </w:r>
      <w:r>
        <w:rPr>
          <w:iCs/>
          <w:i/>
        </w:rPr>
        <w:t xml:space="preserve"> </w:t>
      </w:r>
      <w:r>
        <w:rPr>
          <w:iCs/>
          <w:i/>
        </w:rPr>
        <w:t xml:space="preserve">clinical trial on medicinal products from the Swedish Medical Products</w:t>
      </w:r>
      <w:r>
        <w:rPr>
          <w:iCs/>
          <w:i/>
        </w:rPr>
        <w:t xml:space="preserve"> </w:t>
      </w:r>
      <w:r>
        <w:rPr>
          <w:iCs/>
          <w:i/>
        </w:rPr>
        <w:t xml:space="preserve">Agency and the Swedish Ethical Review Authority is made via CTIS. The</w:t>
      </w:r>
      <w:r>
        <w:rPr>
          <w:iCs/>
          <w:i/>
        </w:rPr>
        <w:t xml:space="preserve"> </w:t>
      </w:r>
      <w:r>
        <w:rPr>
          <w:iCs/>
          <w:i/>
        </w:rPr>
        <w:t xml:space="preserve">Swedish Medical Products Agency has an obligation to forward the</w:t>
      </w:r>
      <w:r>
        <w:rPr>
          <w:iCs/>
          <w:i/>
        </w:rPr>
        <w:t xml:space="preserve"> </w:t>
      </w:r>
      <w:r>
        <w:rPr>
          <w:iCs/>
          <w:i/>
        </w:rPr>
        <w:t xml:space="preserve">application documents to the Swedish Ethical Review Authority. The</w:t>
      </w:r>
      <w:r>
        <w:rPr>
          <w:iCs/>
          <w:i/>
        </w:rPr>
        <w:t xml:space="preserve"> </w:t>
      </w:r>
      <w:r>
        <w:rPr>
          <w:iCs/>
          <w:i/>
        </w:rPr>
        <w:t xml:space="preserve">Swedish Ethical Review Authority submits its opinion on the application</w:t>
      </w:r>
      <w:r>
        <w:rPr>
          <w:iCs/>
          <w:i/>
        </w:rPr>
        <w:t xml:space="preserve"> </w:t>
      </w:r>
      <w:r>
        <w:rPr>
          <w:iCs/>
          <w:i/>
        </w:rPr>
        <w:t xml:space="preserve">back to the Swedish Medical Products Agency.</w:t>
      </w:r>
    </w:p>
    <w:p>
      <w:pPr>
        <w:pStyle w:val="BodyText"/>
      </w:pPr>
      <w:r>
        <w:rPr>
          <w:iCs/>
          <w:i/>
        </w:rPr>
        <w:t xml:space="preserve">Text suggestion</w:t>
      </w:r>
      <w:r>
        <w:t xml:space="preserve">: The final protocol for clinical trials on medicinal</w:t>
      </w:r>
      <w:r>
        <w:t xml:space="preserve"> </w:t>
      </w:r>
      <w:r>
        <w:t xml:space="preserve">products must be approved, as a part of the application for a permit for</w:t>
      </w:r>
      <w:r>
        <w:t xml:space="preserve"> </w:t>
      </w:r>
      <w:r>
        <w:t xml:space="preserve">clinical trials via CTIS, by both the Swedish Ethical Review Authority</w:t>
      </w:r>
      <w:r>
        <w:t xml:space="preserve"> </w:t>
      </w:r>
      <w:r>
        <w:t xml:space="preserve">and the Swedish Medical Products Agency before the trial can be</w:t>
      </w:r>
      <w:r>
        <w:t xml:space="preserve"> </w:t>
      </w:r>
      <w:r>
        <w:t xml:space="preserve">conducted. The final version of the informed consent form and other</w:t>
      </w:r>
      <w:r>
        <w:t xml:space="preserve"> </w:t>
      </w:r>
      <w:r>
        <w:t xml:space="preserve">information provided to subjects, must be approved or given a written</w:t>
      </w:r>
      <w:r>
        <w:t xml:space="preserve"> </w:t>
      </w:r>
      <w:r>
        <w:t xml:space="preserve">positive opinion by the Swedish Ethical Review Authority. The authority</w:t>
      </w:r>
      <w:r>
        <w:t xml:space="preserve"> </w:t>
      </w:r>
      <w:r>
        <w:t xml:space="preserve">must be informed via CTIS of any changes in the trial protocol in</w:t>
      </w:r>
      <w:r>
        <w:t xml:space="preserve"> </w:t>
      </w:r>
      <w:r>
        <w:t xml:space="preserve">accordance with current requirements.</w:t>
      </w:r>
      <w:r>
        <w:t xml:space="preserve"> </w:t>
      </w:r>
      <w:r>
        <w:rPr>
          <w:iCs/>
          <w:i/>
        </w:rPr>
        <w:t xml:space="preserve">See also section 13, Substantial</w:t>
      </w:r>
      <w:r>
        <w:rPr>
          <w:iCs/>
          <w:i/>
        </w:rPr>
        <w:t xml:space="preserve"> </w:t>
      </w:r>
      <w:r>
        <w:rPr>
          <w:iCs/>
          <w:i/>
        </w:rPr>
        <w:t xml:space="preserve">changes to the trial.</w:t>
      </w:r>
    </w:p>
    <w:bookmarkEnd w:id="77"/>
    <w:bookmarkStart w:id="80" w:name="procedure-for-obtaining-informed-consent"/>
    <w:p>
      <w:pPr>
        <w:pStyle w:val="Heading3"/>
      </w:pPr>
      <w:r>
        <w:t xml:space="preserve">7.23.3 Procedure for obtaining informed consent</w:t>
      </w:r>
    </w:p>
    <w:p>
      <w:pPr>
        <w:pStyle w:val="FirstParagraph"/>
      </w:pPr>
      <w:r>
        <w:rPr>
          <w:iCs/>
          <w:i/>
        </w:rPr>
        <w:t xml:space="preserve">Describe the procedure for how information is given to trial subjects</w:t>
      </w:r>
      <w:r>
        <w:rPr>
          <w:iCs/>
          <w:i/>
        </w:rPr>
        <w:t xml:space="preserve"> </w:t>
      </w:r>
      <w:r>
        <w:rPr>
          <w:iCs/>
          <w:i/>
        </w:rPr>
        <w:t xml:space="preserve">and how consent is obtained. For vulnerable groups see information on</w:t>
      </w:r>
      <w:r>
        <w:rPr>
          <w:iCs/>
          <w:i/>
        </w:rPr>
        <w:t xml:space="preserve"> </w:t>
      </w:r>
      <w:r>
        <w:rPr>
          <w:iCs/>
          <w:i/>
        </w:rPr>
        <w:t xml:space="preserve">the Swedish Medical Products Agency website</w:t>
      </w:r>
      <w:r>
        <w:rPr>
          <w:iCs/>
          <w:i/>
        </w:rPr>
        <w:t xml:space="preserve"> </w:t>
      </w:r>
      <w:r>
        <w:rPr>
          <w:iCs/>
          <w:i/>
        </w:rPr>
        <w:t xml:space="preserve">(</w:t>
      </w:r>
      <w:hyperlink r:id="rId78">
        <w:r>
          <w:rPr>
            <w:rStyle w:val="Hyperlink"/>
            <w:iCs/>
            <w:i/>
          </w:rPr>
          <w:t xml:space="preserve">link</w:t>
        </w:r>
      </w:hyperlink>
      <w:r>
        <w:rPr>
          <w:iCs/>
          <w:i/>
        </w:rPr>
        <w:t xml:space="preserve">)</w:t>
      </w:r>
      <w:r>
        <w:rPr>
          <w:iCs/>
          <w:i/>
        </w:rPr>
        <w:t xml:space="preserve"> </w:t>
      </w:r>
      <w:r>
        <w:rPr>
          <w:iCs/>
          <w:i/>
        </w:rPr>
        <w:t xml:space="preserve">and Chapter V of the</w:t>
      </w:r>
      <w:r>
        <w:rPr>
          <w:iCs/>
          <w:i/>
        </w:rPr>
        <w:t xml:space="preserve"> </w:t>
      </w:r>
      <w:hyperlink r:id="rId79">
        <w:r>
          <w:rPr>
            <w:rStyle w:val="Hyperlink"/>
            <w:iCs/>
            <w:i/>
          </w:rPr>
          <w:t xml:space="preserve">CTR</w:t>
        </w:r>
      </w:hyperlink>
      <w:r>
        <w:rPr>
          <w:iCs/>
          <w:i/>
        </w:rPr>
        <w:t xml:space="preserve">.</w:t>
      </w:r>
    </w:p>
    <w:p>
      <w:pPr>
        <w:pStyle w:val="BodyText"/>
      </w:pPr>
      <w:r>
        <w:rPr>
          <w:iCs/>
          <w:i/>
        </w:rPr>
        <w:t xml:space="preserve">Remember to adapt and describe the procedure based on whether the</w:t>
      </w:r>
      <w:r>
        <w:rPr>
          <w:iCs/>
          <w:i/>
        </w:rPr>
        <w:t xml:space="preserve"> </w:t>
      </w:r>
      <w:r>
        <w:rPr>
          <w:iCs/>
          <w:i/>
        </w:rPr>
        <w:t xml:space="preserve">subject is a child. In trials where minors participate, the consent of</w:t>
      </w:r>
      <w:r>
        <w:rPr>
          <w:iCs/>
          <w:i/>
        </w:rPr>
        <w:t xml:space="preserve"> </w:t>
      </w:r>
      <w:r>
        <w:rPr>
          <w:iCs/>
          <w:i/>
        </w:rPr>
        <w:t xml:space="preserve">both parents (legal representatives of the minor) must be obtained.</w:t>
      </w:r>
      <w:r>
        <w:rPr>
          <w:iCs/>
          <w:i/>
        </w:rPr>
        <w:t xml:space="preserve"> </w:t>
      </w:r>
      <w:r>
        <w:rPr>
          <w:iCs/>
          <w:i/>
        </w:rPr>
        <w:t xml:space="preserve">According to the Medicines Act, a minor who has reached the age of 15</w:t>
      </w:r>
      <w:r>
        <w:rPr>
          <w:iCs/>
          <w:i/>
        </w:rPr>
        <w:t xml:space="preserve"> </w:t>
      </w:r>
      <w:r>
        <w:rPr>
          <w:iCs/>
          <w:i/>
        </w:rPr>
        <w:t xml:space="preserve">must also give his or her informed consent to participate in the</w:t>
      </w:r>
      <w:r>
        <w:rPr>
          <w:iCs/>
          <w:i/>
        </w:rPr>
        <w:t xml:space="preserve"> </w:t>
      </w:r>
      <w:r>
        <w:rPr>
          <w:iCs/>
          <w:i/>
        </w:rPr>
        <w:t xml:space="preserve">clinical trial of a medicinal product, provided that the minor</w:t>
      </w:r>
      <w:r>
        <w:rPr>
          <w:iCs/>
          <w:i/>
        </w:rPr>
        <w:t xml:space="preserve"> </w:t>
      </w:r>
      <w:r>
        <w:rPr>
          <w:iCs/>
          <w:i/>
        </w:rPr>
        <w:t xml:space="preserve">understands the implications of the trial for him or her. In Sweden, a</w:t>
      </w:r>
      <w:r>
        <w:rPr>
          <w:iCs/>
          <w:i/>
        </w:rPr>
        <w:t xml:space="preserve"> </w:t>
      </w:r>
      <w:r>
        <w:rPr>
          <w:iCs/>
          <w:i/>
        </w:rPr>
        <w:t xml:space="preserve">minor means a person younger than 18 years of age.</w:t>
      </w:r>
    </w:p>
    <w:p>
      <w:pPr>
        <w:pStyle w:val="BodyText"/>
      </w:pPr>
      <w:r>
        <w:rPr>
          <w:iCs/>
          <w:i/>
        </w:rPr>
        <w:t xml:space="preserve">The principal investigator (or the person to whom the task has been</w:t>
      </w:r>
      <w:r>
        <w:rPr>
          <w:iCs/>
          <w:i/>
        </w:rPr>
        <w:t xml:space="preserve"> </w:t>
      </w:r>
      <w:r>
        <w:rPr>
          <w:iCs/>
          <w:i/>
        </w:rPr>
        <w:t xml:space="preserve">delegated) must provide both oral and written information to the</w:t>
      </w:r>
      <w:r>
        <w:rPr>
          <w:iCs/>
          <w:i/>
        </w:rPr>
        <w:t xml:space="preserve"> </w:t>
      </w:r>
      <w:r>
        <w:rPr>
          <w:iCs/>
          <w:i/>
        </w:rPr>
        <w:t xml:space="preserve">intended subject regarding what participation in the trial entails. Keep</w:t>
      </w:r>
      <w:r>
        <w:rPr>
          <w:iCs/>
          <w:i/>
        </w:rPr>
        <w:t xml:space="preserve"> </w:t>
      </w:r>
      <w:r>
        <w:rPr>
          <w:iCs/>
          <w:i/>
        </w:rPr>
        <w:t xml:space="preserve">in mind that in a clinical trial for investigational medicinal products,</w:t>
      </w:r>
      <w:r>
        <w:rPr>
          <w:iCs/>
          <w:i/>
        </w:rPr>
        <w:t xml:space="preserve"> </w:t>
      </w:r>
      <w:r>
        <w:rPr>
          <w:iCs/>
          <w:i/>
        </w:rPr>
        <w:t xml:space="preserve">informed consent must be obtained by a licensed physician.</w:t>
      </w:r>
    </w:p>
    <w:p>
      <w:pPr>
        <w:pStyle w:val="BodyText"/>
      </w:pPr>
      <w:r>
        <w:rPr>
          <w:iCs/>
          <w:i/>
        </w:rPr>
        <w:t xml:space="preserve">A copy of the subject information as well as the signed informed</w:t>
      </w:r>
      <w:r>
        <w:rPr>
          <w:iCs/>
          <w:i/>
        </w:rPr>
        <w:t xml:space="preserve"> </w:t>
      </w:r>
      <w:r>
        <w:rPr>
          <w:iCs/>
          <w:i/>
        </w:rPr>
        <w:t xml:space="preserve">consent form shall be provided to the subject.</w:t>
      </w:r>
    </w:p>
    <w:p>
      <w:pPr>
        <w:pStyle w:val="BodyText"/>
      </w:pPr>
      <w:r>
        <w:rPr>
          <w:iCs/>
          <w:i/>
        </w:rPr>
        <w:t xml:space="preserve">If the subject information changes during the trial execution, the</w:t>
      </w:r>
      <w:r>
        <w:rPr>
          <w:iCs/>
          <w:i/>
        </w:rPr>
        <w:t xml:space="preserve"> </w:t>
      </w:r>
      <w:r>
        <w:rPr>
          <w:iCs/>
          <w:i/>
        </w:rPr>
        <w:t xml:space="preserve">subject has the right to once again decide whether he/she would like to</w:t>
      </w:r>
      <w:r>
        <w:rPr>
          <w:iCs/>
          <w:i/>
        </w:rPr>
        <w:t xml:space="preserve"> </w:t>
      </w:r>
      <w:r>
        <w:rPr>
          <w:iCs/>
          <w:i/>
        </w:rPr>
        <w:t xml:space="preserve">continue their participation. This occurs by allowing the subject to</w:t>
      </w:r>
      <w:r>
        <w:rPr>
          <w:iCs/>
          <w:i/>
        </w:rPr>
        <w:t xml:space="preserve"> </w:t>
      </w:r>
      <w:r>
        <w:rPr>
          <w:iCs/>
          <w:i/>
        </w:rPr>
        <w:t xml:space="preserve">sign a revised subject information and informed consent form.</w:t>
      </w:r>
    </w:p>
    <w:p>
      <w:pPr>
        <w:pStyle w:val="BodyText"/>
      </w:pPr>
      <w:r>
        <w:rPr>
          <w:iCs/>
          <w:i/>
        </w:rPr>
        <w:t xml:space="preserve">Text suggestion</w:t>
      </w:r>
      <w:r>
        <w:t xml:space="preserve">: The principal investigator at each site shall ensure</w:t>
      </w:r>
      <w:r>
        <w:t xml:space="preserve"> </w:t>
      </w:r>
      <w:r>
        <w:t xml:space="preserve">that the subject is given full and adequate oral and written information</w:t>
      </w:r>
      <w:r>
        <w:t xml:space="preserve"> </w:t>
      </w:r>
      <w:r>
        <w:t xml:space="preserve">about the trial, its purpose, any risks and benefits as well as</w:t>
      </w:r>
      <w:r>
        <w:t xml:space="preserve"> </w:t>
      </w:r>
      <w:r>
        <w:t xml:space="preserve">inclusion and exclusion criteria. Subjects must also be informed that</w:t>
      </w:r>
      <w:r>
        <w:t xml:space="preserve"> </w:t>
      </w:r>
      <w:r>
        <w:t xml:space="preserve">they are free to discontinue their participation in the trial at any</w:t>
      </w:r>
      <w:r>
        <w:t xml:space="preserve"> </w:t>
      </w:r>
      <w:r>
        <w:t xml:space="preserve">time without having to provide a reason. Subjects should be given the</w:t>
      </w:r>
      <w:r>
        <w:t xml:space="preserve"> </w:t>
      </w:r>
      <w:r>
        <w:t xml:space="preserve">opportunity to ask questions and be allowed time to consider the</w:t>
      </w:r>
      <w:r>
        <w:t xml:space="preserve"> </w:t>
      </w:r>
      <w:r>
        <w:t xml:space="preserve">provided information. If the person chooses to participate, both the</w:t>
      </w:r>
      <w:r>
        <w:t xml:space="preserve"> </w:t>
      </w:r>
      <w:r>
        <w:t xml:space="preserve">subject and the investigator shall sign the informed consent form. A</w:t>
      </w:r>
      <w:r>
        <w:t xml:space="preserve"> </w:t>
      </w:r>
      <w:r>
        <w:t xml:space="preserve">copy of the subject information as well as the informed consent form</w:t>
      </w:r>
      <w:r>
        <w:t xml:space="preserve"> </w:t>
      </w:r>
      <w:r>
        <w:t xml:space="preserve">shall be provided to the subject. The subject’s signed and dated</w:t>
      </w:r>
      <w:r>
        <w:t xml:space="preserve"> </w:t>
      </w:r>
      <w:r>
        <w:t xml:space="preserve">informed consent must be obtained before any trial-specific activity is</w:t>
      </w:r>
      <w:r>
        <w:t xml:space="preserve"> </w:t>
      </w:r>
      <w:r>
        <w:t xml:space="preserve">performed. Each subject who participates in the trial will be identified</w:t>
      </w:r>
      <w:r>
        <w:t xml:space="preserve"> </w:t>
      </w:r>
      <w:r>
        <w:t xml:space="preserve">by a subject number on a subject identification list. The subject agrees</w:t>
      </w:r>
      <w:r>
        <w:t xml:space="preserve"> </w:t>
      </w:r>
      <w:r>
        <w:t xml:space="preserve">that monitors, auditors, and inspectors may have access to their medical</w:t>
      </w:r>
      <w:r>
        <w:t xml:space="preserve"> </w:t>
      </w:r>
      <w:r>
        <w:t xml:space="preserve">records and other source data. If new information is added to the trial,</w:t>
      </w:r>
      <w:r>
        <w:t xml:space="preserve"> </w:t>
      </w:r>
      <w:r>
        <w:t xml:space="preserve">the subject has the right to reconsider whether he/she will continue</w:t>
      </w:r>
      <w:r>
        <w:t xml:space="preserve"> </w:t>
      </w:r>
      <w:r>
        <w:t xml:space="preserve">their participation.</w:t>
      </w:r>
    </w:p>
    <w:bookmarkEnd w:id="80"/>
    <w:bookmarkStart w:id="81" w:name="data-protection"/>
    <w:p>
      <w:pPr>
        <w:pStyle w:val="Heading3"/>
      </w:pPr>
      <w:r>
        <w:t xml:space="preserve">7.23.4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information provided to subjects, subjects will be fully informed about how their trial data will be collected, used and disclosed. The content of the informed consent form complies with relevant integrity and data protection legislation. The subject information and the</w:t>
      </w:r>
      <w:r>
        <w:t xml:space="preserve"> </w:t>
      </w:r>
      <w:r>
        <w:t xml:space="preserve">informed consent form will explain how trial data are stored to maintain confidentiality in accordance with national data legislation</w:t>
      </w:r>
      <w:r>
        <w:t xml:space="preserve"> </w:t>
      </w:r>
      <w:r>
        <w:rPr>
          <w:iCs/>
          <w:i/>
        </w:rPr>
        <w:t xml:space="preserve">(please describe how data is stored and which data security measures are taken).</w:t>
      </w:r>
      <w:r>
        <w:t xml:space="preserve"> </w:t>
      </w:r>
      <w:r>
        <w:t xml:space="preserve">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subject’s medical</w:t>
      </w:r>
      <w:r>
        <w:t xml:space="preserve"> </w:t>
      </w:r>
      <w:r>
        <w:t xml:space="preserve">history.</w:t>
      </w:r>
    </w:p>
    <w:bookmarkEnd w:id="81"/>
    <w:bookmarkStart w:id="83" w:name="insurances"/>
    <w:p>
      <w:pPr>
        <w:pStyle w:val="Heading3"/>
      </w:pPr>
      <w:r>
        <w:t xml:space="preserve">7.23.5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82"/>
      </w:r>
    </w:p>
    <w:bookmarkEnd w:id="83"/>
    <w:bookmarkEnd w:id="84"/>
    <w:bookmarkEnd w:id="85"/>
    <w:bookmarkStart w:id="87" w:name="substantial-changes-to-the-trial"/>
    <w:p>
      <w:pPr>
        <w:pStyle w:val="Heading1"/>
      </w:pPr>
      <w:r>
        <w:t xml:space="preserve">8. Substantial changes to the trial</w:t>
      </w:r>
    </w:p>
    <w:p>
      <w:pPr>
        <w:pStyle w:val="FirstParagraph"/>
      </w:pPr>
      <w:r>
        <w:rPr>
          <w:iCs/>
          <w:i/>
        </w:rPr>
        <w:t xml:space="preserve">This section describes how to handle substantial changes in the trial.</w:t>
      </w:r>
      <w:r>
        <w:rPr>
          <w:iCs/>
          <w:i/>
        </w:rPr>
        <w:t xml:space="preserve"> </w:t>
      </w:r>
      <w:r>
        <w:rPr>
          <w:iCs/>
          <w:i/>
        </w:rPr>
        <w:t xml:space="preserve">Substantial changes include changes that:</w:t>
      </w:r>
    </w:p>
    <w:p>
      <w:pPr>
        <w:numPr>
          <w:ilvl w:val="0"/>
          <w:numId w:val="1015"/>
        </w:numPr>
      </w:pPr>
      <w:r>
        <w:rPr>
          <w:iCs/>
          <w:i/>
        </w:rPr>
        <w:t xml:space="preserve">may affect the safety or rights of the subjects,</w:t>
      </w:r>
    </w:p>
    <w:p>
      <w:pPr>
        <w:numPr>
          <w:ilvl w:val="0"/>
          <w:numId w:val="1015"/>
        </w:numPr>
      </w:pPr>
      <w:r>
        <w:rPr>
          <w:iCs/>
          <w:i/>
        </w:rPr>
        <w:t xml:space="preserve">can change the reliability and robustness of the data generated in</w:t>
      </w:r>
      <w:r>
        <w:rPr>
          <w:iCs/>
          <w:i/>
        </w:rPr>
        <w:t xml:space="preserve"> </w:t>
      </w:r>
      <w:r>
        <w:rPr>
          <w:iCs/>
          <w:i/>
        </w:rPr>
        <w:t xml:space="preserve">the clinical trial, or</w:t>
      </w:r>
    </w:p>
    <w:p>
      <w:pPr>
        <w:numPr>
          <w:ilvl w:val="0"/>
          <w:numId w:val="1015"/>
        </w:numPr>
      </w:pPr>
      <w:r>
        <w:rPr>
          <w:iCs/>
          <w:i/>
        </w:rPr>
        <w:t xml:space="preserve">are significant for any other reason, such as the addition of a</w:t>
      </w:r>
      <w:r>
        <w:rPr>
          <w:iCs/>
          <w:i/>
        </w:rPr>
        <w:t xml:space="preserve"> </w:t>
      </w:r>
      <w:r>
        <w:rPr>
          <w:iCs/>
          <w:i/>
        </w:rPr>
        <w:t xml:space="preserve">trial site or a change of the principal investigator</w:t>
      </w:r>
    </w:p>
    <w:p>
      <w:pPr>
        <w:pStyle w:val="FirstParagraph"/>
      </w:pPr>
      <w:r>
        <w:rPr>
          <w:iCs/>
          <w:i/>
        </w:rPr>
        <w:t xml:space="preserve">Substantial changes to the clinical trial protocol may not be</w:t>
      </w:r>
      <w:r>
        <w:rPr>
          <w:iCs/>
          <w:i/>
        </w:rPr>
        <w:t xml:space="preserve"> </w:t>
      </w:r>
      <w:r>
        <w:rPr>
          <w:iCs/>
          <w:i/>
        </w:rPr>
        <w:t xml:space="preserve">implemented before authorisation has been granted by the relevant</w:t>
      </w:r>
      <w:r>
        <w:rPr>
          <w:iCs/>
          <w:i/>
        </w:rPr>
        <w:t xml:space="preserve"> </w:t>
      </w:r>
      <w:r>
        <w:rPr>
          <w:iCs/>
          <w:i/>
        </w:rPr>
        <w:t xml:space="preserve">authority via CTIS. It is the responsibility of the sponsor to assess</w:t>
      </w:r>
      <w:r>
        <w:rPr>
          <w:iCs/>
          <w:i/>
        </w:rPr>
        <w:t xml:space="preserve"> </w:t>
      </w:r>
      <w:r>
        <w:rPr>
          <w:iCs/>
          <w:i/>
        </w:rPr>
        <w:t xml:space="preserve">whether a change is substantial or not. For examples of what are</w:t>
      </w:r>
      <w:r>
        <w:rPr>
          <w:iCs/>
          <w:i/>
        </w:rPr>
        <w:t xml:space="preserve"> </w:t>
      </w:r>
      <w:r>
        <w:rPr>
          <w:iCs/>
          <w:i/>
        </w:rPr>
        <w:t xml:space="preserve">considered substantial and non-substantial amendments, see the European</w:t>
      </w:r>
      <w:r>
        <w:rPr>
          <w:iCs/>
          <w:i/>
        </w:rPr>
        <w:t xml:space="preserve"> </w:t>
      </w:r>
      <w:r>
        <w:rPr>
          <w:iCs/>
          <w:i/>
        </w:rPr>
        <w:t xml:space="preserve">Commission's CTR Questions and Answers document</w:t>
      </w:r>
      <w:r>
        <w:rPr>
          <w:iCs/>
          <w:i/>
        </w:rPr>
        <w:t xml:space="preserve"> </w:t>
      </w:r>
      <w:r>
        <w:rPr>
          <w:iCs/>
          <w:i/>
        </w:rPr>
        <w:t xml:space="preserve">(</w:t>
      </w:r>
      <w:hyperlink r:id="rId86">
        <w:r>
          <w:rPr>
            <w:rStyle w:val="Hyperlink"/>
            <w:iCs/>
            <w:i/>
          </w:rPr>
          <w:t xml:space="preserve">link</w:t>
        </w:r>
      </w:hyperlink>
      <w:r>
        <w:rPr>
          <w:iCs/>
          <w:i/>
        </w:rPr>
        <w:t xml:space="preserve">,</w:t>
      </w:r>
      <w:r>
        <w:rPr>
          <w:iCs/>
          <w:i/>
        </w:rPr>
        <w:t xml:space="preserve"> </w:t>
      </w:r>
      <w:r>
        <w:rPr>
          <w:iCs/>
          <w:i/>
        </w:rPr>
        <w:t xml:space="preserve">Chapter V, EudraLex - Volume 10 - Clinical trials guidelines).</w:t>
      </w:r>
    </w:p>
    <w:p>
      <w:pPr>
        <w:pStyle w:val="BodyText"/>
      </w:pPr>
      <w:r>
        <w:rPr>
          <w:iCs/>
          <w:i/>
        </w:rPr>
        <w:t xml:space="preserve">The investigator must not make any deviation from or change of the</w:t>
      </w:r>
      <w:r>
        <w:rPr>
          <w:iCs/>
          <w:i/>
        </w:rPr>
        <w:t xml:space="preserve"> </w:t>
      </w:r>
      <w:r>
        <w:rPr>
          <w:iCs/>
          <w:i/>
        </w:rPr>
        <w:t xml:space="preserve">protocol, except when it is necessary to eliminate an immediate risk to</w:t>
      </w:r>
      <w:r>
        <w:rPr>
          <w:iCs/>
          <w:i/>
        </w:rPr>
        <w:t xml:space="preserve"> </w:t>
      </w:r>
      <w:r>
        <w:rPr>
          <w:iCs/>
          <w:i/>
        </w:rPr>
        <w:t xml:space="preserve">the trial subjects, or where the changes only include logistical or</w:t>
      </w:r>
      <w:r>
        <w:rPr>
          <w:iCs/>
          <w:i/>
        </w:rPr>
        <w:t xml:space="preserve"> </w:t>
      </w:r>
      <w:r>
        <w:rPr>
          <w:iCs/>
          <w:i/>
        </w:rPr>
        <w:t xml:space="preserve">administrative aspects of the trial (e.g., change of telephone number).</w:t>
      </w:r>
      <w:r>
        <w:rPr>
          <w:iCs/>
          <w:i/>
        </w:rPr>
        <w:t xml:space="preserve"> </w:t>
      </w:r>
      <w:r>
        <w:rPr>
          <w:iCs/>
          <w:i/>
        </w:rPr>
        <w:t xml:space="preserve">Other deviations/changes besides the abovementioned required agreement</w:t>
      </w:r>
      <w:r>
        <w:rPr>
          <w:iCs/>
          <w:i/>
        </w:rPr>
        <w:t xml:space="preserve"> </w:t>
      </w:r>
      <w:r>
        <w:rPr>
          <w:iCs/>
          <w:i/>
        </w:rPr>
        <w:t xml:space="preserve">with the sponsor and documented authoritative opinion regarding the</w:t>
      </w:r>
      <w:r>
        <w:rPr>
          <w:iCs/>
          <w:i/>
        </w:rPr>
        <w:t xml:space="preserve"> </w:t>
      </w:r>
      <w:r>
        <w:rPr>
          <w:iCs/>
          <w:i/>
        </w:rPr>
        <w:t xml:space="preserve">amendment from relevant authorities. See also section 11.4, Deviations</w:t>
      </w:r>
      <w:r>
        <w:rPr>
          <w:iCs/>
          <w:i/>
        </w:rPr>
        <w:t xml:space="preserve"> </w:t>
      </w:r>
      <w:r>
        <w:rPr>
          <w:iCs/>
          <w:i/>
        </w:rPr>
        <w:t xml:space="preserve">or serious breaches.</w:t>
      </w:r>
    </w:p>
    <w:p>
      <w:pPr>
        <w:pStyle w:val="BodyText"/>
      </w:pPr>
      <w:r>
        <w:rPr>
          <w:iCs/>
          <w:i/>
        </w:rPr>
        <w:t xml:space="preserve">Text suggestion:</w:t>
      </w:r>
      <w:r>
        <w:t xml:space="preserve"> </w:t>
      </w:r>
      <w:r>
        <w:t xml:space="preserve">Substantial changes to the signed clinical trial</w:t>
      </w:r>
      <w:r>
        <w:t xml:space="preserve"> </w:t>
      </w:r>
      <w:r>
        <w:t xml:space="preserve">protocol are only possible through approved protocol amendments and by</w:t>
      </w:r>
      <w:r>
        <w:t xml:space="preserve"> </w:t>
      </w:r>
      <w:r>
        <w:t xml:space="preserve">agreement between the sponsor and the principal investigator.</w:t>
      </w:r>
    </w:p>
    <w:p>
      <w:pPr>
        <w:pStyle w:val="BodyText"/>
      </w:pPr>
      <w:r>
        <w:t xml:space="preserve">In the event that substantial changes to the protocol which may affect</w:t>
      </w:r>
      <w:r>
        <w:t xml:space="preserve"> </w:t>
      </w:r>
      <w:r>
        <w:t xml:space="preserve">the safety, rights of subjects or the reliability and robustness of data</w:t>
      </w:r>
      <w:r>
        <w:t xml:space="preserve"> </w:t>
      </w:r>
      <w:r>
        <w:t xml:space="preserve">generated need to be implemented during the course of the trial,</w:t>
      </w:r>
      <w:r>
        <w:t xml:space="preserve"> </w:t>
      </w:r>
      <w:r>
        <w:t xml:space="preserve">permission from the relevant authority via application in CTIS should be</w:t>
      </w:r>
      <w:r>
        <w:t xml:space="preserve"> </w:t>
      </w:r>
      <w:r>
        <w:t xml:space="preserve">obtained before implementing the change. This includes the addition of a</w:t>
      </w:r>
      <w:r>
        <w:t xml:space="preserve"> </w:t>
      </w:r>
      <w:r>
        <w:t xml:space="preserve">new trial site or a change of the principal investigator at the trial</w:t>
      </w:r>
      <w:r>
        <w:t xml:space="preserve"> </w:t>
      </w:r>
      <w:r>
        <w:t xml:space="preserve">site.</w:t>
      </w:r>
    </w:p>
    <w:p>
      <w:pPr>
        <w:pStyle w:val="BodyText"/>
      </w:pPr>
      <w:r>
        <w:t xml:space="preserve">Non-substantial changes should be continuously recorded and entered in</w:t>
      </w:r>
      <w:r>
        <w:t xml:space="preserve"> </w:t>
      </w:r>
      <w:r>
        <w:t xml:space="preserve">CTIS.</w:t>
      </w:r>
    </w:p>
    <w:bookmarkEnd w:id="87"/>
    <w:bookmarkStart w:id="88" w:name="Xc17b41b20b820bca94d2a36ea19933b641b018a"/>
    <w:p>
      <w:pPr>
        <w:pStyle w:val="Heading1"/>
      </w:pPr>
      <w:r>
        <w:t xml:space="preserve">9. Collection, handling, and archiving of data</w:t>
      </w:r>
    </w:p>
    <w:p>
      <w:pPr>
        <w:pStyle w:val="FirstParagraph"/>
      </w:pPr>
      <w:r>
        <w:t xml:space="preserve">Clinical research coordinators will collect data, screen patients using emergency department records, and obtain informed consent for post-discharge follow-up. Paper-based CRFs will be securely stored on-site and uploaded to project servers using a VPN with two-factor authentication. Access is granted by the project PI or authorized delegates. Metadata will be publicly accessible via a persistent DOI, and anonymised data will be released upon project completion. The data management plan is published and was reviewed by Karolinska Institutet (https://doi.org/10.5281/zenodo.7748764).</w:t>
      </w:r>
    </w:p>
    <w:p>
      <w:pPr>
        <w:pStyle w:val="BodyText"/>
      </w:pPr>
      <w:r>
        <w:rPr>
          <w:iCs/>
          <w:i/>
        </w:rPr>
        <w:t xml:space="preserve">From the protocol it must be clear how the data will be collected.</w:t>
      </w:r>
      <w:r>
        <w:rPr>
          <w:iCs/>
          <w:i/>
        </w:rPr>
        <w:t xml:space="preserve"> </w:t>
      </w:r>
      <w:r>
        <w:rPr>
          <w:iCs/>
          <w:i/>
        </w:rPr>
        <w:t xml:space="preserve">Describe which other types of data collection documents, in addition to</w:t>
      </w:r>
      <w:r>
        <w:rPr>
          <w:iCs/>
          <w:i/>
        </w:rPr>
        <w:t xml:space="preserve"> </w:t>
      </w:r>
      <w:r>
        <w:rPr>
          <w:iCs/>
          <w:i/>
        </w:rPr>
        <w:t xml:space="preserve">the CRF, are used, e.g.: diaries, quality of life questionnaires, health</w:t>
      </w:r>
      <w:r>
        <w:rPr>
          <w:iCs/>
          <w:i/>
        </w:rPr>
        <w:t xml:space="preserve"> </w:t>
      </w:r>
      <w:r>
        <w:rPr>
          <w:iCs/>
          <w:i/>
        </w:rPr>
        <w:t xml:space="preserve">economics, different patient-reported outcomes measures, etc. Describe</w:t>
      </w:r>
      <w:r>
        <w:rPr>
          <w:iCs/>
          <w:i/>
        </w:rPr>
        <w:t xml:space="preserve"> </w:t>
      </w:r>
      <w:r>
        <w:rPr>
          <w:iCs/>
          <w:i/>
        </w:rPr>
        <w:t xml:space="preserve">how corrections will occur and by whom, that there will be an</w:t>
      </w:r>
      <w:r>
        <w:rPr>
          <w:iCs/>
          <w:i/>
        </w:rPr>
        <w:t xml:space="preserve"> </w:t>
      </w:r>
      <w:r>
        <w:rPr>
          <w:iCs/>
          <w:i/>
        </w:rPr>
        <w:t xml:space="preserve">independent copy of the CRF with the investigator when the trial is</w:t>
      </w:r>
      <w:r>
        <w:rPr>
          <w:iCs/>
          <w:i/>
        </w:rPr>
        <w:t xml:space="preserve"> </w:t>
      </w:r>
      <w:r>
        <w:rPr>
          <w:iCs/>
          <w:i/>
        </w:rPr>
        <w:t xml:space="preserve">completed, and how other trial documentation is stored and who has</w:t>
      </w:r>
      <w:r>
        <w:rPr>
          <w:iCs/>
          <w:i/>
        </w:rPr>
        <w:t xml:space="preserve"> </w:t>
      </w:r>
      <w:r>
        <w:rPr>
          <w:iCs/>
          <w:i/>
        </w:rPr>
        <w:t xml:space="preserve">access to it. The sponsor and investigator must archive the information</w:t>
      </w:r>
      <w:r>
        <w:rPr>
          <w:iCs/>
          <w:i/>
        </w:rPr>
        <w:t xml:space="preserve"> </w:t>
      </w:r>
      <w:r>
        <w:rPr>
          <w:iCs/>
          <w:i/>
        </w:rPr>
        <w:t xml:space="preserve">in the Trial Master File for at least 25 years after the end of the</w:t>
      </w:r>
      <w:r>
        <w:rPr>
          <w:iCs/>
          <w:i/>
        </w:rPr>
        <w:t xml:space="preserve"> </w:t>
      </w:r>
      <w:r>
        <w:rPr>
          <w:iCs/>
          <w:i/>
        </w:rPr>
        <w:t xml:space="preserve">clinical trial, providing that a longer archiving period follows from</w:t>
      </w:r>
      <w:r>
        <w:rPr>
          <w:iCs/>
          <w:i/>
        </w:rPr>
        <w:t xml:space="preserve"> </w:t>
      </w:r>
      <w:r>
        <w:rPr>
          <w:iCs/>
          <w:i/>
        </w:rPr>
        <w:t xml:space="preserve">other parts of the law. The sponsor and investigator can also agree that</w:t>
      </w:r>
      <w:r>
        <w:rPr>
          <w:iCs/>
          <w:i/>
        </w:rPr>
        <w:t xml:space="preserve"> </w:t>
      </w:r>
      <w:r>
        <w:rPr>
          <w:iCs/>
          <w:i/>
        </w:rPr>
        <w:t xml:space="preserve">the documents shall be archived for a longer period. The Swedish</w:t>
      </w:r>
      <w:r>
        <w:rPr>
          <w:iCs/>
          <w:i/>
        </w:rPr>
        <w:t xml:space="preserve"> </w:t>
      </w:r>
      <w:r>
        <w:rPr>
          <w:iCs/>
          <w:i/>
        </w:rPr>
        <w:t xml:space="preserve">Archives Act (Arkivlagen) applies to archiving of research material. For</w:t>
      </w:r>
      <w:r>
        <w:rPr>
          <w:iCs/>
          <w:i/>
        </w:rPr>
        <w:t xml:space="preserve"> </w:t>
      </w:r>
      <w:r>
        <w:rPr>
          <w:iCs/>
          <w:i/>
        </w:rPr>
        <w:t xml:space="preserve">clinical trials in ATMP (Advanced Therapy Medicinal Product), the</w:t>
      </w:r>
      <w:r>
        <w:rPr>
          <w:iCs/>
          <w:i/>
        </w:rPr>
        <w:t xml:space="preserve"> </w:t>
      </w:r>
      <w:r>
        <w:rPr>
          <w:iCs/>
          <w:i/>
        </w:rPr>
        <w:t xml:space="preserve">archiving period is 30 years according to GCP specific for ATMP.</w:t>
      </w:r>
    </w:p>
    <w:p>
      <w:pPr>
        <w:pStyle w:val="BodyText"/>
      </w:pPr>
      <w:r>
        <w:rPr>
          <w:iCs/>
          <w:i/>
        </w:rPr>
        <w:t xml:space="preserve">The sponsor and the investigator shall keep a Clinical trial master</w:t>
      </w:r>
      <w:r>
        <w:rPr>
          <w:iCs/>
          <w:i/>
        </w:rPr>
        <w:t xml:space="preserve"> </w:t>
      </w:r>
      <w:r>
        <w:rPr>
          <w:iCs/>
          <w:i/>
        </w:rPr>
        <w:t xml:space="preserve">file with documentation for the whole trial. The clinical trial master</w:t>
      </w:r>
      <w:r>
        <w:rPr>
          <w:iCs/>
          <w:i/>
        </w:rPr>
        <w:t xml:space="preserve"> </w:t>
      </w:r>
      <w:r>
        <w:rPr>
          <w:iCs/>
          <w:i/>
        </w:rPr>
        <w:t xml:space="preserve">file shall at all times contain the essential documents relating to that</w:t>
      </w:r>
      <w:r>
        <w:rPr>
          <w:iCs/>
          <w:i/>
        </w:rPr>
        <w:t xml:space="preserve"> </w:t>
      </w:r>
      <w:r>
        <w:rPr>
          <w:iCs/>
          <w:i/>
        </w:rPr>
        <w:t xml:space="preserve">clinical trial which allow verification of the conduct of a clinical</w:t>
      </w:r>
      <w:r>
        <w:rPr>
          <w:iCs/>
          <w:i/>
        </w:rPr>
        <w:t xml:space="preserve"> </w:t>
      </w:r>
      <w:r>
        <w:rPr>
          <w:iCs/>
          <w:i/>
        </w:rPr>
        <w:t xml:space="preserve">trial and the quality of the data generated, taking into account all</w:t>
      </w:r>
      <w:r>
        <w:rPr>
          <w:iCs/>
          <w:i/>
        </w:rPr>
        <w:t xml:space="preserve"> </w:t>
      </w:r>
      <w:r>
        <w:rPr>
          <w:iCs/>
          <w:i/>
        </w:rPr>
        <w:t xml:space="preserve">characteristics of the clinical trial, including in particular whether</w:t>
      </w:r>
      <w:r>
        <w:rPr>
          <w:iCs/>
          <w:i/>
        </w:rPr>
        <w:t xml:space="preserve"> </w:t>
      </w:r>
      <w:r>
        <w:rPr>
          <w:iCs/>
          <w:i/>
        </w:rPr>
        <w:t xml:space="preserve">the clinical trial is a low-intervention clinical trial. It shall be</w:t>
      </w:r>
      <w:r>
        <w:rPr>
          <w:iCs/>
          <w:i/>
        </w:rPr>
        <w:t xml:space="preserve"> </w:t>
      </w:r>
      <w:r>
        <w:rPr>
          <w:iCs/>
          <w:i/>
        </w:rPr>
        <w:t xml:space="preserve">readily available, and directly accessible upon request, to the Member</w:t>
      </w:r>
      <w:r>
        <w:rPr>
          <w:iCs/>
          <w:i/>
        </w:rPr>
        <w:t xml:space="preserve"> </w:t>
      </w:r>
      <w:r>
        <w:rPr>
          <w:iCs/>
          <w:i/>
        </w:rPr>
        <w:t xml:space="preserve">States.</w:t>
      </w:r>
    </w:p>
    <w:p>
      <w:pPr>
        <w:pStyle w:val="BodyText"/>
      </w:pPr>
      <w:r>
        <w:rPr>
          <w:iCs/>
          <w:i/>
        </w:rPr>
        <w:t xml:space="preserve">The clinical trial master file kept by the investigator and that kept</w:t>
      </w:r>
      <w:r>
        <w:rPr>
          <w:iCs/>
          <w:i/>
        </w:rPr>
        <w:t xml:space="preserve"> </w:t>
      </w:r>
      <w:r>
        <w:rPr>
          <w:iCs/>
          <w:i/>
        </w:rPr>
        <w:t xml:space="preserve">by the sponsor may have a different content if this is justified by the</w:t>
      </w:r>
      <w:r>
        <w:rPr>
          <w:iCs/>
          <w:i/>
        </w:rPr>
        <w:t xml:space="preserve"> </w:t>
      </w:r>
      <w:r>
        <w:rPr>
          <w:iCs/>
          <w:i/>
        </w:rPr>
        <w:t xml:space="preserve">different nature of the responsibilities of the investigator and the</w:t>
      </w:r>
      <w:r>
        <w:rPr>
          <w:iCs/>
          <w:i/>
        </w:rPr>
        <w:t xml:space="preserve"> </w:t>
      </w:r>
      <w:r>
        <w:rPr>
          <w:iCs/>
          <w:i/>
        </w:rPr>
        <w:t xml:space="preserve">sponsor. The principal investigator shall keep an Investigator Site File</w:t>
      </w:r>
      <w:r>
        <w:rPr>
          <w:iCs/>
          <w:i/>
        </w:rPr>
        <w:t xml:space="preserve"> </w:t>
      </w:r>
      <w:r>
        <w:rPr>
          <w:iCs/>
          <w:i/>
        </w:rPr>
        <w:t xml:space="preserve">(part of the Clinical Trial Master File) with all trial documentation</w:t>
      </w:r>
      <w:r>
        <w:rPr>
          <w:iCs/>
          <w:i/>
        </w:rPr>
        <w:t xml:space="preserve"> </w:t>
      </w:r>
      <w:r>
        <w:rPr>
          <w:iCs/>
          <w:i/>
        </w:rPr>
        <w:t xml:space="preserve">for the site. The files should have relevant content according to the</w:t>
      </w:r>
      <w:r>
        <w:rPr>
          <w:iCs/>
          <w:i/>
        </w:rPr>
        <w:t xml:space="preserve"> </w:t>
      </w:r>
      <w:r>
        <w:rPr>
          <w:iCs/>
          <w:i/>
        </w:rPr>
        <w:t xml:space="preserve">trial and follow ICH-GCP chapter 8</w:t>
      </w:r>
      <w:r>
        <w:rPr>
          <w:iCs/>
          <w:i/>
        </w:rPr>
        <w:t xml:space="preserve"> </w:t>
      </w:r>
      <w:r>
        <w:rPr>
          <w:iCs/>
          <w:i/>
        </w:rPr>
        <w:t xml:space="preserve">“</w:t>
      </w:r>
      <w:r>
        <w:rPr>
          <w:iCs/>
          <w:i/>
        </w:rPr>
        <w:t xml:space="preserve">Essential documents</w:t>
      </w:r>
      <w:r>
        <w:rPr>
          <w:iCs/>
          <w:i/>
        </w:rPr>
        <w:t xml:space="preserve">”</w:t>
      </w:r>
      <w:r>
        <w:rPr>
          <w:iCs/>
          <w:i/>
        </w:rPr>
        <w:t xml:space="preserve">. The principal</w:t>
      </w:r>
      <w:r>
        <w:rPr>
          <w:iCs/>
          <w:i/>
        </w:rPr>
        <w:t xml:space="preserve"> </w:t>
      </w:r>
      <w:r>
        <w:rPr>
          <w:iCs/>
          <w:i/>
        </w:rPr>
        <w:t xml:space="preserve">investigator will store the trial site’s data, subject identification</w:t>
      </w:r>
      <w:r>
        <w:rPr>
          <w:iCs/>
          <w:i/>
        </w:rPr>
        <w:t xml:space="preserve"> </w:t>
      </w:r>
      <w:r>
        <w:rPr>
          <w:iCs/>
          <w:i/>
        </w:rPr>
        <w:t xml:space="preserve">list, original of the subject information sheet and obtained trial</w:t>
      </w:r>
      <w:r>
        <w:rPr>
          <w:iCs/>
          <w:i/>
        </w:rPr>
        <w:t xml:space="preserve"> </w:t>
      </w:r>
      <w:r>
        <w:rPr>
          <w:iCs/>
          <w:i/>
        </w:rPr>
        <w:t xml:space="preserve">consent inaccessible to unauthorized persons, but such that trial</w:t>
      </w:r>
      <w:r>
        <w:rPr>
          <w:iCs/>
          <w:i/>
        </w:rPr>
        <w:t xml:space="preserve"> </w:t>
      </w:r>
      <w:r>
        <w:rPr>
          <w:iCs/>
          <w:i/>
        </w:rPr>
        <w:t xml:space="preserve">subjects can be identified by those responsible for the trial. This</w:t>
      </w:r>
      <w:r>
        <w:rPr>
          <w:iCs/>
          <w:i/>
        </w:rPr>
        <w:t xml:space="preserve"> </w:t>
      </w:r>
      <w:r>
        <w:rPr>
          <w:iCs/>
          <w:i/>
        </w:rPr>
        <w:t xml:space="preserve">information must not be stored at the sponsor.</w:t>
      </w:r>
    </w:p>
    <w:p>
      <w:pPr>
        <w:pStyle w:val="BodyText"/>
      </w:pPr>
      <w:r>
        <w:rPr>
          <w:iCs/>
          <w:i/>
        </w:rPr>
        <w:t xml:space="preserve">For information about data protection see section 12.4, Data</w:t>
      </w:r>
      <w:r>
        <w:rPr>
          <w:iCs/>
          <w:i/>
        </w:rPr>
        <w:t xml:space="preserve"> </w:t>
      </w:r>
      <w:r>
        <w:rPr>
          <w:iCs/>
          <w:i/>
        </w:rPr>
        <w:t xml:space="preserve">protection.</w:t>
      </w:r>
    </w:p>
    <w:p>
      <w:pPr>
        <w:pStyle w:val="BodyText"/>
      </w:pPr>
      <w:r>
        <w:rPr>
          <w:iCs/>
          <w:i/>
        </w:rPr>
        <w:t xml:space="preserve">Text suggestion:</w:t>
      </w:r>
    </w:p>
    <w:p>
      <w:pPr>
        <w:pStyle w:val="BodyText"/>
      </w:pPr>
      <w:r>
        <w:t xml:space="preserve">Subjects who participate in the trial are coded with a trial-specific</w:t>
      </w:r>
      <w:r>
        <w:t xml:space="preserve"> </w:t>
      </w:r>
      <w:r>
        <w:t xml:space="preserve">identification number. All subjects are registered in a subject</w:t>
      </w:r>
      <w:r>
        <w:t xml:space="preserve"> </w:t>
      </w:r>
      <w:r>
        <w:t xml:space="preserve">identification list (subject enrolment and identification list) that</w:t>
      </w:r>
      <w:r>
        <w:t xml:space="preserve"> </w:t>
      </w:r>
      <w:r>
        <w:t xml:space="preserve">connects the subject’s name and personal number with a subject</w:t>
      </w:r>
      <w:r>
        <w:t xml:space="preserve"> </w:t>
      </w:r>
      <w:r>
        <w:t xml:space="preserve">number/trial identification number.</w:t>
      </w:r>
    </w:p>
    <w:p>
      <w:pPr>
        <w:pStyle w:val="BodyText"/>
      </w:pPr>
      <w:r>
        <w:t xml:space="preserve">All data will be registered, managed, and stored in a manner that</w:t>
      </w:r>
      <w:r>
        <w:t xml:space="preserve"> </w:t>
      </w:r>
      <w:r>
        <w:t xml:space="preserve">enables correct reporting, interpretation, and verification. The</w:t>
      </w:r>
      <w:r>
        <w:t xml:space="preserve"> </w:t>
      </w:r>
      <w:r>
        <w:t xml:space="preserve">complete Trial Master File, as well as source documents, will be</w:t>
      </w:r>
      <w:r>
        <w:t xml:space="preserve"> </w:t>
      </w:r>
      <w:r>
        <w:t xml:space="preserve">archived for at least</w:t>
      </w:r>
      <w:r>
        <w:t xml:space="preserve"> </w:t>
      </w:r>
      <w:r>
        <w:rPr>
          <w:iCs/>
          <w:i/>
        </w:rPr>
        <w:t xml:space="preserve">25</w:t>
      </w:r>
      <w:r>
        <w:t xml:space="preserve"> </w:t>
      </w:r>
      <w:r>
        <w:t xml:space="preserve">years after the trial is completed. Source</w:t>
      </w:r>
      <w:r>
        <w:t xml:space="preserve"> </w:t>
      </w:r>
      <w:r>
        <w:t xml:space="preserve">data in the medical records system are stored and archived in accordance</w:t>
      </w:r>
      <w:r>
        <w:t xml:space="preserve"> </w:t>
      </w:r>
      <w:r>
        <w:t xml:space="preserve">with national regulations.</w:t>
      </w:r>
    </w:p>
    <w:bookmarkEnd w:id="88"/>
    <w:bookmarkStart w:id="89" w:name="case-report-form"/>
    <w:p>
      <w:pPr>
        <w:pStyle w:val="Heading1"/>
      </w:pPr>
      <w:r>
        <w:t xml:space="preserve">10. Case Report Form</w:t>
      </w:r>
    </w:p>
    <w:p>
      <w:pPr>
        <w:pStyle w:val="FirstParagraph"/>
      </w:pPr>
      <w:r>
        <w:rPr>
          <w:iCs/>
          <w:i/>
        </w:rPr>
        <w:t xml:space="preserve">All information related to the clinical trial should be recorded,</w:t>
      </w:r>
      <w:r>
        <w:rPr>
          <w:iCs/>
          <w:i/>
        </w:rPr>
        <w:t xml:space="preserve"> </w:t>
      </w:r>
      <w:r>
        <w:rPr>
          <w:iCs/>
          <w:i/>
        </w:rPr>
        <w:t xml:space="preserve">processed, handled and stored by the sponsor or investigator, as</w:t>
      </w:r>
      <w:r>
        <w:rPr>
          <w:iCs/>
          <w:i/>
        </w:rPr>
        <w:t xml:space="preserve"> </w:t>
      </w:r>
      <w:r>
        <w:rPr>
          <w:iCs/>
          <w:i/>
        </w:rPr>
        <w:t xml:space="preserve">appropriate, so that it can be accurately reported, interpreted and</w:t>
      </w:r>
      <w:r>
        <w:rPr>
          <w:iCs/>
          <w:i/>
        </w:rPr>
        <w:t xml:space="preserve"> </w:t>
      </w:r>
      <w:r>
        <w:rPr>
          <w:iCs/>
          <w:i/>
        </w:rPr>
        <w:t xml:space="preserve">controlled, while protecting the subjects' medical records and personal</w:t>
      </w:r>
      <w:r>
        <w:rPr>
          <w:iCs/>
          <w:i/>
        </w:rPr>
        <w:t xml:space="preserve"> </w:t>
      </w:r>
      <w:r>
        <w:rPr>
          <w:iCs/>
          <w:i/>
        </w:rPr>
        <w:t xml:space="preserve">data in accordance with applicable personal data protection law.</w:t>
      </w:r>
    </w:p>
    <w:p>
      <w:pPr>
        <w:pStyle w:val="BodyText"/>
      </w:pPr>
      <w:r>
        <w:rPr>
          <w:iCs/>
          <w:i/>
        </w:rPr>
        <w:t xml:space="preserve">Text suggestion:</w:t>
      </w:r>
    </w:p>
    <w:p>
      <w:pPr>
        <w:pStyle w:val="BodyText"/>
      </w:pPr>
      <w:r>
        <w:t xml:space="preserve">A Case Report Form (CRF) is used for data collection.</w:t>
      </w:r>
      <w:r>
        <w:t xml:space="preserve"> </w:t>
      </w:r>
      <w:r>
        <w:rPr>
          <w:iCs/>
          <w:i/>
        </w:rPr>
        <w:t xml:space="preserve">Describe which</w:t>
      </w:r>
      <w:r>
        <w:rPr>
          <w:iCs/>
          <w:i/>
        </w:rPr>
        <w:t xml:space="preserve"> </w:t>
      </w:r>
      <w:r>
        <w:rPr>
          <w:iCs/>
          <w:i/>
        </w:rPr>
        <w:t xml:space="preserve">type of CRF will be used (eCRF or paper CRF).</w:t>
      </w:r>
      <w:r>
        <w:t xml:space="preserve"> </w:t>
      </w:r>
      <w:r>
        <w:t xml:space="preserve">The investigator must</w:t>
      </w:r>
      <w:r>
        <w:t xml:space="preserve"> </w:t>
      </w:r>
      <w:r>
        <w:t xml:space="preserve">ensure that data is registered and any corrections in the CRF are made</w:t>
      </w:r>
      <w:r>
        <w:t xml:space="preserve"> </w:t>
      </w:r>
      <w:r>
        <w:t xml:space="preserve">as stated in the clinical trial protocol and in accordance with the</w:t>
      </w:r>
      <w:r>
        <w:t xml:space="preserve"> </w:t>
      </w:r>
      <w:r>
        <w:t xml:space="preserve">instructions. The investigator must ensure that the registered data is</w:t>
      </w:r>
      <w:r>
        <w:t xml:space="preserve"> </w:t>
      </w:r>
      <w:r>
        <w:t xml:space="preserve">correct, complete, and that reporting takes place according to the</w:t>
      </w:r>
      <w:r>
        <w:t xml:space="preserve"> </w:t>
      </w:r>
      <w:r>
        <w:t xml:space="preserve">timelines that have been predefined and agreed. The investigator signs</w:t>
      </w:r>
      <w:r>
        <w:t xml:space="preserve"> </w:t>
      </w:r>
      <w:r>
        <w:t xml:space="preserve">the completed CRF. A copy of the completed CRF will be archived at the</w:t>
      </w:r>
      <w:r>
        <w:t xml:space="preserve"> </w:t>
      </w:r>
      <w:r>
        <w:t xml:space="preserve">study site.</w:t>
      </w:r>
    </w:p>
    <w:bookmarkEnd w:id="89"/>
    <w:bookmarkStart w:id="91" w:name="Xa02c8ea30126bed8a88472fd16e8658d6d979bd"/>
    <w:p>
      <w:pPr>
        <w:pStyle w:val="Heading1"/>
      </w:pPr>
      <w:r>
        <w:t xml:space="preserve">11. Notification of trial completion, reporting, and publication</w:t>
      </w:r>
    </w:p>
    <w:p>
      <w:pPr>
        <w:pStyle w:val="FirstParagraph"/>
      </w:pPr>
      <w:r>
        <w:rPr>
          <w:iCs/>
          <w:i/>
        </w:rPr>
        <w:t xml:space="preserve">The sponsor must notify, via CTIS, each concerned Member State that a</w:t>
      </w:r>
      <w:r>
        <w:rPr>
          <w:iCs/>
          <w:i/>
        </w:rPr>
        <w:t xml:space="preserve"> </w:t>
      </w:r>
      <w:r>
        <w:rPr>
          <w:iCs/>
          <w:i/>
        </w:rPr>
        <w:t xml:space="preserve">clinical trial involving that Member State has been terminated.</w:t>
      </w:r>
      <w:r>
        <w:rPr>
          <w:iCs/>
          <w:i/>
        </w:rPr>
        <w:t xml:space="preserve"> </w:t>
      </w:r>
      <w:r>
        <w:rPr>
          <w:iCs/>
          <w:i/>
        </w:rPr>
        <w:t xml:space="preserve">Notification must also be made when a trial has been terminated in all</w:t>
      </w:r>
      <w:r>
        <w:rPr>
          <w:iCs/>
          <w:i/>
        </w:rPr>
        <w:t xml:space="preserve"> </w:t>
      </w:r>
      <w:r>
        <w:rPr>
          <w:iCs/>
          <w:i/>
        </w:rPr>
        <w:t xml:space="preserve">participating EU countries and also when termination has occurred in all</w:t>
      </w:r>
      <w:r>
        <w:rPr>
          <w:iCs/>
          <w:i/>
        </w:rPr>
        <w:t xml:space="preserve"> </w:t>
      </w:r>
      <w:r>
        <w:rPr>
          <w:iCs/>
          <w:i/>
        </w:rPr>
        <w:t xml:space="preserve">participating third countries. The notification must be made within 15</w:t>
      </w:r>
      <w:r>
        <w:rPr>
          <w:iCs/>
          <w:i/>
        </w:rPr>
        <w:t xml:space="preserve"> </w:t>
      </w:r>
      <w:r>
        <w:rPr>
          <w:iCs/>
          <w:i/>
        </w:rPr>
        <w:t xml:space="preserve">days.</w:t>
      </w:r>
    </w:p>
    <w:p>
      <w:pPr>
        <w:pStyle w:val="BodyText"/>
      </w:pPr>
      <w:r>
        <w:rPr>
          <w:iCs/>
          <w:i/>
        </w:rPr>
        <w:t xml:space="preserve">Within one year of the completion of the clinical trial in all Member</w:t>
      </w:r>
      <w:r>
        <w:rPr>
          <w:iCs/>
          <w:i/>
        </w:rPr>
        <w:t xml:space="preserve"> </w:t>
      </w:r>
      <w:r>
        <w:rPr>
          <w:iCs/>
          <w:i/>
        </w:rPr>
        <w:t xml:space="preserve">States, the sponsor must submit a summary of the results of the clinical</w:t>
      </w:r>
      <w:r>
        <w:rPr>
          <w:iCs/>
          <w:i/>
        </w:rPr>
        <w:t xml:space="preserve"> </w:t>
      </w:r>
      <w:r>
        <w:rPr>
          <w:iCs/>
          <w:i/>
        </w:rPr>
        <w:t xml:space="preserve">trial to CTIS, regardless of the outcome of the trial.</w:t>
      </w:r>
    </w:p>
    <w:p>
      <w:pPr>
        <w:pStyle w:val="BodyText"/>
      </w:pPr>
      <w:r>
        <w:rPr>
          <w:iCs/>
          <w:i/>
        </w:rPr>
        <w:t xml:space="preserve">Guidance on content can be found in the CTR</w:t>
      </w:r>
      <w:r>
        <w:rPr>
          <w:iCs/>
          <w:i/>
        </w:rPr>
        <w:t xml:space="preserve"> </w:t>
      </w:r>
      <w:r>
        <w:rPr>
          <w:iCs/>
          <w:i/>
        </w:rPr>
        <w:t xml:space="preserve">(</w:t>
      </w:r>
      <w:hyperlink r:id="rId90">
        <w:r>
          <w:rPr>
            <w:rStyle w:val="Hyperlink"/>
            <w:iCs/>
            <w:i/>
          </w:rPr>
          <w:t xml:space="preserve">Link</w:t>
        </w:r>
      </w:hyperlink>
      <w:r>
        <w:rPr>
          <w:iCs/>
          <w:i/>
        </w:rPr>
        <w:t xml:space="preserve">),</w:t>
      </w:r>
      <w:r>
        <w:rPr>
          <w:iCs/>
          <w:i/>
        </w:rPr>
        <w:t xml:space="preserve"> </w:t>
      </w:r>
      <w:r>
        <w:rPr>
          <w:iCs/>
          <w:i/>
        </w:rPr>
        <w:t xml:space="preserve">Annex IV. It should be accompanied by a summary written in a way that is</w:t>
      </w:r>
      <w:r>
        <w:rPr>
          <w:iCs/>
          <w:i/>
        </w:rPr>
        <w:t xml:space="preserve"> </w:t>
      </w:r>
      <w:r>
        <w:rPr>
          <w:iCs/>
          <w:i/>
        </w:rPr>
        <w:t xml:space="preserve">understandable to lay people. The content of the summary is given in CTR</w:t>
      </w:r>
      <w:r>
        <w:rPr>
          <w:iCs/>
          <w:i/>
        </w:rPr>
        <w:t xml:space="preserve"> </w:t>
      </w:r>
      <w:r>
        <w:rPr>
          <w:iCs/>
          <w:i/>
        </w:rPr>
        <w:t xml:space="preserve">(</w:t>
      </w:r>
      <w:hyperlink r:id="rId90">
        <w:r>
          <w:rPr>
            <w:rStyle w:val="Hyperlink"/>
            <w:iCs/>
            <w:i/>
          </w:rPr>
          <w:t xml:space="preserve">Link</w:t>
        </w:r>
      </w:hyperlink>
      <w:r>
        <w:rPr>
          <w:iCs/>
          <w:i/>
        </w:rPr>
        <w:t xml:space="preserve">),</w:t>
      </w:r>
      <w:r>
        <w:rPr>
          <w:iCs/>
          <w:i/>
        </w:rPr>
        <w:t xml:space="preserve"> </w:t>
      </w:r>
      <w:r>
        <w:rPr>
          <w:iCs/>
          <w:i/>
        </w:rPr>
        <w:t xml:space="preserve">Annex V.</w:t>
      </w:r>
    </w:p>
    <w:p>
      <w:pPr>
        <w:pStyle w:val="BodyText"/>
      </w:pPr>
      <w:r>
        <w:rPr>
          <w:iCs/>
          <w:i/>
        </w:rPr>
        <w:t xml:space="preserve">For clinical trials involving children, the above summaries must be</w:t>
      </w:r>
      <w:r>
        <w:rPr>
          <w:iCs/>
          <w:i/>
        </w:rPr>
        <w:t xml:space="preserve"> </w:t>
      </w:r>
      <w:r>
        <w:rPr>
          <w:iCs/>
          <w:i/>
        </w:rPr>
        <w:t xml:space="preserve">submitted within six months of the end of the trial. This shortened</w:t>
      </w:r>
      <w:r>
        <w:rPr>
          <w:iCs/>
          <w:i/>
        </w:rPr>
        <w:t xml:space="preserve"> </w:t>
      </w:r>
      <w:r>
        <w:rPr>
          <w:iCs/>
          <w:i/>
        </w:rPr>
        <w:t xml:space="preserve">deadline of six months applies to sponsors who are marketing</w:t>
      </w:r>
      <w:r>
        <w:rPr>
          <w:iCs/>
          <w:i/>
        </w:rPr>
        <w:t xml:space="preserve"> </w:t>
      </w:r>
      <w:r>
        <w:rPr>
          <w:iCs/>
          <w:i/>
        </w:rPr>
        <w:t xml:space="preserve">authorisation holders for the medicinal product.</w:t>
      </w:r>
    </w:p>
    <w:p>
      <w:pPr>
        <w:pStyle w:val="BodyText"/>
      </w:pPr>
      <w:r>
        <w:rPr>
          <w:iCs/>
          <w:i/>
        </w:rPr>
        <w:t xml:space="preserve">If the trial is submitted for marketing authorization of an</w:t>
      </w:r>
      <w:r>
        <w:rPr>
          <w:iCs/>
          <w:i/>
        </w:rPr>
        <w:t xml:space="preserve"> </w:t>
      </w:r>
      <w:r>
        <w:rPr>
          <w:iCs/>
          <w:i/>
        </w:rPr>
        <w:t xml:space="preserve">investigational medicinal product, the applicant for marketing</w:t>
      </w:r>
      <w:r>
        <w:rPr>
          <w:iCs/>
          <w:i/>
        </w:rPr>
        <w:t xml:space="preserve"> </w:t>
      </w:r>
      <w:r>
        <w:rPr>
          <w:iCs/>
          <w:i/>
        </w:rPr>
        <w:t xml:space="preserve">authorisation must also, in addition to the summary of results, submit</w:t>
      </w:r>
      <w:r>
        <w:rPr>
          <w:iCs/>
          <w:i/>
        </w:rPr>
        <w:t xml:space="preserve"> </w:t>
      </w:r>
      <w:r>
        <w:rPr>
          <w:iCs/>
          <w:i/>
        </w:rPr>
        <w:t xml:space="preserve">the full clinical trial report to CTIS within 30 days of the decision</w:t>
      </w:r>
      <w:r>
        <w:rPr>
          <w:iCs/>
          <w:i/>
        </w:rPr>
        <w:t xml:space="preserve"> </w:t>
      </w:r>
      <w:r>
        <w:rPr>
          <w:iCs/>
          <w:i/>
        </w:rPr>
        <w:t xml:space="preserve">being taken.</w:t>
      </w:r>
    </w:p>
    <w:p>
      <w:pPr>
        <w:pStyle w:val="BodyText"/>
      </w:pPr>
      <w:r>
        <w:rPr>
          <w:iCs/>
          <w:i/>
        </w:rPr>
        <w:t xml:space="preserve">In addition to submitting a summary of the results to CTIS a complete</w:t>
      </w:r>
      <w:r>
        <w:rPr>
          <w:iCs/>
          <w:i/>
        </w:rPr>
        <w:t xml:space="preserve"> </w:t>
      </w:r>
      <w:r>
        <w:rPr>
          <w:iCs/>
          <w:i/>
        </w:rPr>
        <w:t xml:space="preserve">report with individual data shall be available from the sponsor on</w:t>
      </w:r>
      <w:r>
        <w:rPr>
          <w:iCs/>
          <w:i/>
        </w:rPr>
        <w:t xml:space="preserve"> </w:t>
      </w:r>
      <w:r>
        <w:rPr>
          <w:iCs/>
          <w:i/>
        </w:rPr>
        <w:t xml:space="preserve">request or for any inspections by the Swedish Medical Products Agency</w:t>
      </w:r>
      <w:r>
        <w:rPr>
          <w:iCs/>
          <w:i/>
        </w:rPr>
        <w:t xml:space="preserve"> </w:t>
      </w:r>
      <w:r>
        <w:rPr>
          <w:iCs/>
          <w:i/>
        </w:rPr>
        <w:t xml:space="preserve">throughout the entire retention period. A published article is not to be</w:t>
      </w:r>
      <w:r>
        <w:rPr>
          <w:iCs/>
          <w:i/>
        </w:rPr>
        <w:t xml:space="preserve"> </w:t>
      </w:r>
      <w:r>
        <w:rPr>
          <w:iCs/>
          <w:i/>
        </w:rPr>
        <w:t xml:space="preserve">equated with a summary of a report. The report must contain sufficient</w:t>
      </w:r>
      <w:r>
        <w:rPr>
          <w:iCs/>
          <w:i/>
        </w:rPr>
        <w:t xml:space="preserve"> </w:t>
      </w:r>
      <w:r>
        <w:rPr>
          <w:iCs/>
          <w:i/>
        </w:rPr>
        <w:t xml:space="preserve">information so that the Swedish Medical Products Agency can make an</w:t>
      </w:r>
      <w:r>
        <w:rPr>
          <w:iCs/>
          <w:i/>
        </w:rPr>
        <w:t xml:space="preserve"> </w:t>
      </w:r>
      <w:r>
        <w:rPr>
          <w:iCs/>
          <w:i/>
        </w:rPr>
        <w:t xml:space="preserve">evaluation.</w:t>
      </w:r>
    </w:p>
    <w:p>
      <w:pPr>
        <w:pStyle w:val="BodyText"/>
      </w:pPr>
      <w:r>
        <w:rPr>
          <w:iCs/>
          <w:i/>
        </w:rPr>
        <w:t xml:space="preserve">In addition to submitting a summary of the results to CTIS, a full</w:t>
      </w:r>
      <w:r>
        <w:rPr>
          <w:iCs/>
          <w:i/>
        </w:rPr>
        <w:t xml:space="preserve"> </w:t>
      </w:r>
      <w:r>
        <w:rPr>
          <w:iCs/>
          <w:i/>
        </w:rPr>
        <w:t xml:space="preserve">clinical trial report with individual data shall be completed by the</w:t>
      </w:r>
      <w:r>
        <w:rPr>
          <w:iCs/>
          <w:i/>
        </w:rPr>
        <w:t xml:space="preserve"> </w:t>
      </w:r>
      <w:r>
        <w:rPr>
          <w:iCs/>
          <w:i/>
        </w:rPr>
        <w:t xml:space="preserve">sponsor and provided to Principal investigators. The clinical trial</w:t>
      </w:r>
      <w:r>
        <w:rPr>
          <w:iCs/>
          <w:i/>
        </w:rPr>
        <w:t xml:space="preserve"> </w:t>
      </w:r>
      <w:r>
        <w:rPr>
          <w:iCs/>
          <w:i/>
        </w:rPr>
        <w:t xml:space="preserve">report shall be archived in the Trial Master File by the sponsor and by</w:t>
      </w:r>
      <w:r>
        <w:rPr>
          <w:iCs/>
          <w:i/>
        </w:rPr>
        <w:t xml:space="preserve"> </w:t>
      </w:r>
      <w:r>
        <w:rPr>
          <w:iCs/>
          <w:i/>
        </w:rPr>
        <w:t xml:space="preserve">the principal investigator at each site, in their Investigator Site</w:t>
      </w:r>
      <w:r>
        <w:rPr>
          <w:iCs/>
          <w:i/>
        </w:rPr>
        <w:t xml:space="preserve"> </w:t>
      </w:r>
      <w:r>
        <w:rPr>
          <w:iCs/>
          <w:i/>
        </w:rPr>
        <w:t xml:space="preserve">Files, throughout the entire retention period, and available on request</w:t>
      </w:r>
      <w:r>
        <w:rPr>
          <w:iCs/>
          <w:i/>
        </w:rPr>
        <w:t xml:space="preserve"> </w:t>
      </w:r>
      <w:r>
        <w:rPr>
          <w:iCs/>
          <w:i/>
        </w:rPr>
        <w:t xml:space="preserve">for inspections by the authorities. The clinical trial report must</w:t>
      </w:r>
      <w:r>
        <w:rPr>
          <w:iCs/>
          <w:i/>
        </w:rPr>
        <w:t xml:space="preserve"> </w:t>
      </w:r>
      <w:r>
        <w:rPr>
          <w:iCs/>
          <w:i/>
        </w:rPr>
        <w:t xml:space="preserve">contain sufficient information so that the Swedish Medical Products</w:t>
      </w:r>
      <w:r>
        <w:rPr>
          <w:iCs/>
          <w:i/>
        </w:rPr>
        <w:t xml:space="preserve"> </w:t>
      </w:r>
      <w:r>
        <w:rPr>
          <w:iCs/>
          <w:i/>
        </w:rPr>
        <w:t xml:space="preserve">Agency or other authorities can make a complete evaluation of the trial</w:t>
      </w:r>
      <w:r>
        <w:rPr>
          <w:iCs/>
          <w:i/>
        </w:rPr>
        <w:t xml:space="preserve"> </w:t>
      </w:r>
      <w:r>
        <w:rPr>
          <w:iCs/>
          <w:i/>
        </w:rPr>
        <w:t xml:space="preserve">conduct and the results. A published article is not to be equated with</w:t>
      </w:r>
      <w:r>
        <w:rPr>
          <w:iCs/>
          <w:i/>
        </w:rPr>
        <w:t xml:space="preserve"> </w:t>
      </w:r>
      <w:r>
        <w:rPr>
          <w:iCs/>
          <w:i/>
        </w:rPr>
        <w:t xml:space="preserve">the summary report to CTIS or the full clinical trial report.</w:t>
      </w:r>
    </w:p>
    <w:p>
      <w:pPr>
        <w:pStyle w:val="BodyText"/>
      </w:pPr>
      <w:r>
        <w:rPr>
          <w:iCs/>
          <w:i/>
        </w:rPr>
        <w:t xml:space="preserve">The sponsor is responsible for the compilation of statistical analyses</w:t>
      </w:r>
      <w:r>
        <w:rPr>
          <w:iCs/>
          <w:i/>
        </w:rPr>
        <w:t xml:space="preserve"> </w:t>
      </w:r>
      <w:r>
        <w:rPr>
          <w:iCs/>
          <w:i/>
        </w:rPr>
        <w:t xml:space="preserve">and their presentation to involved principal investigators. These</w:t>
      </w:r>
      <w:r>
        <w:rPr>
          <w:iCs/>
          <w:i/>
        </w:rPr>
        <w:t xml:space="preserve"> </w:t>
      </w:r>
      <w:r>
        <w:rPr>
          <w:iCs/>
          <w:i/>
        </w:rPr>
        <w:t xml:space="preserve">analyses may be the basis for a manuscript for publication.</w:t>
      </w:r>
    </w:p>
    <w:p>
      <w:pPr>
        <w:pStyle w:val="BodyText"/>
      </w:pPr>
      <w:r>
        <w:rPr>
          <w:iCs/>
          <w:i/>
        </w:rPr>
        <w:t xml:space="preserve">If the results are summarized in a manuscript with the purpose to</w:t>
      </w:r>
      <w:r>
        <w:rPr>
          <w:iCs/>
          <w:i/>
        </w:rPr>
        <w:t xml:space="preserve"> </w:t>
      </w:r>
      <w:r>
        <w:rPr>
          <w:iCs/>
          <w:i/>
        </w:rPr>
        <w:t xml:space="preserve">publish in a scientific journal, it is recommended that the EU trial</w:t>
      </w:r>
      <w:r>
        <w:rPr>
          <w:iCs/>
          <w:i/>
        </w:rPr>
        <w:t xml:space="preserve"> </w:t>
      </w:r>
      <w:r>
        <w:rPr>
          <w:iCs/>
          <w:i/>
        </w:rPr>
        <w:t xml:space="preserve">number is stated at the end of the abstract. This clearly documents that</w:t>
      </w:r>
      <w:r>
        <w:rPr>
          <w:iCs/>
          <w:i/>
        </w:rPr>
        <w:t xml:space="preserve"> </w:t>
      </w:r>
      <w:r>
        <w:rPr>
          <w:iCs/>
          <w:i/>
        </w:rPr>
        <w:t xml:space="preserve">the trial has been published in advance and meets the requirements from</w:t>
      </w:r>
      <w:r>
        <w:rPr>
          <w:iCs/>
          <w:i/>
        </w:rPr>
        <w:t xml:space="preserve"> </w:t>
      </w:r>
      <w:r>
        <w:rPr>
          <w:iCs/>
          <w:i/>
        </w:rPr>
        <w:t xml:space="preserve">ICMJE (International Committee for Medical Journal Editors) that are set</w:t>
      </w:r>
      <w:r>
        <w:rPr>
          <w:iCs/>
          <w:i/>
        </w:rPr>
        <w:t xml:space="preserve"> </w:t>
      </w:r>
      <w:r>
        <w:rPr>
          <w:iCs/>
          <w:i/>
        </w:rPr>
        <w:t xml:space="preserve">for publications in medical science journals.</w:t>
      </w:r>
    </w:p>
    <w:p>
      <w:pPr>
        <w:pStyle w:val="BodyText"/>
      </w:pPr>
      <w:r>
        <w:rPr>
          <w:iCs/>
          <w:i/>
        </w:rPr>
        <w:t xml:space="preserve">If a clinical trial is suspended or prematurely terminated due to a</w:t>
      </w:r>
      <w:r>
        <w:rPr>
          <w:iCs/>
          <w:i/>
        </w:rPr>
        <w:t xml:space="preserve"> </w:t>
      </w:r>
      <w:r>
        <w:rPr>
          <w:iCs/>
          <w:i/>
        </w:rPr>
        <w:t xml:space="preserve">change in the risk-benefit balance, for reasons of subject safety, this</w:t>
      </w:r>
      <w:r>
        <w:rPr>
          <w:iCs/>
          <w:i/>
        </w:rPr>
        <w:t xml:space="preserve"> </w:t>
      </w:r>
      <w:r>
        <w:rPr>
          <w:iCs/>
          <w:i/>
        </w:rPr>
        <w:t xml:space="preserve">must be notified to the Member States concerned through CTIS. The</w:t>
      </w:r>
      <w:r>
        <w:rPr>
          <w:iCs/>
          <w:i/>
        </w:rPr>
        <w:t xml:space="preserve"> </w:t>
      </w:r>
      <w:r>
        <w:rPr>
          <w:iCs/>
          <w:i/>
        </w:rPr>
        <w:t xml:space="preserve">notification should be made as soon as possible, but not later than 15</w:t>
      </w:r>
      <w:r>
        <w:rPr>
          <w:iCs/>
          <w:i/>
        </w:rPr>
        <w:t xml:space="preserve"> </w:t>
      </w:r>
      <w:r>
        <w:rPr>
          <w:iCs/>
          <w:i/>
        </w:rPr>
        <w:t xml:space="preserve">days after the clinical trial was suspended or terminated prematurely.</w:t>
      </w:r>
      <w:r>
        <w:rPr>
          <w:iCs/>
          <w:i/>
        </w:rPr>
        <w:t xml:space="preserve"> </w:t>
      </w:r>
      <w:r>
        <w:rPr>
          <w:iCs/>
          <w:i/>
        </w:rPr>
        <w:t xml:space="preserve">The reasons for such action and follow-up measures must be provided. The</w:t>
      </w:r>
      <w:r>
        <w:rPr>
          <w:iCs/>
          <w:i/>
        </w:rPr>
        <w:t xml:space="preserve"> </w:t>
      </w:r>
      <w:r>
        <w:rPr>
          <w:iCs/>
          <w:i/>
        </w:rPr>
        <w:t xml:space="preserve">resumption of a clinical trial after its temporary interruption due to a</w:t>
      </w:r>
      <w:r>
        <w:rPr>
          <w:iCs/>
          <w:i/>
        </w:rPr>
        <w:t xml:space="preserve"> </w:t>
      </w:r>
      <w:r>
        <w:rPr>
          <w:iCs/>
          <w:i/>
        </w:rPr>
        <w:t xml:space="preserve">change in the benefit/risk balance is considered a substantial</w:t>
      </w:r>
      <w:r>
        <w:rPr>
          <w:iCs/>
          <w:i/>
        </w:rPr>
        <w:t xml:space="preserve"> </w:t>
      </w:r>
      <w:r>
        <w:rPr>
          <w:iCs/>
          <w:i/>
        </w:rPr>
        <w:t xml:space="preserve">modification.</w:t>
      </w:r>
    </w:p>
    <w:p>
      <w:pPr>
        <w:pStyle w:val="BodyText"/>
      </w:pPr>
      <w:r>
        <w:rPr>
          <w:iCs/>
          <w:i/>
        </w:rPr>
        <w:t xml:space="preserve">Interruptions that do not affect the benefit/risk relationship must be</w:t>
      </w:r>
      <w:r>
        <w:rPr>
          <w:iCs/>
          <w:i/>
        </w:rPr>
        <w:t xml:space="preserve"> </w:t>
      </w:r>
      <w:r>
        <w:rPr>
          <w:iCs/>
          <w:i/>
        </w:rPr>
        <w:t xml:space="preserve">notified, via CTIS, within 15 days, stating the reason for the</w:t>
      </w:r>
      <w:r>
        <w:rPr>
          <w:iCs/>
          <w:i/>
        </w:rPr>
        <w:t xml:space="preserve"> </w:t>
      </w:r>
      <w:r>
        <w:rPr>
          <w:iCs/>
          <w:i/>
        </w:rPr>
        <w:t xml:space="preserve">interruption. Notification of restart shall be made, via CTIS, within 15</w:t>
      </w:r>
      <w:r>
        <w:rPr>
          <w:iCs/>
          <w:i/>
        </w:rPr>
        <w:t xml:space="preserve"> </w:t>
      </w:r>
      <w:r>
        <w:rPr>
          <w:iCs/>
          <w:i/>
        </w:rPr>
        <w:t xml:space="preserve">days.See also section</w:t>
      </w:r>
      <w:r>
        <w:t xml:space="preserve"> </w:t>
      </w:r>
      <w:r>
        <w:rPr>
          <w:iCs/>
          <w:i/>
        </w:rPr>
        <w:t xml:space="preserve">5.4,</w:t>
      </w:r>
      <w:r>
        <w:t xml:space="preserve"> </w:t>
      </w:r>
      <w:r>
        <w:rPr>
          <w:iCs/>
          <w:i/>
        </w:rPr>
        <w:t xml:space="preserve">End of Trial, as well as section</w:t>
      </w:r>
      <w:r>
        <w:t xml:space="preserve"> </w:t>
      </w:r>
      <w:r>
        <w:rPr>
          <w:iCs/>
          <w:i/>
        </w:rPr>
        <w:t xml:space="preserve">6.4,</w:t>
      </w:r>
      <w:r>
        <w:t xml:space="preserve"> </w:t>
      </w:r>
      <w:r>
        <w:rPr>
          <w:iCs/>
          <w:i/>
        </w:rPr>
        <w:t xml:space="preserve">Withdrawal criteria.</w:t>
      </w:r>
    </w:p>
    <w:p>
      <w:pPr>
        <w:pStyle w:val="BodyText"/>
      </w:pPr>
      <w:r>
        <w:rPr>
          <w:iCs/>
          <w:i/>
        </w:rPr>
        <w:t xml:space="preserve">Text suggestion:</w:t>
      </w:r>
    </w:p>
    <w:p>
      <w:pPr>
        <w:pStyle w:val="BodyText"/>
      </w:pPr>
      <w:r>
        <w:t xml:space="preserve">End of the trial is reported in CTIS at the latest 15 days after</w:t>
      </w:r>
      <w:r>
        <w:t xml:space="preserve"> </w:t>
      </w:r>
      <w:r>
        <w:t xml:space="preserve">completion.</w:t>
      </w:r>
    </w:p>
    <w:p>
      <w:pPr>
        <w:pStyle w:val="BodyText"/>
      </w:pPr>
      <w:r>
        <w:t xml:space="preserve">Within one year of trial completion, a clinical study report is</w:t>
      </w:r>
      <w:r>
        <w:t xml:space="preserve"> </w:t>
      </w:r>
      <w:r>
        <w:t xml:space="preserve">completed, and a summary of the clinical trial results must be reported</w:t>
      </w:r>
      <w:r>
        <w:t xml:space="preserve"> </w:t>
      </w:r>
      <w:r>
        <w:t xml:space="preserve">in CTIS, including a summary for lay people.</w:t>
      </w:r>
    </w:p>
    <w:bookmarkEnd w:id="91"/>
    <w:bookmarkStart w:id="92" w:name="references"/>
    <w:p>
      <w:pPr>
        <w:pStyle w:val="Heading1"/>
      </w:pPr>
      <w:r>
        <w:t xml:space="preserve">12. References</w:t>
      </w:r>
    </w:p>
    <w:p>
      <w:pPr>
        <w:pStyle w:val="FirstParagraph"/>
      </w:pPr>
      <w:r>
        <w:rPr>
          <w:iCs/>
          <w:i/>
        </w:rPr>
        <w:t xml:space="preserve">Literature referenced in the text is listed here. The list should be</w:t>
      </w:r>
      <w:r>
        <w:rPr>
          <w:iCs/>
          <w:i/>
        </w:rPr>
        <w:t xml:space="preserve"> </w:t>
      </w:r>
      <w:r>
        <w:rPr>
          <w:iCs/>
          <w:i/>
        </w:rPr>
        <w:t xml:space="preserve">sorted in the order in which it is referred to in the protocol. For</w:t>
      </w:r>
      <w:r>
        <w:rPr>
          <w:iCs/>
          <w:i/>
        </w:rPr>
        <w:t xml:space="preserve"> </w:t>
      </w:r>
      <w:r>
        <w:rPr>
          <w:iCs/>
          <w:i/>
        </w:rPr>
        <w:t xml:space="preserve">example, the Vancouver system can be used.</w:t>
      </w:r>
    </w:p>
    <w:bookmarkEnd w:id="92"/>
    <w:bookmarkStart w:id="148" w:name="attachments"/>
    <w:p>
      <w:pPr>
        <w:pStyle w:val="Heading1"/>
      </w:pPr>
      <w:r>
        <w:t xml:space="preserve">13. Attachments</w:t>
      </w:r>
    </w:p>
    <w:p>
      <w:pPr>
        <w:pStyle w:val="FirstParagraph"/>
      </w:pPr>
      <w:r>
        <w:rPr>
          <w:iCs/>
          <w:i/>
        </w:rPr>
        <w:t xml:space="preserve">These could include, for example, validated self-report scales,</w:t>
      </w:r>
      <w:r>
        <w:rPr>
          <w:iCs/>
          <w:i/>
        </w:rPr>
        <w:t xml:space="preserve"> </w:t>
      </w:r>
      <w:r>
        <w:rPr>
          <w:iCs/>
          <w:i/>
        </w:rPr>
        <w:t xml:space="preserve">questionnaires, diaries, etc. All attachments should have a version</w:t>
      </w:r>
      <w:r>
        <w:rPr>
          <w:iCs/>
          <w:i/>
        </w:rPr>
        <w:t xml:space="preserve"> </w:t>
      </w:r>
      <w:r>
        <w:rPr>
          <w:iCs/>
          <w:i/>
        </w:rPr>
        <w:t xml:space="preserve">number and be dated.</w:t>
      </w:r>
    </w:p>
    <w:bookmarkStart w:id="147" w:name="refs"/>
    <w:bookmarkStart w:id="94" w:name="ref-injuries2020"/>
    <w:p>
      <w:pPr>
        <w:pStyle w:val="Bibliography"/>
      </w:pPr>
      <w:r>
        <w:t xml:space="preserve">1.</w:t>
      </w:r>
      <w:r>
        <w:t xml:space="preserve"> </w:t>
      </w:r>
      <w:r>
        <w:t xml:space="preserve">	</w:t>
      </w:r>
      <w:r>
        <w:t xml:space="preserve">GBD 2019 Diseases and Injuries Collaborators.</w:t>
      </w:r>
      <w:r>
        <w:t xml:space="preserve"> </w:t>
      </w:r>
      <w:hyperlink r:id="rId93">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94"/>
    <w:bookmarkStart w:id="96" w:name="ref-GBD2020"/>
    <w:p>
      <w:pPr>
        <w:pStyle w:val="Bibliography"/>
      </w:pPr>
      <w:r>
        <w:t xml:space="preserve">2.</w:t>
      </w:r>
      <w:r>
        <w:t xml:space="preserve"> </w:t>
      </w:r>
      <w:r>
        <w:t xml:space="preserve">	</w:t>
      </w:r>
      <w:r>
        <w:t xml:space="preserve">GBD 2019 Diseases and Injuries Collaborators.</w:t>
      </w:r>
      <w:r>
        <w:t xml:space="preserve"> </w:t>
      </w:r>
      <w:hyperlink r:id="rId95">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96"/>
    <w:bookmarkStart w:id="98"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97">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98"/>
    <w:bookmarkStart w:id="100"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99">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00"/>
    <w:bookmarkStart w:id="102"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101">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02"/>
    <w:bookmarkStart w:id="104" w:name="ref-Jin2021"/>
    <w:p>
      <w:pPr>
        <w:pStyle w:val="Bibliography"/>
      </w:pPr>
      <w:r>
        <w:t xml:space="preserve">6.</w:t>
      </w:r>
      <w:r>
        <w:t xml:space="preserve"> </w:t>
      </w:r>
      <w:r>
        <w:t xml:space="preserve">	</w:t>
      </w:r>
      <w:r>
        <w:t xml:space="preserve">Jin, J.</w:t>
      </w:r>
      <w:r>
        <w:t xml:space="preserve"> </w:t>
      </w:r>
      <w:r>
        <w:rPr>
          <w:iCs/>
          <w:i/>
        </w:rPr>
        <w:t xml:space="preserve">et al.</w:t>
      </w:r>
      <w:r>
        <w:t xml:space="preserve"> </w:t>
      </w:r>
      <w:hyperlink r:id="rId103">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04"/>
    <w:bookmarkStart w:id="105" w:name="ref-acsAtls2018"/>
    <w:p>
      <w:pPr>
        <w:pStyle w:val="Bibliography"/>
      </w:pPr>
      <w:r>
        <w:t xml:space="preserve">7.</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05"/>
    <w:bookmarkStart w:id="107" w:name="ref-Rauf2019"/>
    <w:p>
      <w:pPr>
        <w:pStyle w:val="Bibliography"/>
      </w:pPr>
      <w:r>
        <w:t xml:space="preserve">8.</w:t>
      </w:r>
      <w:r>
        <w:t xml:space="preserve"> </w:t>
      </w:r>
      <w:r>
        <w:t xml:space="preserve">	</w:t>
      </w:r>
      <w:r>
        <w:t xml:space="preserve">Rauf, R.</w:t>
      </w:r>
      <w:r>
        <w:t xml:space="preserve"> </w:t>
      </w:r>
      <w:r>
        <w:rPr>
          <w:iCs/>
          <w:i/>
        </w:rPr>
        <w:t xml:space="preserve">et al.</w:t>
      </w:r>
      <w:r>
        <w:t xml:space="preserve"> </w:t>
      </w:r>
      <w:hyperlink r:id="rId106">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07"/>
    <w:bookmarkStart w:id="109" w:name="ref-Roy2017"/>
    <w:p>
      <w:pPr>
        <w:pStyle w:val="Bibliography"/>
      </w:pPr>
      <w:r>
        <w:t xml:space="preserve">9.</w:t>
      </w:r>
      <w:r>
        <w:t xml:space="preserve"> </w:t>
      </w:r>
      <w:r>
        <w:t xml:space="preserve">	</w:t>
      </w:r>
      <w:r>
        <w:t xml:space="preserve">Roy, N.</w:t>
      </w:r>
      <w:r>
        <w:t xml:space="preserve"> </w:t>
      </w:r>
      <w:r>
        <w:rPr>
          <w:iCs/>
          <w:i/>
        </w:rPr>
        <w:t xml:space="preserve">et al.</w:t>
      </w:r>
      <w:r>
        <w:t xml:space="preserve"> </w:t>
      </w:r>
      <w:hyperlink r:id="rId108">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09"/>
    <w:bookmarkStart w:id="111" w:name="ref-Callcut2019"/>
    <w:p>
      <w:pPr>
        <w:pStyle w:val="Bibliography"/>
      </w:pPr>
      <w:r>
        <w:t xml:space="preserve">10.</w:t>
      </w:r>
      <w:r>
        <w:t xml:space="preserve"> </w:t>
      </w:r>
      <w:r>
        <w:t xml:space="preserve">	</w:t>
      </w:r>
      <w:r>
        <w:t xml:space="preserve">Callcut, R. A.</w:t>
      </w:r>
      <w:r>
        <w:t xml:space="preserve"> </w:t>
      </w:r>
      <w:r>
        <w:rPr>
          <w:iCs/>
          <w:i/>
        </w:rPr>
        <w:t xml:space="preserve">et al.</w:t>
      </w:r>
      <w:r>
        <w:t xml:space="preserve"> </w:t>
      </w:r>
      <w:hyperlink r:id="rId110">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11"/>
    <w:bookmarkStart w:id="113" w:name="ref-Ghorbani2018"/>
    <w:p>
      <w:pPr>
        <w:pStyle w:val="Bibliography"/>
      </w:pPr>
      <w:r>
        <w:t xml:space="preserve">11.</w:t>
      </w:r>
      <w:r>
        <w:t xml:space="preserve"> </w:t>
      </w:r>
      <w:r>
        <w:t xml:space="preserve">	</w:t>
      </w:r>
      <w:r>
        <w:t xml:space="preserve">Ghorbani, P.</w:t>
      </w:r>
      <w:r>
        <w:t xml:space="preserve"> </w:t>
      </w:r>
      <w:r>
        <w:rPr>
          <w:iCs/>
          <w:i/>
        </w:rPr>
        <w:t xml:space="preserve">et al.</w:t>
      </w:r>
      <w:r>
        <w:t xml:space="preserve"> </w:t>
      </w:r>
      <w:hyperlink r:id="rId112">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13"/>
    <w:bookmarkStart w:id="114"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14"/>
    <w:bookmarkStart w:id="115"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93">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15"/>
    <w:bookmarkStart w:id="117"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16">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17"/>
    <w:bookmarkStart w:id="119"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18">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19"/>
    <w:bookmarkStart w:id="121"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20">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21"/>
    <w:bookmarkStart w:id="122"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22"/>
    <w:bookmarkStart w:id="124"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23">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24"/>
    <w:bookmarkStart w:id="126"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25">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26"/>
    <w:bookmarkStart w:id="128"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27">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28"/>
    <w:bookmarkStart w:id="130"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29">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30"/>
    <w:bookmarkStart w:id="132"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31">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32"/>
    <w:bookmarkStart w:id="134"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33">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34"/>
    <w:bookmarkStart w:id="136"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35">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36"/>
    <w:bookmarkStart w:id="138" w:name="ref-Bellanova2016"/>
    <w:p>
      <w:pPr>
        <w:pStyle w:val="Bibliography"/>
      </w:pPr>
      <w:r>
        <w:t xml:space="preserve">25.</w:t>
      </w:r>
      <w:r>
        <w:t xml:space="preserve"> </w:t>
      </w:r>
      <w:r>
        <w:t xml:space="preserve">	</w:t>
      </w:r>
      <w:r>
        <w:t xml:space="preserve">Giovanni Bellanova, R. B., Francesco Buccelletti.</w:t>
      </w:r>
      <w:r>
        <w:t xml:space="preserve"> </w:t>
      </w:r>
      <w:hyperlink r:id="rId137">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38"/>
    <w:bookmarkStart w:id="140"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39">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40"/>
    <w:bookmarkStart w:id="142"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41">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42"/>
    <w:bookmarkStart w:id="144"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43">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44"/>
    <w:bookmarkStart w:id="146"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45">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bCs/>
          <w:b/>
        </w:rPr>
        <w:t xml:space="preserve">TODO</w:t>
      </w:r>
      <w:r>
        <w:t xml:space="preserve"> </w:t>
      </w:r>
      <w:r>
        <w:t xml:space="preserve">We need to create a form that we can use to screen clusters.</w:t>
      </w:r>
    </w:p>
  </w:footnote>
  <w:footnote w:id="37">
    <w:p>
      <w:pPr>
        <w:pStyle w:val="FootnoteText"/>
      </w:pPr>
      <w:r>
        <w:rPr>
          <w:rStyle w:val="FootnoteReference"/>
        </w:rPr>
        <w:footnoteRef/>
      </w:r>
      <w:r>
        <w:t xml:space="preserve"> </w:t>
      </w:r>
      <w:r>
        <w:rPr>
          <w:bCs/>
          <w:b/>
        </w:rPr>
        <w:t xml:space="preserve">TODO</w:t>
      </w:r>
      <w:r>
        <w:t xml:space="preserve"> </w:t>
      </w:r>
      <w:r>
        <w:t xml:space="preserve">We need to create a log that we can use to log the screening process.</w:t>
      </w:r>
    </w:p>
  </w:footnote>
  <w:footnote w:id="50">
    <w:p>
      <w:pPr>
        <w:pStyle w:val="FootnoteText"/>
      </w:pPr>
      <w:r>
        <w:rPr>
          <w:rStyle w:val="FootnoteReference"/>
        </w:rPr>
        <w:footnoteRef/>
      </w:r>
      <w:r>
        <w:t xml:space="preserve"> </w:t>
      </w:r>
      <w:r>
        <w:rPr>
          <w:bCs/>
          <w:b/>
        </w:rPr>
        <w:t xml:space="preserve">TODO</w:t>
      </w:r>
      <w:r>
        <w:t xml:space="preserve"> </w:t>
      </w:r>
      <w:r>
        <w:t xml:space="preserve">Add details on software used to randomise clusters.</w:t>
      </w:r>
    </w:p>
  </w:footnote>
  <w:footnote w:id="70">
    <w:p>
      <w:pPr>
        <w:pStyle w:val="FootnoteText"/>
      </w:pPr>
      <w:r>
        <w:rPr>
          <w:rStyle w:val="FootnoteReference"/>
        </w:rPr>
        <w:footnoteRef/>
      </w:r>
      <w:r>
        <w:t xml:space="preserve"> </w:t>
      </w:r>
      <w:r>
        <w:rPr>
          <w:bCs/>
          <w:b/>
        </w:rPr>
        <w:t xml:space="preserve">TODO TGI</w:t>
      </w:r>
      <w:r>
        <w:t xml:space="preserve"> </w:t>
      </w:r>
      <w:r>
        <w:t xml:space="preserve">Add a section on monitoring.</w:t>
      </w:r>
    </w:p>
  </w:footnote>
  <w:footnote w:id="82">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31" Target="media/rId31.pdf" /><Relationship Type="http://schemas.openxmlformats.org/officeDocument/2006/relationships/hyperlink" Id="rId93" Target="" TargetMode="External" /><Relationship Type="http://schemas.openxmlformats.org/officeDocument/2006/relationships/hyperlink" Id="rId99" Target="https://doi.org/10.1002/14651858.cd004173.pub4" TargetMode="External" /><Relationship Type="http://schemas.openxmlformats.org/officeDocument/2006/relationships/hyperlink" Id="rId145" Target="https://doi.org/10.1002/sim.9438" TargetMode="External" /><Relationship Type="http://schemas.openxmlformats.org/officeDocument/2006/relationships/hyperlink" Id="rId97" Target="https://doi.org/10.1007/s00268-013-2294-0" TargetMode="External" /><Relationship Type="http://schemas.openxmlformats.org/officeDocument/2006/relationships/hyperlink" Id="rId135" Target="https://doi.org/10.1007/s00268-014-2899-y" TargetMode="External" /><Relationship Type="http://schemas.openxmlformats.org/officeDocument/2006/relationships/hyperlink" Id="rId103" Target="https://doi.org/10.1007/s00268-021-06065-9" TargetMode="External" /><Relationship Type="http://schemas.openxmlformats.org/officeDocument/2006/relationships/hyperlink" Id="rId116" Target="https://doi.org/10.1007/s002689900171" TargetMode="External" /><Relationship Type="http://schemas.openxmlformats.org/officeDocument/2006/relationships/hyperlink" Id="rId127" Target="https://doi.org/10.1016/j.ajem.2004.08.013" TargetMode="External" /><Relationship Type="http://schemas.openxmlformats.org/officeDocument/2006/relationships/hyperlink" Id="rId101" Target="https://doi.org/10.1016/j.injury.2019.10.084" TargetMode="External" /><Relationship Type="http://schemas.openxmlformats.org/officeDocument/2006/relationships/hyperlink" Id="rId131" Target="https://doi.org/10.1016/j.resuscitation.2010.10.005" TargetMode="External" /><Relationship Type="http://schemas.openxmlformats.org/officeDocument/2006/relationships/hyperlink" Id="rId120" Target="https://doi.org/10.1016/s0002-9610(88)80150-8" TargetMode="External" /><Relationship Type="http://schemas.openxmlformats.org/officeDocument/2006/relationships/hyperlink" Id="rId95" Target="https://doi.org/10.1016/s0140-6736(20)30925-9" TargetMode="External" /><Relationship Type="http://schemas.openxmlformats.org/officeDocument/2006/relationships/hyperlink" Id="rId125" Target="https://doi.org/10.1067/msy.2001.115898" TargetMode="External" /><Relationship Type="http://schemas.openxmlformats.org/officeDocument/2006/relationships/hyperlink" Id="rId143" Target="https://doi.org/10.1093/ije/dyaa077" TargetMode="External" /><Relationship Type="http://schemas.openxmlformats.org/officeDocument/2006/relationships/hyperlink" Id="rId123" Target="https://doi.org/10.1097/00005373-199306000-00022" TargetMode="External" /><Relationship Type="http://schemas.openxmlformats.org/officeDocument/2006/relationships/hyperlink" Id="rId118" Target="https://doi.org/10.1097/00005373-199901000-00013" TargetMode="External" /><Relationship Type="http://schemas.openxmlformats.org/officeDocument/2006/relationships/hyperlink" Id="rId110" Target="https://doi.org/10.1097/ta.0000000000002205" TargetMode="External" /><Relationship Type="http://schemas.openxmlformats.org/officeDocument/2006/relationships/hyperlink" Id="rId133" Target="https://doi.org/10.1097/ta.0b013e31829880a0" TargetMode="External" /><Relationship Type="http://schemas.openxmlformats.org/officeDocument/2006/relationships/hyperlink" Id="rId112" Target="https://doi.org/10.1111/aas.13151" TargetMode="External" /><Relationship Type="http://schemas.openxmlformats.org/officeDocument/2006/relationships/hyperlink" Id="rId141" Target="https://doi.org/10.1136/bmj.h391" TargetMode="External" /><Relationship Type="http://schemas.openxmlformats.org/officeDocument/2006/relationships/hyperlink" Id="rId139" Target="https://doi.org/10.1136/bmjopen-2021-057504" TargetMode="External" /><Relationship Type="http://schemas.openxmlformats.org/officeDocument/2006/relationships/hyperlink" Id="rId108" Target="https://doi.org/10.1186/s12913-017-2085-7" TargetMode="External" /><Relationship Type="http://schemas.openxmlformats.org/officeDocument/2006/relationships/hyperlink" Id="rId106" Target="https://doi.org/10.1371/journal.pone.0212095" TargetMode="External" /><Relationship Type="http://schemas.openxmlformats.org/officeDocument/2006/relationships/hyperlink" Id="rId86" Target="https://ec.europa.eu/health/medicinal-products/eudralex/eudralex-volume-10_en#set-of-documents-applicable-to-clinical-trials-that-will-be-authorised-under-regulation-eu-no-5362014-once-it-becomes-applicable" TargetMode="External" /><Relationship Type="http://schemas.openxmlformats.org/officeDocument/2006/relationships/hyperlink" Id="rId90" Target="https://eur-lex.europa.eu/legal-content/SV/TXT/?uri=CELEX%3A32014R0536" TargetMode="External" /><Relationship Type="http://schemas.openxmlformats.org/officeDocument/2006/relationships/hyperlink" Id="rId79" Target="https://eur-lex.europa.eu/legal-content/sv/ALL/?uri=CELEX:32014R0536" TargetMode="External" /><Relationship Type="http://schemas.openxmlformats.org/officeDocument/2006/relationships/hyperlink" Id="rId137" Target="https://pubmed.ncbi.nlm.nih.gov/27025984/" TargetMode="External" /><Relationship Type="http://schemas.openxmlformats.org/officeDocument/2006/relationships/hyperlink" Id="rId73" Target="https://www.ema.europa.eu/en/documents/scientific-guideline/guideline-notification-serious-breaches-regulation-eu-no-536/2014-clinical-trial-protocol_en.pdf" TargetMode="External" /><Relationship Type="http://schemas.openxmlformats.org/officeDocument/2006/relationships/hyperlink" Id="rId78" Target="https://www.lakemedelsverket.se/sv/tillstand-godkannande-och-kontroll/klinisk-provning/lakemedel-for-manniskor/provningsforordning-536-2014/forsokspersoner-och-informerat-samtycke-enligt-forordning-536-2014" TargetMode="External" /><Relationship Type="http://schemas.openxmlformats.org/officeDocument/2006/relationships/hyperlink" Id="rId129"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93" Target="" TargetMode="External" /><Relationship Type="http://schemas.openxmlformats.org/officeDocument/2006/relationships/hyperlink" Id="rId99" Target="https://doi.org/10.1002/14651858.cd004173.pub4" TargetMode="External" /><Relationship Type="http://schemas.openxmlformats.org/officeDocument/2006/relationships/hyperlink" Id="rId145" Target="https://doi.org/10.1002/sim.9438" TargetMode="External" /><Relationship Type="http://schemas.openxmlformats.org/officeDocument/2006/relationships/hyperlink" Id="rId97" Target="https://doi.org/10.1007/s00268-013-2294-0" TargetMode="External" /><Relationship Type="http://schemas.openxmlformats.org/officeDocument/2006/relationships/hyperlink" Id="rId135" Target="https://doi.org/10.1007/s00268-014-2899-y" TargetMode="External" /><Relationship Type="http://schemas.openxmlformats.org/officeDocument/2006/relationships/hyperlink" Id="rId103" Target="https://doi.org/10.1007/s00268-021-06065-9" TargetMode="External" /><Relationship Type="http://schemas.openxmlformats.org/officeDocument/2006/relationships/hyperlink" Id="rId116" Target="https://doi.org/10.1007/s002689900171" TargetMode="External" /><Relationship Type="http://schemas.openxmlformats.org/officeDocument/2006/relationships/hyperlink" Id="rId127" Target="https://doi.org/10.1016/j.ajem.2004.08.013" TargetMode="External" /><Relationship Type="http://schemas.openxmlformats.org/officeDocument/2006/relationships/hyperlink" Id="rId101" Target="https://doi.org/10.1016/j.injury.2019.10.084" TargetMode="External" /><Relationship Type="http://schemas.openxmlformats.org/officeDocument/2006/relationships/hyperlink" Id="rId131" Target="https://doi.org/10.1016/j.resuscitation.2010.10.005" TargetMode="External" /><Relationship Type="http://schemas.openxmlformats.org/officeDocument/2006/relationships/hyperlink" Id="rId120" Target="https://doi.org/10.1016/s0002-9610(88)80150-8" TargetMode="External" /><Relationship Type="http://schemas.openxmlformats.org/officeDocument/2006/relationships/hyperlink" Id="rId95" Target="https://doi.org/10.1016/s0140-6736(20)30925-9" TargetMode="External" /><Relationship Type="http://schemas.openxmlformats.org/officeDocument/2006/relationships/hyperlink" Id="rId125" Target="https://doi.org/10.1067/msy.2001.115898" TargetMode="External" /><Relationship Type="http://schemas.openxmlformats.org/officeDocument/2006/relationships/hyperlink" Id="rId143" Target="https://doi.org/10.1093/ije/dyaa077" TargetMode="External" /><Relationship Type="http://schemas.openxmlformats.org/officeDocument/2006/relationships/hyperlink" Id="rId123" Target="https://doi.org/10.1097/00005373-199306000-00022" TargetMode="External" /><Relationship Type="http://schemas.openxmlformats.org/officeDocument/2006/relationships/hyperlink" Id="rId118" Target="https://doi.org/10.1097/00005373-199901000-00013" TargetMode="External" /><Relationship Type="http://schemas.openxmlformats.org/officeDocument/2006/relationships/hyperlink" Id="rId110" Target="https://doi.org/10.1097/ta.0000000000002205" TargetMode="External" /><Relationship Type="http://schemas.openxmlformats.org/officeDocument/2006/relationships/hyperlink" Id="rId133" Target="https://doi.org/10.1097/ta.0b013e31829880a0" TargetMode="External" /><Relationship Type="http://schemas.openxmlformats.org/officeDocument/2006/relationships/hyperlink" Id="rId112" Target="https://doi.org/10.1111/aas.13151" TargetMode="External" /><Relationship Type="http://schemas.openxmlformats.org/officeDocument/2006/relationships/hyperlink" Id="rId141" Target="https://doi.org/10.1136/bmj.h391" TargetMode="External" /><Relationship Type="http://schemas.openxmlformats.org/officeDocument/2006/relationships/hyperlink" Id="rId139" Target="https://doi.org/10.1136/bmjopen-2021-057504" TargetMode="External" /><Relationship Type="http://schemas.openxmlformats.org/officeDocument/2006/relationships/hyperlink" Id="rId108" Target="https://doi.org/10.1186/s12913-017-2085-7" TargetMode="External" /><Relationship Type="http://schemas.openxmlformats.org/officeDocument/2006/relationships/hyperlink" Id="rId106" Target="https://doi.org/10.1371/journal.pone.0212095" TargetMode="External" /><Relationship Type="http://schemas.openxmlformats.org/officeDocument/2006/relationships/hyperlink" Id="rId86" Target="https://ec.europa.eu/health/medicinal-products/eudralex/eudralex-volume-10_en#set-of-documents-applicable-to-clinical-trials-that-will-be-authorised-under-regulation-eu-no-5362014-once-it-becomes-applicable" TargetMode="External" /><Relationship Type="http://schemas.openxmlformats.org/officeDocument/2006/relationships/hyperlink" Id="rId90" Target="https://eur-lex.europa.eu/legal-content/SV/TXT/?uri=CELEX%3A32014R0536" TargetMode="External" /><Relationship Type="http://schemas.openxmlformats.org/officeDocument/2006/relationships/hyperlink" Id="rId79" Target="https://eur-lex.europa.eu/legal-content/sv/ALL/?uri=CELEX:32014R0536" TargetMode="External" /><Relationship Type="http://schemas.openxmlformats.org/officeDocument/2006/relationships/hyperlink" Id="rId137" Target="https://pubmed.ncbi.nlm.nih.gov/27025984/" TargetMode="External" /><Relationship Type="http://schemas.openxmlformats.org/officeDocument/2006/relationships/hyperlink" Id="rId73" Target="https://www.ema.europa.eu/en/documents/scientific-guideline/guideline-notification-serious-breaches-regulation-eu-no-536/2014-clinical-trial-protocol_en.pdf" TargetMode="External" /><Relationship Type="http://schemas.openxmlformats.org/officeDocument/2006/relationships/hyperlink" Id="rId78" Target="https://www.lakemedelsverket.se/sv/tillstand-godkannande-och-kontroll/klinisk-provning/lakemedel-for-manniskor/provningsforordning-536-2014/forsokspersoner-och-informerat-samtycke-enligt-forordning-536-2014" TargetMode="External" /><Relationship Type="http://schemas.openxmlformats.org/officeDocument/2006/relationships/hyperlink" Id="rId129"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Protocol</dc:title>
  <dc:creator/>
  <cp:keywords/>
  <dcterms:created xsi:type="dcterms:W3CDTF">2023-12-06T07:23:52Z</dcterms:created>
  <dcterms:modified xsi:type="dcterms:W3CDTF">2023-12-06T07:23:52Z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nature.csl</vt:lpwstr>
  </property>
  <property fmtid="{D5CDD505-2E9C-101B-9397-08002B2CF9AE}" pid="5" name="fig-caption">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Effects of Advanced Trauma Life Support® Training Compared to Standard Care on Adult Trauma Patient Outcomes: A Cluster Randomised Trial</vt:lpwstr>
  </property>
  <property fmtid="{D5CDD505-2E9C-101B-9397-08002B2CF9AE}" pid="11" name="toc-title">
    <vt:lpwstr>Table of contents</vt:lpwstr>
  </property>
</Properties>
</file>