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0.pdf" ContentType="application/pdf"/>
  <Override PartName="/word/media/rId193.pdf" ContentType="application/pdf"/>
  <Override PartName="/word/media/rId196.pdf" ContentType="application/pdf"/>
  <Override PartName="/word/media/rId199.pdf" ContentType="application/pdf"/>
  <Override PartName="/word/media/rId76.pdf" ContentType="application/pdf"/>
  <Override PartName="/word/media/rId21.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0.4.0</w:t>
      </w:r>
      <w:r>
        <w:br/>
      </w:r>
      <w:r>
        <w:t xml:space="preserve">2024-01-09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Sponsor: Karolinska Institutet</w:t>
      </w:r>
    </w:p>
    <w:p>
      <w:pPr>
        <w:pStyle w:val="BodyText"/>
      </w:pPr>
      <w:r>
        <w:t xml:space="preserve">Co-sponsor: The George Institute for Global Health, India</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approach for informed consent for follow up once they are admitted or telephonically if they are transferred. In-hospital data collection from medical records will be conducted under a waiver of informed consent. Patients will be informed about the trial and their right to opt out of data collection. Patients will be informed that they can withdraw their data from the trial at any time before final analysis of the data.</w:t>
      </w:r>
    </w:p>
    <w:p>
      <w:pPr>
        <w:pStyle w:val="BodyText"/>
      </w:pPr>
      <w:r>
        <w:rPr>
          <w:bCs/>
          <w:b/>
        </w:rPr>
        <w:t xml:space="preserve">Trial Period</w:t>
      </w:r>
      <w:r>
        <w:t xml:space="preserve"> </w:t>
      </w:r>
      <w:r>
        <w:t xml:space="preserve">2024-10-01 to 2029-10-01</w:t>
      </w:r>
    </w:p>
    <w:p>
      <w:r>
        <w:br w:type="page"/>
      </w:r>
    </w:p>
    <w:bookmarkEnd w:id="20"/>
    <w:bookmarkStart w:id="26" w:name="background-and-rationale"/>
    <w:p>
      <w:pPr>
        <w:pStyle w:val="Heading1"/>
      </w:pPr>
      <w:r>
        <w:t xml:space="preserve">2.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3</w:t>
      </w:r>
      <w:r>
        <w:t xml:space="preserve">. Traumatic brain injury and exsanguination are the most common causes of trauma deaths</w:t>
      </w:r>
      <w:r>
        <w:rPr>
          <w:vertAlign w:val="superscript"/>
        </w:rPr>
        <w:t xml:space="preserve">4,5</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4,6</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7–10</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11</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9</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7,8,10</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5" w:name="updated-systematic-review"/>
    <w:p>
      <w:pPr>
        <w:pStyle w:val="Heading2"/>
      </w:pPr>
      <w:r>
        <w:t xml:space="preserve">2.1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4" w:name="fig-forest-plot"/>
          <w:p>
            <w:pPr>
              <w:jc w:val="center"/>
            </w:pPr>
            <w:r>
              <w:drawing>
                <wp:inline>
                  <wp:extent cx="5334000" cy="2667000"/>
                  <wp:effectExtent b="0" l="0" r="0" t="0"/>
                  <wp:docPr descr="" title="" id="22" name="Picture"/>
                  <a:graphic>
                    <a:graphicData uri="http://schemas.openxmlformats.org/drawingml/2006/picture">
                      <pic:pic>
                        <pic:nvPicPr>
                          <pic:cNvPr descr="forest-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4"/>
        </w:tc>
      </w:tr>
    </w:tbl>
    <w:bookmarkEnd w:id="25"/>
    <w:bookmarkEnd w:id="26"/>
    <w:bookmarkStart w:id="27" w:name="benefit-risk-evaluation"/>
    <w:p>
      <w:pPr>
        <w:pStyle w:val="Heading1"/>
      </w:pPr>
      <w:r>
        <w:t xml:space="preserve">3.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7"/>
    <w:bookmarkStart w:id="28" w:name="trial-aim"/>
    <w:p>
      <w:pPr>
        <w:pStyle w:val="Heading1"/>
      </w:pPr>
      <w:r>
        <w:t xml:space="preserve">4.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8"/>
    <w:bookmarkStart w:id="29" w:name="X00c24060cc0917b8d570def0c3baa97996a92f2"/>
    <w:p>
      <w:pPr>
        <w:pStyle w:val="Heading1"/>
      </w:pPr>
      <w:r>
        <w:t xml:space="preserve">5. Regulatory approvals and trial registration</w:t>
      </w:r>
    </w:p>
    <w:p>
      <w:pPr>
        <w:pStyle w:val="FirstParagraph"/>
      </w:pPr>
      <w:r>
        <w:t xml:space="preserve">This trial will be submitted to the Health Ministry Screening Committee at the Indian Council for Medical Research for their approval, and registered with Clinical Trials Registry-India and ClinicalTrials.gov. We will apply for ethical approvals from each participating hospital, The George Institute for Global Health in India and the Swedish Ethical Review Authority.</w:t>
      </w:r>
    </w:p>
    <w:bookmarkEnd w:id="29"/>
    <w:bookmarkStart w:id="89" w:name="trial-design-and-procedures"/>
    <w:p>
      <w:pPr>
        <w:pStyle w:val="Heading1"/>
      </w:pPr>
      <w:r>
        <w:t xml:space="preserve">6. Trial design and procedures</w:t>
      </w:r>
    </w:p>
    <w:bookmarkStart w:id="30" w:name="overall-trial-design"/>
    <w:p>
      <w:pPr>
        <w:pStyle w:val="Heading2"/>
      </w:pPr>
      <w:r>
        <w:t xml:space="preserve">6.1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bookmarkEnd w:id="30"/>
    <w:bookmarkStart w:id="35" w:name="design-justification"/>
    <w:p>
      <w:pPr>
        <w:pStyle w:val="Heading2"/>
      </w:pPr>
      <w:r>
        <w:t xml:space="preserve">6.2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4" w:name="fig-trial-design"/>
          <w:p>
            <w:pPr>
              <w:jc w:val="center"/>
            </w:pPr>
            <w:r>
              <w:drawing>
                <wp:inline>
                  <wp:extent cx="5334000" cy="2667000"/>
                  <wp:effectExtent b="0" l="0" r="0" t="0"/>
                  <wp:docPr descr="" title="" id="32" name="Picture"/>
                  <a:graphic>
                    <a:graphicData uri="http://schemas.openxmlformats.org/drawingml/2006/picture">
                      <pic:pic>
                        <pic:nvPicPr>
                          <pic:cNvPr descr="trial-design-figure-30-clusters-5-sequences-6-batches-6-batches-overlap-4-min-standard-care-4-min-intervention-1-transition-months-0-transition-overlap.pdf"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4"/>
        </w:tc>
      </w:tr>
    </w:tbl>
    <w:bookmarkEnd w:id="35"/>
    <w:bookmarkStart w:id="41" w:name="cluster-selection"/>
    <w:p>
      <w:pPr>
        <w:pStyle w:val="Heading2"/>
      </w:pPr>
      <w:r>
        <w:t xml:space="preserve">6.3 Cluster selection</w:t>
      </w:r>
    </w:p>
    <w:p>
      <w:pPr>
        <w:pStyle w:val="FirstParagraph"/>
      </w:pPr>
      <w:r>
        <w:t xml:space="preserve">Clusters are one or more units of physicians providing initial trauma care in the emergency department of tertiary hospitals in India.</w:t>
      </w:r>
    </w:p>
    <w:bookmarkStart w:id="36" w:name="inclusion-criteria"/>
    <w:p>
      <w:pPr>
        <w:pStyle w:val="Heading3"/>
      </w:pPr>
      <w:r>
        <w:t xml:space="preserve">6.3.1 Inclusion criteria</w:t>
      </w:r>
    </w:p>
    <w:p>
      <w:pPr>
        <w:pStyle w:val="FirstParagraph"/>
      </w:pPr>
      <w:r>
        <w:rPr>
          <w:bCs/>
          <w:b/>
        </w:rPr>
        <w:t xml:space="preserve">Clusters</w:t>
      </w:r>
      <w:r>
        <w:t xml:space="preserve"> </w:t>
      </w:r>
      <w:r>
        <w:t xml:space="preserve">must meet the following criteria:</w:t>
      </w:r>
    </w:p>
    <w:p>
      <w:pPr>
        <w:numPr>
          <w:ilvl w:val="0"/>
          <w:numId w:val="1001"/>
        </w:numPr>
        <w:pStyle w:val="Compact"/>
      </w:pPr>
      <w:r>
        <w:t xml:space="preserve">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p>
    <w:p>
      <w:pPr>
        <w:numPr>
          <w:ilvl w:val="0"/>
          <w:numId w:val="1001"/>
        </w:numPr>
        <w:pStyle w:val="Compact"/>
      </w:pPr>
      <w:r>
        <w:t xml:space="preserve">the hospital of the cluster provides surgical and orthopaedic emergency services around the clock; and</w:t>
      </w:r>
    </w:p>
    <w:p>
      <w:pPr>
        <w:numPr>
          <w:ilvl w:val="0"/>
          <w:numId w:val="1001"/>
        </w:numPr>
        <w:pStyle w:val="Compact"/>
      </w:pPr>
      <w:r>
        <w:t xml:space="preserve">no more than 25% of physicians providing initial trauma care trained in a formalised trauma life support training programme.</w:t>
      </w:r>
    </w:p>
    <w:bookmarkEnd w:id="36"/>
    <w:bookmarkStart w:id="39" w:name="exclusion-criteria"/>
    <w:p>
      <w:pPr>
        <w:pStyle w:val="Heading3"/>
      </w:pPr>
      <w:r>
        <w:t xml:space="preserve">6.3.2 Exclusion criteria</w:t>
      </w:r>
    </w:p>
    <w:p>
      <w:pPr>
        <w:pStyle w:val="FirstParagraph"/>
      </w:pPr>
      <w:r>
        <w:rPr>
          <w:bCs/>
          <w:b/>
        </w:rPr>
        <w:t xml:space="preserve">Clusters</w:t>
      </w:r>
      <w:r>
        <w:t xml:space="preserve"> </w:t>
      </w:r>
      <w:r>
        <w:t xml:space="preserve">are excluded if they meet any of the following criteria:</w:t>
      </w:r>
    </w:p>
    <w:p>
      <w:pPr>
        <w:numPr>
          <w:ilvl w:val="0"/>
          <w:numId w:val="1002"/>
        </w:numPr>
        <w:pStyle w:val="Compact"/>
      </w:pPr>
      <w:r>
        <w:t xml:space="preserve">the hospital of the cluster plan to implement or implements a formalised trauma life support training programme</w:t>
      </w:r>
      <w:r>
        <w:t xml:space="preserve"> </w:t>
      </w:r>
      <w:r>
        <w:rPr>
          <w:rStyle w:val="FootnoteReference"/>
        </w:rPr>
        <w:footnoteReference w:id="37"/>
      </w:r>
      <w:r>
        <w:t xml:space="preserve"> </w:t>
      </w:r>
      <w:r>
        <w:t xml:space="preserve">during the trial period; or</w:t>
      </w:r>
    </w:p>
    <w:p>
      <w:pPr>
        <w:numPr>
          <w:ilvl w:val="0"/>
          <w:numId w:val="1002"/>
        </w:numPr>
        <w:pStyle w:val="Compact"/>
      </w:pPr>
      <w:r>
        <w:t xml:space="preserve">the hospital of the cluster plan to implement or implements other major interventions</w:t>
      </w:r>
      <w:r>
        <w:rPr>
          <w:rStyle w:val="FootnoteReference"/>
        </w:rPr>
        <w:footnoteReference w:id="38"/>
      </w:r>
      <w:r>
        <w:t xml:space="preserve"> </w:t>
      </w:r>
      <w:r>
        <w:t xml:space="preserve">that affects trauma care during the trial period.</w:t>
      </w:r>
    </w:p>
    <w:bookmarkEnd w:id="39"/>
    <w:bookmarkStart w:id="40" w:name="screening"/>
    <w:p>
      <w:pPr>
        <w:pStyle w:val="Heading3"/>
      </w:pPr>
      <w:r>
        <w:t xml:space="preserve">6.3.3 Screening</w:t>
      </w:r>
    </w:p>
    <w:p>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The data sources for screening will be hospital records and interviews with hospital staff. The screening will be standardised using a cluster screening instrument (see Appendix</w:t>
      </w:r>
      <w:r>
        <w:t xml:space="preserve"> </w:t>
      </w:r>
      <w:hyperlink w:anchor="X3fa50696d6e2531d34d9a3ff77dc0a2ba8099c2">
        <w:r>
          <w:rPr>
            <w:rStyle w:val="Hyperlink"/>
          </w:rPr>
          <w:t xml:space="preserve">Section 17.1</w:t>
        </w:r>
      </w:hyperlink>
      <w:r>
        <w:t xml:space="preserve">) in REDCap and logged in the associated REDCap database.</w:t>
      </w:r>
    </w:p>
    <w:p>
      <w:pPr>
        <w:pStyle w:val="BodyText"/>
      </w:pPr>
      <w:r>
        <w:t xml:space="preserve">We will strive to include hospitals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w:t>
      </w:r>
    </w:p>
    <w:bookmarkEnd w:id="40"/>
    <w:bookmarkEnd w:id="41"/>
    <w:bookmarkStart w:id="46" w:name="patient-participants-selection"/>
    <w:p>
      <w:pPr>
        <w:pStyle w:val="Heading2"/>
      </w:pPr>
      <w:r>
        <w:t xml:space="preserve">6.4 Patient participants selection</w:t>
      </w:r>
    </w:p>
    <w:p>
      <w:pPr>
        <w:pStyle w:val="FirstParagraph"/>
      </w:pPr>
      <w:r>
        <w:t xml:space="preserve">Patient participants are adult trauma patients who presents to the emergency department of participating hospitals and are admitted or transferred for admission.</w:t>
      </w:r>
    </w:p>
    <w:bookmarkStart w:id="42" w:name="inclusion-criteria-1"/>
    <w:p>
      <w:pPr>
        <w:pStyle w:val="Heading3"/>
      </w:pPr>
      <w:r>
        <w:t xml:space="preserve">6.4.1 Inclusion criteria</w:t>
      </w:r>
    </w:p>
    <w:p>
      <w:pPr>
        <w:pStyle w:val="FirstParagraph"/>
      </w:pPr>
      <w:r>
        <w:rPr>
          <w:bCs/>
          <w:b/>
        </w:rPr>
        <w:t xml:space="preserve">Patients participants</w:t>
      </w:r>
      <w:r>
        <w:t xml:space="preserve"> </w:t>
      </w:r>
      <w:r>
        <w:t xml:space="preserve">must meet the following criteria:</w:t>
      </w:r>
    </w:p>
    <w:p>
      <w:pPr>
        <w:numPr>
          <w:ilvl w:val="0"/>
          <w:numId w:val="1003"/>
        </w:numPr>
        <w:pStyle w:val="Compact"/>
      </w:pPr>
      <w:r>
        <w:t xml:space="preserve">age of at least 15 years;</w:t>
      </w:r>
    </w:p>
    <w:p>
      <w:pPr>
        <w:numPr>
          <w:ilvl w:val="0"/>
          <w:numId w:val="1003"/>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3"/>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3"/>
        </w:numPr>
        <w:pStyle w:val="Compact"/>
      </w:pPr>
      <w:r>
        <w:t xml:space="preserve">trauma occurred less than 48 hours before arrival at the hospital.</w:t>
      </w:r>
    </w:p>
    <w:bookmarkEnd w:id="42"/>
    <w:bookmarkStart w:id="43" w:name="exclusion-criteria-1"/>
    <w:p>
      <w:pPr>
        <w:pStyle w:val="Heading3"/>
      </w:pPr>
      <w:r>
        <w:t xml:space="preserve">6.4.2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4"/>
        </w:numPr>
        <w:pStyle w:val="Compact"/>
      </w:pPr>
      <w:r>
        <w:t xml:space="preserve">present with isolated limb injuries; or</w:t>
      </w:r>
    </w:p>
    <w:p>
      <w:pPr>
        <w:numPr>
          <w:ilvl w:val="0"/>
          <w:numId w:val="1004"/>
        </w:numPr>
        <w:pStyle w:val="Compact"/>
      </w:pPr>
      <w:r>
        <w:t xml:space="preserve">are directly admitted to a ward without being seen by a physician in the emergency department.</w:t>
      </w:r>
    </w:p>
    <w:bookmarkEnd w:id="43"/>
    <w:bookmarkStart w:id="44" w:name="screening-1"/>
    <w:p>
      <w:pPr>
        <w:pStyle w:val="Heading3"/>
      </w:pPr>
      <w:r>
        <w:t xml:space="preserve">6.4.3 Screening</w:t>
      </w:r>
    </w:p>
    <w:p>
      <w:pPr>
        <w:pStyle w:val="FirstParagraph"/>
      </w:pPr>
      <w:r>
        <w:t xml:space="preserve">Clinical research coordinators will screen patient participants either as they arrive to the emergency department or using emergency department registers. Once the patient is admitted, they will approach eligible patients or their representatives to provide study information and obtain informed consent for follow up. They will also inform patients that they can opt out of in-hospital data collection. Patients who are transferred before they have had an opportunity to consent will be contacted by phone. Phone numbers will be extracted from the emergency department registers.</w:t>
      </w:r>
    </w:p>
    <w:bookmarkEnd w:id="44"/>
    <w:bookmarkStart w:id="45" w:name="withdrawal-criteria"/>
    <w:p>
      <w:pPr>
        <w:pStyle w:val="Heading3"/>
      </w:pPr>
      <w:r>
        <w:t xml:space="preserve">6.4.4 Withdrawal criteria</w:t>
      </w:r>
    </w:p>
    <w:p>
      <w:pPr>
        <w:pStyle w:val="FirstParagraph"/>
      </w:pPr>
      <w:r>
        <w:t xml:space="preserve">Patient participants can choose to withdraw their consent to follow up at any time. If they withdraw their consent to follow up the clinical research coordinator will not contact them for additional follow ups. They can also choose to have the data collected about them removed from the trial at any time before final analysis of the data. Withdrawal of consent to follow up or removal of data from the trial will not affect their care in any way. If the patient participant withdraws consent, follow-up of this participant will be performed according to the participating hospitals routine.</w:t>
      </w:r>
    </w:p>
    <w:bookmarkEnd w:id="45"/>
    <w:bookmarkEnd w:id="46"/>
    <w:bookmarkStart w:id="48" w:name="procedures"/>
    <w:p>
      <w:pPr>
        <w:pStyle w:val="Heading2"/>
      </w:pPr>
      <w:r>
        <w:t xml:space="preserve">6.5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47"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47"/>
    <w:bookmarkEnd w:id="48"/>
    <w:bookmarkStart w:id="49" w:name="biological-sampling-procedures"/>
    <w:p>
      <w:pPr>
        <w:pStyle w:val="Heading2"/>
      </w:pPr>
      <w:r>
        <w:t xml:space="preserve">6.6 Biological sampling procedures</w:t>
      </w:r>
    </w:p>
    <w:p>
      <w:pPr>
        <w:pStyle w:val="FirstParagraph"/>
      </w:pPr>
      <w:r>
        <w:t xml:space="preserve">This trial does not include biological sampling.</w:t>
      </w:r>
    </w:p>
    <w:bookmarkEnd w:id="49"/>
    <w:bookmarkStart w:id="50" w:name="end-of-trial"/>
    <w:p>
      <w:pPr>
        <w:pStyle w:val="Heading2"/>
      </w:pPr>
      <w:r>
        <w:t xml:space="preserve">6.7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w:t>
      </w:r>
      <w:r>
        <w:t xml:space="preserve"> </w:t>
      </w:r>
      <w:r>
        <w:t xml:space="preserve">follow-up. Decisions on premature termination are taken by the sponsor.</w:t>
      </w:r>
    </w:p>
    <w:bookmarkEnd w:id="50"/>
    <w:bookmarkStart w:id="54" w:name="intervention-and-control-treatment"/>
    <w:p>
      <w:pPr>
        <w:pStyle w:val="Heading2"/>
      </w:pPr>
      <w:r>
        <w:t xml:space="preserve">6.8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11</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1" w:name="Xf02b29e15f63d0cbcdfc4516a30aea727e4ce25"/>
    <w:p>
      <w:pPr>
        <w:pStyle w:val="Heading3"/>
      </w:pPr>
      <w:r>
        <w:t xml:space="preserve">6.8.1 Description of investigational medicinal products</w:t>
      </w:r>
    </w:p>
    <w:p>
      <w:pPr>
        <w:pStyle w:val="FirstParagraph"/>
      </w:pPr>
      <w:r>
        <w:t xml:space="preserve">This trial does not include any investigational medicinal products.</w:t>
      </w:r>
    </w:p>
    <w:bookmarkEnd w:id="51"/>
    <w:bookmarkStart w:id="52" w:name="auxiliary-medicinal-products"/>
    <w:p>
      <w:pPr>
        <w:pStyle w:val="Heading3"/>
      </w:pPr>
      <w:r>
        <w:t xml:space="preserve">6.8.2 Auxiliary medicinal products</w:t>
      </w:r>
    </w:p>
    <w:p>
      <w:pPr>
        <w:pStyle w:val="FirstParagraph"/>
      </w:pPr>
      <w:r>
        <w:t xml:space="preserve">This trial does not include any auxiliary medicinal products.</w:t>
      </w:r>
    </w:p>
    <w:bookmarkEnd w:id="52"/>
    <w:bookmarkStart w:id="53" w:name="Xc2d650b6c6acd0528e005be9fdded9065220778"/>
    <w:p>
      <w:pPr>
        <w:pStyle w:val="Heading3"/>
      </w:pPr>
      <w:r>
        <w:t xml:space="preserve">6.8.3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3"/>
    <w:bookmarkEnd w:id="54"/>
    <w:bookmarkStart w:id="56" w:name="randomization"/>
    <w:p>
      <w:pPr>
        <w:pStyle w:val="Heading2"/>
      </w:pPr>
      <w:r>
        <w:t xml:space="preserve">6.9 Randomization</w:t>
      </w:r>
    </w:p>
    <w:p>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w:t>
      </w:r>
      <w:r>
        <w:rPr>
          <w:rStyle w:val="FootnoteReference"/>
        </w:rPr>
        <w:footnoteReference w:id="55"/>
      </w:r>
      <w:r>
        <w:t xml:space="preserve">.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56"/>
    <w:bookmarkStart w:id="57" w:name="blinding"/>
    <w:p>
      <w:pPr>
        <w:pStyle w:val="Heading2"/>
      </w:pPr>
      <w:r>
        <w:t xml:space="preserve">6.10 Blinding</w:t>
      </w:r>
    </w:p>
    <w:p>
      <w:pPr>
        <w:pStyle w:val="FirstParagraph"/>
      </w:pPr>
      <w:r>
        <w:t xml:space="preserve">It is not possible to blind a stepped-wedge trial, because all clusters receive the intervention.</w:t>
      </w:r>
    </w:p>
    <w:bookmarkEnd w:id="57"/>
    <w:bookmarkStart w:id="58" w:name="treatment-after-trial-end"/>
    <w:p>
      <w:pPr>
        <w:pStyle w:val="Heading2"/>
      </w:pPr>
      <w:r>
        <w:t xml:space="preserve">6.11 Treatment after trial end</w:t>
      </w:r>
    </w:p>
    <w:p>
      <w:pPr>
        <w:pStyle w:val="FirstParagraph"/>
      </w:pPr>
      <w:r>
        <w:t xml:space="preserve">When the trial ends, the intervention will have been implemented in all clusters.</w:t>
      </w:r>
    </w:p>
    <w:bookmarkEnd w:id="58"/>
    <w:bookmarkStart w:id="61" w:name="outcomes"/>
    <w:p>
      <w:pPr>
        <w:pStyle w:val="Heading2"/>
      </w:pPr>
      <w:r>
        <w:t xml:space="preserve">6.12 Outcomes</w:t>
      </w:r>
    </w:p>
    <w:bookmarkStart w:id="59" w:name="primary-outcome"/>
    <w:p>
      <w:pPr>
        <w:pStyle w:val="Heading3"/>
      </w:pPr>
      <w:r>
        <w:t xml:space="preserve">6.12.1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59"/>
    <w:bookmarkStart w:id="60" w:name="secondary-outcomes"/>
    <w:p>
      <w:pPr>
        <w:pStyle w:val="Heading3"/>
      </w:pPr>
      <w:r>
        <w:t xml:space="preserve">6.12.2 Secondary outcomes</w:t>
      </w:r>
    </w:p>
    <w:p>
      <w:pPr>
        <w:numPr>
          <w:ilvl w:val="0"/>
          <w:numId w:val="1005"/>
        </w:numPr>
        <w:pStyle w:val="Compact"/>
      </w:pPr>
      <w:r>
        <w:t xml:space="preserve">All cause mortality within 24 hours and three months of arrival at the emergency department. Data on this outcome will be collected in the same way as for the primary outcome.</w:t>
      </w:r>
    </w:p>
    <w:p>
      <w:pPr>
        <w:numPr>
          <w:ilvl w:val="0"/>
          <w:numId w:val="1005"/>
        </w:numPr>
        <w:pStyle w:val="Compact"/>
      </w:pPr>
      <w:r>
        <w:t xml:space="preserve">In-hospital mortality within 30 days of arrival at the emergency department. Data on this outcome will be collected in the same way as for the primary outcome.</w:t>
      </w:r>
    </w:p>
    <w:p>
      <w:pPr>
        <w:numPr>
          <w:ilvl w:val="0"/>
          <w:numId w:val="1005"/>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5"/>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5"/>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5"/>
        </w:numPr>
        <w:pStyle w:val="Compact"/>
      </w:pPr>
      <w:r>
        <w:t xml:space="preserve">Length of emergency department stay. Data on this outcome will be collected from patient hospital records.</w:t>
      </w:r>
    </w:p>
    <w:p>
      <w:pPr>
        <w:numPr>
          <w:ilvl w:val="0"/>
          <w:numId w:val="1005"/>
        </w:numPr>
        <w:pStyle w:val="Compact"/>
      </w:pPr>
      <w:r>
        <w:t xml:space="preserve">Length of hospital stay. Data on this outcome will be collected from patient hospital records.</w:t>
      </w:r>
    </w:p>
    <w:p>
      <w:pPr>
        <w:numPr>
          <w:ilvl w:val="0"/>
          <w:numId w:val="1005"/>
        </w:numPr>
        <w:pStyle w:val="Compact"/>
      </w:pPr>
      <w:r>
        <w:t xml:space="preserve">Intensive care unit admission. Data on this outcome will be collected from patient hospital records.</w:t>
      </w:r>
    </w:p>
    <w:p>
      <w:pPr>
        <w:numPr>
          <w:ilvl w:val="0"/>
          <w:numId w:val="1005"/>
        </w:numPr>
        <w:pStyle w:val="Compact"/>
      </w:pPr>
      <w:r>
        <w:t xml:space="preserve">Length of intensive care unit stay. Data on this outcome will be collected from patient hospital records.</w:t>
      </w:r>
    </w:p>
    <w:bookmarkEnd w:id="60"/>
    <w:bookmarkEnd w:id="61"/>
    <w:bookmarkStart w:id="68" w:name="handling-of-adverse-and-safety-events"/>
    <w:p>
      <w:pPr>
        <w:pStyle w:val="Heading2"/>
      </w:pPr>
      <w:r>
        <w:t xml:space="preserve">6.13 Handling of Adverse and Safety Events</w:t>
      </w:r>
    </w:p>
    <w:bookmarkStart w:id="65" w:name="definitions"/>
    <w:p>
      <w:pPr>
        <w:pStyle w:val="Heading3"/>
      </w:pPr>
      <w:r>
        <w:t xml:space="preserve">6.13.1 Definitions</w:t>
      </w:r>
    </w:p>
    <w:bookmarkStart w:id="62" w:name="adverse-event"/>
    <w:p>
      <w:pPr>
        <w:pStyle w:val="Heading4"/>
      </w:pPr>
      <w:r>
        <w:t xml:space="preserve">6.13.1.1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2"/>
    <w:bookmarkStart w:id="63" w:name="serious-adverse-event"/>
    <w:p>
      <w:pPr>
        <w:pStyle w:val="Heading4"/>
      </w:pPr>
      <w:r>
        <w:t xml:space="preserve">6.13.1.2 Serious Adverse Event</w:t>
      </w:r>
    </w:p>
    <w:p>
      <w:pPr>
        <w:pStyle w:val="FirstParagraph"/>
      </w:pPr>
      <w:r>
        <w:t xml:space="preserve">Any untoward medical occurrence in a trial participant that:</w:t>
      </w:r>
    </w:p>
    <w:p>
      <w:pPr>
        <w:numPr>
          <w:ilvl w:val="0"/>
          <w:numId w:val="1006"/>
        </w:numPr>
        <w:pStyle w:val="Compact"/>
      </w:pPr>
      <w:r>
        <w:t xml:space="preserve">leads to death</w:t>
      </w:r>
    </w:p>
    <w:p>
      <w:pPr>
        <w:numPr>
          <w:ilvl w:val="0"/>
          <w:numId w:val="1006"/>
        </w:numPr>
        <w:pStyle w:val="Compact"/>
      </w:pPr>
      <w:r>
        <w:t xml:space="preserve">is life-threatening</w:t>
      </w:r>
    </w:p>
    <w:p>
      <w:pPr>
        <w:numPr>
          <w:ilvl w:val="0"/>
          <w:numId w:val="1006"/>
        </w:numPr>
        <w:pStyle w:val="Compact"/>
      </w:pPr>
      <w:r>
        <w:t xml:space="preserve">requires inpatient hospitalization or prolongation of existing hospitalization</w:t>
      </w:r>
    </w:p>
    <w:p>
      <w:pPr>
        <w:numPr>
          <w:ilvl w:val="0"/>
          <w:numId w:val="1006"/>
        </w:numPr>
        <w:pStyle w:val="Compact"/>
      </w:pPr>
      <w:r>
        <w:t xml:space="preserve">results in persistent or significant disability or incapacity</w:t>
      </w:r>
    </w:p>
    <w:p>
      <w:pPr>
        <w:numPr>
          <w:ilvl w:val="0"/>
          <w:numId w:val="1006"/>
        </w:numPr>
        <w:pStyle w:val="Compact"/>
      </w:pPr>
      <w:r>
        <w:t xml:space="preserve">results in a congenital anomaly/malformation</w:t>
      </w:r>
    </w:p>
    <w:bookmarkEnd w:id="63"/>
    <w:bookmarkStart w:id="64" w:name="safety-event"/>
    <w:p>
      <w:pPr>
        <w:pStyle w:val="Heading4"/>
      </w:pPr>
      <w:r>
        <w:t xml:space="preserve">6.13.1.3 Safety Event</w:t>
      </w:r>
    </w:p>
    <w:p>
      <w:pPr>
        <w:pStyle w:val="FirstParagraph"/>
      </w:pPr>
      <w:r>
        <w:t xml:space="preserve">Any unexpected serious complication that might occur as a consequence of the trial and that are not part of the natural history of trauma.</w:t>
      </w:r>
    </w:p>
    <w:bookmarkEnd w:id="64"/>
    <w:bookmarkEnd w:id="65"/>
    <w:bookmarkStart w:id="66" w:name="Xe8021c2d0f171fd00b40703432ee87583bb2075"/>
    <w:p>
      <w:pPr>
        <w:pStyle w:val="Heading3"/>
      </w:pPr>
      <w:r>
        <w:t xml:space="preserve">6.13.2 Reporting and Assessment of Adverse and Safety Events</w:t>
      </w:r>
    </w:p>
    <w:p>
      <w:pPr>
        <w:pStyle w:val="FirstParagraph"/>
      </w:pPr>
      <w:r>
        <w:t xml:space="preserve">In alignment with other current trials including critically ill patients</w:t>
      </w:r>
      <w:r>
        <w:rPr>
          <w:vertAlign w:val="superscript"/>
        </w:rPr>
        <w:t xml:space="preserve">30</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7"/>
        </w:numPr>
        <w:pStyle w:val="Compact"/>
      </w:pPr>
      <w:r>
        <w:t xml:space="preserve">Prolonged mechanical ventilation (&gt; 7 days)</w:t>
      </w:r>
    </w:p>
    <w:p>
      <w:pPr>
        <w:numPr>
          <w:ilvl w:val="0"/>
          <w:numId w:val="1007"/>
        </w:numPr>
        <w:pStyle w:val="Compact"/>
      </w:pPr>
      <w:r>
        <w:t xml:space="preserve">Initiation of renal replacement therapy</w:t>
      </w:r>
    </w:p>
    <w:p>
      <w:pPr>
        <w:numPr>
          <w:ilvl w:val="0"/>
          <w:numId w:val="1007"/>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bookmarkEnd w:id="66"/>
    <w:bookmarkStart w:id="67" w:name="follow-up-of-safety-events"/>
    <w:p>
      <w:pPr>
        <w:pStyle w:val="Heading3"/>
      </w:pPr>
      <w:r>
        <w:t xml:space="preserve">6.13.3 Follow up of Safety Events</w:t>
      </w:r>
    </w:p>
    <w:p>
      <w:pPr>
        <w:pStyle w:val="FirstParagraph"/>
      </w:pPr>
      <w:r>
        <w:t xml:space="preserve">All safety events should be followed up by the local investigator until they are fully evaluated.</w:t>
      </w:r>
    </w:p>
    <w:bookmarkEnd w:id="67"/>
    <w:bookmarkEnd w:id="68"/>
    <w:bookmarkStart w:id="70" w:name="Xa22bc42d15e6a967920815a76e3f87a417b33fc"/>
    <w:p>
      <w:pPr>
        <w:pStyle w:val="Heading2"/>
      </w:pPr>
      <w:r>
        <w:t xml:space="preserve">6.14 Independent Data Safety Monitoring Committee</w:t>
      </w:r>
    </w:p>
    <w:p>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69"/>
      </w:r>
    </w:p>
    <w:bookmarkEnd w:id="70"/>
    <w:bookmarkStart w:id="82" w:name="statistics"/>
    <w:p>
      <w:pPr>
        <w:pStyle w:val="Heading2"/>
      </w:pPr>
      <w:r>
        <w:t xml:space="preserve">6.15 Statistics</w:t>
      </w:r>
    </w:p>
    <w:bookmarkStart w:id="72" w:name="general-principles"/>
    <w:p>
      <w:pPr>
        <w:pStyle w:val="Heading3"/>
      </w:pPr>
      <w:r>
        <w:t xml:space="preserve">6.15.1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1"/>
      </w:r>
      <w:r>
        <w:t xml:space="preserve">. Additional subgroup analyses will include age across the groups older adolescents (15-19 years), young adults (20-24 years), adults (25-59 years), and older adults (60 years and older)</w:t>
      </w:r>
      <w:r>
        <w:rPr>
          <w:vertAlign w:val="superscript"/>
        </w:rPr>
        <w:t xml:space="preserve">31</w:t>
      </w:r>
      <w:r>
        <w:t xml:space="preserve">; sex; and the clinical cohorts blunt multisytem trauma, penetrating trauma, and severe isolated traumatic brain injury.</w:t>
      </w:r>
    </w:p>
    <w:bookmarkEnd w:id="72"/>
    <w:bookmarkStart w:id="73" w:name="analysis-models"/>
    <w:p>
      <w:pPr>
        <w:pStyle w:val="Heading3"/>
      </w:pPr>
      <w:r>
        <w:t xml:space="preserve">6.15.2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32</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3"/>
    <w:bookmarkStart w:id="74" w:name="additional-sensitivity-analyses"/>
    <w:p>
      <w:pPr>
        <w:pStyle w:val="Heading3"/>
      </w:pPr>
      <w:r>
        <w:t xml:space="preserve">6.15.3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4"/>
    <w:bookmarkStart w:id="75" w:name="X8ec26ac0c1a0fc3153cbf2da37e6e3209869316"/>
    <w:p>
      <w:pPr>
        <w:pStyle w:val="Heading3"/>
      </w:pPr>
      <w:r>
        <w:t xml:space="preserve">6.15.4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5"/>
    <w:bookmarkStart w:id="80" w:name="sample-size-calculations"/>
    <w:p>
      <w:pPr>
        <w:pStyle w:val="Heading3"/>
      </w:pPr>
      <w:r>
        <w:t xml:space="preserve">6.15.5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33,34</w:t>
      </w:r>
      <w:r>
        <w:t xml:space="preserve">, and a CAC of 0.9 but considered sensitivity across the range 0.8-1.0, based on our pilot study and current guidance</w:t>
      </w:r>
      <w:r>
        <w:rPr>
          <w:vertAlign w:val="superscript"/>
        </w:rPr>
        <w:t xml:space="preserve">35–37</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79" w:name="fig-power-curves"/>
          <w:p>
            <w:pPr>
              <w:jc w:val="center"/>
            </w:pPr>
            <w:r>
              <w:drawing>
                <wp:inline>
                  <wp:extent cx="5334000" cy="2363694"/>
                  <wp:effectExtent b="0" l="0" r="0" t="0"/>
                  <wp:docPr descr="" title="" id="77" name="Picture"/>
                  <a:graphic>
                    <a:graphicData uri="http://schemas.openxmlformats.org/drawingml/2006/picture">
                      <pic:pic>
                        <pic:nvPicPr>
                          <pic:cNvPr descr="./combined-power-curves.pdf" id="78" name="Picture"/>
                          <pic:cNvPicPr>
                            <a:picLocks noChangeArrowheads="1" noChangeAspect="1"/>
                          </pic:cNvPicPr>
                        </pic:nvPicPr>
                        <pic:blipFill>
                          <a:blip r:embed="rId76"/>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79"/>
        </w:tc>
      </w:tr>
    </w:tbl>
    <w:bookmarkEnd w:id="80"/>
    <w:bookmarkStart w:id="81" w:name="interim-analysis"/>
    <w:p>
      <w:pPr>
        <w:pStyle w:val="Heading3"/>
      </w:pPr>
      <w:r>
        <w:t xml:space="preserve">6.15.6 Interim analysis</w:t>
      </w:r>
    </w:p>
    <w:p>
      <w:pPr>
        <w:pStyle w:val="FirstParagraph"/>
      </w:pPr>
      <w:r>
        <w:t xml:space="preserve">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independent Data Safety Monitoring committee.</w:t>
      </w:r>
    </w:p>
    <w:bookmarkEnd w:id="81"/>
    <w:bookmarkEnd w:id="82"/>
    <w:bookmarkStart w:id="84" w:name="quality-control-and-quality-assurance"/>
    <w:p>
      <w:pPr>
        <w:pStyle w:val="Heading2"/>
      </w:pPr>
      <w:r>
        <w:t xml:space="preserve">6.16 Quality Control and Quality Assurance</w:t>
      </w:r>
    </w:p>
    <w:p>
      <w:pPr>
        <w:pStyle w:val="FirstParagraph"/>
      </w:pPr>
      <w:r>
        <w:rPr>
          <w:iCs/>
          <w:i/>
        </w:rPr>
        <w:t xml:space="preserve">There may be less stringent rules for low-intervention clinical trials</w:t>
      </w:r>
      <w:r>
        <w:rPr>
          <w:iCs/>
          <w:i/>
        </w:rPr>
        <w:t xml:space="preserve"> </w:t>
      </w:r>
      <w:r>
        <w:rPr>
          <w:iCs/>
          <w:i/>
        </w:rPr>
        <w:t xml:space="preserve">(see cover page), e.g. limited monitoring requirements.</w:t>
      </w:r>
      <w:r>
        <w:rPr>
          <w:rStyle w:val="FootnoteReference"/>
        </w:rPr>
        <w:footnoteReference w:id="83"/>
      </w:r>
    </w:p>
    <w:bookmarkEnd w:id="84"/>
    <w:bookmarkStart w:id="86" w:name="quality-assurance-and-sponsor-oversight"/>
    <w:p>
      <w:pPr>
        <w:pStyle w:val="Heading2"/>
      </w:pPr>
      <w:r>
        <w:t xml:space="preserve">6.17 Quality Assurance and Sponsor oversight</w:t>
      </w:r>
    </w:p>
    <w:p>
      <w:pPr>
        <w:pStyle w:val="FirstParagraph"/>
      </w:pPr>
      <w:r>
        <w:rPr>
          <w:iCs/>
          <w:i/>
        </w:rPr>
        <w:t xml:space="preserve">In this section, describe which quality assurance systems the trial</w:t>
      </w:r>
      <w:r>
        <w:rPr>
          <w:iCs/>
          <w:i/>
        </w:rPr>
        <w:t xml:space="preserve"> </w:t>
      </w:r>
      <w:r>
        <w:rPr>
          <w:iCs/>
          <w:i/>
        </w:rPr>
        <w:t xml:space="preserve">will have to ensure and control the quality as well as the sponsor’s</w:t>
      </w:r>
      <w:r>
        <w:rPr>
          <w:iCs/>
          <w:i/>
        </w:rPr>
        <w:t xml:space="preserve"> </w:t>
      </w:r>
      <w:r>
        <w:rPr>
          <w:iCs/>
          <w:i/>
        </w:rPr>
        <w:t xml:space="preserve">methods for having oversight of the trial’s quality. For example,</w:t>
      </w:r>
      <w:r>
        <w:rPr>
          <w:iCs/>
          <w:i/>
        </w:rPr>
        <w:t xml:space="preserve"> </w:t>
      </w:r>
      <w:r>
        <w:rPr>
          <w:iCs/>
          <w:i/>
        </w:rPr>
        <w:t xml:space="preserve">communication plan, training of trial personnel, working manuals,</w:t>
      </w:r>
      <w:r>
        <w:rPr>
          <w:iCs/>
          <w:i/>
        </w:rPr>
        <w:t xml:space="preserve"> </w:t>
      </w:r>
      <w:r>
        <w:rPr>
          <w:iCs/>
          <w:i/>
        </w:rPr>
        <w:t xml:space="preserve">meetings, central/local monitoring, audits, etc.</w:t>
      </w:r>
    </w:p>
    <w:p>
      <w:pPr>
        <w:pStyle w:val="BodyText"/>
      </w:pPr>
      <w:r>
        <w:rPr>
          <w:iCs/>
          <w:i/>
        </w:rPr>
        <w:t xml:space="preserve">The sponsor’s quality-related work must be based on a risk analysis of</w:t>
      </w:r>
      <w:r>
        <w:rPr>
          <w:iCs/>
          <w:i/>
        </w:rPr>
        <w:t xml:space="preserve"> </w:t>
      </w:r>
      <w:r>
        <w:rPr>
          <w:iCs/>
          <w:i/>
        </w:rPr>
        <w:t xml:space="preserve">the trial as a whole: design, conduct, data collection, evaluation,</w:t>
      </w:r>
      <w:r>
        <w:rPr>
          <w:iCs/>
          <w:i/>
        </w:rPr>
        <w:t xml:space="preserve"> </w:t>
      </w:r>
      <w:r>
        <w:rPr>
          <w:iCs/>
          <w:i/>
        </w:rPr>
        <w:t xml:space="preserve">reporting and archiving.</w:t>
      </w:r>
    </w:p>
    <w:p>
      <w:pPr>
        <w:pStyle w:val="BodyText"/>
      </w:pPr>
      <w:r>
        <w:rPr>
          <w:iCs/>
          <w:i/>
        </w:rPr>
        <w:t xml:space="preserve">To enable monitoring and auditing, the protocol or other written</w:t>
      </w:r>
      <w:r>
        <w:rPr>
          <w:iCs/>
          <w:i/>
        </w:rPr>
        <w:t xml:space="preserve"> </w:t>
      </w:r>
      <w:r>
        <w:rPr>
          <w:iCs/>
          <w:i/>
        </w:rPr>
        <w:t xml:space="preserve">agreement must specify that the investigators allow trial-related</w:t>
      </w:r>
      <w:r>
        <w:rPr>
          <w:iCs/>
          <w:i/>
        </w:rPr>
        <w:t xml:space="preserve"> </w:t>
      </w:r>
      <w:r>
        <w:rPr>
          <w:iCs/>
          <w:i/>
        </w:rPr>
        <w:t xml:space="preserve">monitoring, auditing, and regulatory inspections by providing direct</w:t>
      </w:r>
      <w:r>
        <w:rPr>
          <w:iCs/>
          <w:i/>
        </w:rPr>
        <w:t xml:space="preserve"> </w:t>
      </w:r>
      <w:r>
        <w:rPr>
          <w:iCs/>
          <w:i/>
        </w:rPr>
        <w:t xml:space="preserve">access to the CRF, subject’s medical record and other source data and</w:t>
      </w:r>
      <w:r>
        <w:rPr>
          <w:iCs/>
          <w:i/>
        </w:rPr>
        <w:t xml:space="preserve"> </w:t>
      </w:r>
      <w:r>
        <w:rPr>
          <w:iCs/>
          <w:i/>
        </w:rPr>
        <w:t xml:space="preserve">other trial-specific documentation. Similarly, this also must be</w:t>
      </w:r>
      <w:r>
        <w:rPr>
          <w:iCs/>
          <w:i/>
        </w:rPr>
        <w:t xml:space="preserve"> </w:t>
      </w:r>
      <w:r>
        <w:rPr>
          <w:iCs/>
          <w:i/>
        </w:rPr>
        <w:t xml:space="preserve">apparent to the subjects in the Subject Information and Informed Consent</w:t>
      </w:r>
      <w:r>
        <w:rPr>
          <w:iCs/>
          <w:i/>
        </w:rPr>
        <w:t xml:space="preserve"> </w:t>
      </w:r>
      <w:r>
        <w:rPr>
          <w:iCs/>
          <w:i/>
        </w:rPr>
        <w:t xml:space="preserve">Form.</w:t>
      </w:r>
    </w:p>
    <w:p>
      <w:pPr>
        <w:pStyle w:val="BodyText"/>
      </w:pPr>
      <w:r>
        <w:rPr>
          <w:iCs/>
          <w:i/>
        </w:rPr>
        <w:t xml:space="preserve">The sponsor is responsible for the trial’s monitoring plan, which</w:t>
      </w:r>
      <w:r>
        <w:rPr>
          <w:iCs/>
          <w:i/>
        </w:rPr>
        <w:t xml:space="preserve"> </w:t>
      </w:r>
      <w:r>
        <w:rPr>
          <w:iCs/>
          <w:i/>
        </w:rPr>
        <w:t xml:space="preserve">should be based on the identified risks, follow-up of risks during the</w:t>
      </w:r>
      <w:r>
        <w:rPr>
          <w:iCs/>
          <w:i/>
        </w:rPr>
        <w:t xml:space="preserve"> </w:t>
      </w:r>
      <w:r>
        <w:rPr>
          <w:iCs/>
          <w:i/>
        </w:rPr>
        <w:t xml:space="preserve">trial and timeliness of the monitoring plan.</w:t>
      </w:r>
      <w:r>
        <w:rPr>
          <w:rStyle w:val="FootnoteReference"/>
        </w:rPr>
        <w:footnoteReference w:id="85"/>
      </w:r>
    </w:p>
    <w:bookmarkEnd w:id="86"/>
    <w:bookmarkStart w:id="88" w:name="monitoring"/>
    <w:p>
      <w:pPr>
        <w:pStyle w:val="Heading2"/>
      </w:pPr>
      <w:r>
        <w:t xml:space="preserve">6.18 Monitoring</w:t>
      </w:r>
    </w:p>
    <w:p>
      <w:pPr>
        <w:pStyle w:val="FirstParagraph"/>
      </w:pPr>
      <w:r>
        <w:rPr>
          <w:iCs/>
          <w:i/>
        </w:rPr>
        <w:t xml:space="preserve">The minimum level for quality control is that the following can be</w:t>
      </w:r>
      <w:r>
        <w:rPr>
          <w:iCs/>
          <w:i/>
        </w:rPr>
        <w:t xml:space="preserve"> </w:t>
      </w:r>
      <w:r>
        <w:rPr>
          <w:iCs/>
          <w:i/>
        </w:rPr>
        <w:t xml:space="preserve">verified:</w:t>
      </w:r>
    </w:p>
    <w:p>
      <w:pPr>
        <w:numPr>
          <w:ilvl w:val="0"/>
          <w:numId w:val="1008"/>
        </w:numPr>
      </w:pPr>
      <w:r>
        <w:rPr>
          <w:iCs/>
          <w:i/>
        </w:rPr>
        <w:t xml:space="preserve">that subjects exist</w:t>
      </w:r>
    </w:p>
    <w:p>
      <w:pPr>
        <w:numPr>
          <w:ilvl w:val="0"/>
          <w:numId w:val="1008"/>
        </w:numPr>
      </w:pPr>
      <w:r>
        <w:rPr>
          <w:iCs/>
          <w:i/>
        </w:rPr>
        <w:t xml:space="preserve">that informed consent has been signed prior to execution of any</w:t>
      </w:r>
      <w:r>
        <w:rPr>
          <w:iCs/>
          <w:i/>
        </w:rPr>
        <w:t xml:space="preserve"> </w:t>
      </w:r>
      <w:r>
        <w:rPr>
          <w:iCs/>
          <w:i/>
        </w:rPr>
        <w:t xml:space="preserve">trial-specific actions</w:t>
      </w:r>
    </w:p>
    <w:p>
      <w:pPr>
        <w:numPr>
          <w:ilvl w:val="0"/>
          <w:numId w:val="1008"/>
        </w:numPr>
      </w:pPr>
      <w:r>
        <w:rPr>
          <w:iCs/>
          <w:i/>
        </w:rPr>
        <w:t xml:space="preserve">that subjects are included according to the protocol’s inclusion</w:t>
      </w:r>
      <w:r>
        <w:rPr>
          <w:iCs/>
          <w:i/>
        </w:rPr>
        <w:t xml:space="preserve"> </w:t>
      </w:r>
      <w:r>
        <w:rPr>
          <w:iCs/>
          <w:i/>
        </w:rPr>
        <w:t xml:space="preserve">and exclusion criteria</w:t>
      </w:r>
    </w:p>
    <w:p>
      <w:pPr>
        <w:numPr>
          <w:ilvl w:val="0"/>
          <w:numId w:val="1008"/>
        </w:numPr>
      </w:pPr>
      <w:r>
        <w:rPr>
          <w:iCs/>
          <w:i/>
        </w:rPr>
        <w:t xml:space="preserve">that the trial’s main parameters and safety reporting are handled</w:t>
      </w:r>
      <w:r>
        <w:rPr>
          <w:iCs/>
          <w:i/>
        </w:rPr>
        <w:t xml:space="preserve"> </w:t>
      </w:r>
      <w:r>
        <w:rPr>
          <w:iCs/>
          <w:i/>
        </w:rPr>
        <w:t xml:space="preserve">correctly</w:t>
      </w:r>
    </w:p>
    <w:p>
      <w:pPr>
        <w:pStyle w:val="FirstParagraph"/>
      </w:pPr>
      <w:r>
        <w:rPr>
          <w:iCs/>
          <w:i/>
        </w:rPr>
        <w:t xml:space="preserve">Other tasks for a monitor include verifying that the trial’s essential</w:t>
      </w:r>
      <w:r>
        <w:rPr>
          <w:iCs/>
          <w:i/>
        </w:rPr>
        <w:t xml:space="preserve"> </w:t>
      </w:r>
      <w:r>
        <w:rPr>
          <w:iCs/>
          <w:i/>
        </w:rPr>
        <w:t xml:space="preserve">documents are complete (according to chapter 8, ICH-GCP (E6(R2)).</w:t>
      </w:r>
      <w:r>
        <w:rPr>
          <w:rStyle w:val="FootnoteReference"/>
        </w:rPr>
        <w:footnoteReference w:id="87"/>
      </w:r>
    </w:p>
    <w:bookmarkEnd w:id="88"/>
    <w:bookmarkEnd w:id="89"/>
    <w:bookmarkStart w:id="90" w:name="Xc375ff589a212c40edd22855353d68d440706fb"/>
    <w:p>
      <w:pPr>
        <w:pStyle w:val="Heading1"/>
      </w:pPr>
      <w:r>
        <w:t xml:space="preserve">7.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w:t>
      </w:r>
      <w:r>
        <w:t xml:space="preserve"> </w:t>
      </w:r>
      <w:r>
        <w:t xml:space="preserve">trial documentation of the principal investigator and the sponsor and</w:t>
      </w:r>
      <w:r>
        <w:t xml:space="preserve"> </w:t>
      </w:r>
      <w:r>
        <w:t xml:space="preserve">appropriate measures shall be taken. The deviations must be recorded in</w:t>
      </w:r>
      <w:r>
        <w:t xml:space="preserve"> </w:t>
      </w:r>
      <w:r>
        <w:t xml:space="preserve">the clinical trial report.</w:t>
      </w:r>
    </w:p>
    <w:bookmarkEnd w:id="90"/>
    <w:bookmarkStart w:id="91" w:name="audits-and-inspections"/>
    <w:p>
      <w:pPr>
        <w:pStyle w:val="Heading1"/>
      </w:pPr>
      <w:r>
        <w:t xml:space="preserve">8.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1"/>
    <w:bookmarkStart w:id="97" w:name="ethics"/>
    <w:p>
      <w:pPr>
        <w:pStyle w:val="Heading1"/>
      </w:pPr>
      <w:r>
        <w:t xml:space="preserve">9. Ethics</w:t>
      </w:r>
    </w:p>
    <w:bookmarkStart w:id="92" w:name="Xe0806e4a59e9522910932ff33dfe2dc5d651a67"/>
    <w:p>
      <w:pPr>
        <w:pStyle w:val="Heading2"/>
      </w:pPr>
      <w:r>
        <w:t xml:space="preserve">9.1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2"/>
    <w:bookmarkStart w:id="93" w:name="ethical-review-of-the-trial"/>
    <w:p>
      <w:pPr>
        <w:pStyle w:val="Heading2"/>
      </w:pPr>
      <w:r>
        <w:t xml:space="preserve">9.2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3"/>
    <w:bookmarkStart w:id="94" w:name="procedure-for-obtaining-informed-consent"/>
    <w:p>
      <w:pPr>
        <w:pStyle w:val="Heading2"/>
      </w:pPr>
      <w:r>
        <w:t xml:space="preserve">9.3 Procedure for obtaining informed consent</w:t>
      </w:r>
    </w:p>
    <w:p>
      <w:pPr>
        <w:pStyle w:val="FirstParagraph"/>
      </w:pPr>
      <w:r>
        <w:t xml:space="preserve">We will apply for a waiver of informed consent for collection of data from medical records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 before final data analysis.</w:t>
      </w:r>
    </w:p>
    <w:p>
      <w:pPr>
        <w:pStyle w:val="BodyText"/>
      </w:pPr>
      <w:r>
        <w:t xml:space="preserve">Clinical research coordinators will obtain informed consent from patients or a patient representative for follow up through interveiews. The clinical research coordinators will approach patients or patient representatives for consent in person after admission. If a patient is transferred to another hospital before the patient has had an opportunity to consent, then the clinical research coordinators will contact the patient or patient representative by phone.</w:t>
      </w:r>
    </w:p>
    <w:bookmarkEnd w:id="94"/>
    <w:bookmarkStart w:id="96" w:name="data-protection"/>
    <w:p>
      <w:pPr>
        <w:pStyle w:val="Heading2"/>
      </w:pPr>
      <w:r>
        <w:t xml:space="preserve">9.4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95"/>
      </w:r>
      <w:r>
        <w:t xml:space="preserve">. 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w:t>
      </w:r>
      <w:r>
        <w:t xml:space="preserve"> </w:t>
      </w:r>
      <w:r>
        <w:t xml:space="preserve">history.</w:t>
      </w:r>
    </w:p>
    <w:bookmarkEnd w:id="96"/>
    <w:bookmarkEnd w:id="97"/>
    <w:bookmarkStart w:id="99" w:name="insurances"/>
    <w:p>
      <w:pPr>
        <w:pStyle w:val="Heading1"/>
      </w:pPr>
      <w:r>
        <w:t xml:space="preserve">10.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98"/>
      </w:r>
    </w:p>
    <w:bookmarkEnd w:id="99"/>
    <w:bookmarkStart w:id="100" w:name="substantial-changes-to-the-trial"/>
    <w:p>
      <w:pPr>
        <w:pStyle w:val="Heading1"/>
      </w:pPr>
      <w:r>
        <w:t xml:space="preserve">11.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100"/>
    <w:bookmarkStart w:id="114" w:name="Xc17b41b20b820bca94d2a36ea19933b641b018a"/>
    <w:p>
      <w:pPr>
        <w:pStyle w:val="Heading1"/>
      </w:pPr>
      <w:r>
        <w:t xml:space="preserve">12. Collection, handling, and archiving of data</w:t>
      </w:r>
    </w:p>
    <w:p>
      <w:pPr>
        <w:pStyle w:val="FirstParagraph"/>
      </w:pPr>
      <w:r>
        <w:t xml:space="preserve">Clinical research coordinators will collect data using a paper based Case Record Form (CRF)</w:t>
      </w:r>
      <w:r>
        <w:rPr>
          <w:rStyle w:val="FootnoteReference"/>
        </w:rPr>
        <w:footnoteReference w:id="101"/>
      </w:r>
      <w:r>
        <w:t xml:space="preserve">,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02"/>
      </w:r>
      <w:r>
        <w:t xml:space="preserve">. Access is granted by the project PI or authorized delegates. Metadata will be publicly accessible via a persistent DOI, and anonymised data will be released upon project completion. The data management plan is published (https://doi.org/10.5281/zenodo.7748764).</w:t>
      </w:r>
    </w:p>
    <w:bookmarkStart w:id="105" w:name="source-data"/>
    <w:p>
      <w:pPr>
        <w:pStyle w:val="Heading2"/>
      </w:pPr>
      <w:r>
        <w:t xml:space="preserve">12.1 Source data</w:t>
      </w:r>
    </w:p>
    <w:p>
      <w:pPr>
        <w:pStyle w:val="FirstParagraph"/>
      </w:pPr>
      <w:r>
        <w:t xml:space="preserve">The source data for each variable is given in</w:t>
      </w:r>
      <w:r>
        <w:t xml:space="preserve"> </w:t>
      </w:r>
      <w:hyperlink w:anchor="sec-variables">
        <w:r>
          <w:rPr>
            <w:rStyle w:val="Hyperlink"/>
          </w:rPr>
          <w:t xml:space="preserve">Section 12.2</w:t>
        </w:r>
      </w:hyperlink>
      <w:r>
        <w:t xml:space="preserve">. Whenever medical records are the source data, this includes imaging and lab reports. Whenever an interview is given as the source, the CRF will constitute the source data, as this is where the responses to questions will be recorded.</w:t>
      </w:r>
    </w:p>
    <w:p>
      <w:pPr>
        <w:pStyle w:val="BodyText"/>
      </w:pPr>
      <w:r>
        <w:t xml:space="preserve">The local investigator must keep source documents for each patient participant in the trial. A document describing what has been classified as</w:t>
      </w:r>
      <w:r>
        <w:t xml:space="preserve"> </w:t>
      </w:r>
      <w:r>
        <w:t xml:space="preserve">source data in the trial (source data reference document) should be included in the Investigator Site File (ISF)</w:t>
      </w:r>
      <w:r>
        <w:rPr>
          <w:rStyle w:val="FootnoteReference"/>
        </w:rPr>
        <w:footnoteReference w:id="103"/>
      </w:r>
      <w:r>
        <w:t xml:space="preserve">. The investigator must ensure that all source documents are accessible for monitoring and other quality control activities.</w:t>
      </w:r>
    </w:p>
    <w:p>
      <w:pPr>
        <w:pStyle w:val="BodyText"/>
      </w:pPr>
      <w:r>
        <w:t xml:space="preserve">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pPr>
        <w:pStyle w:val="BodyText"/>
      </w:pPr>
      <w:r>
        <w:t xml:space="preserve">Access to trial-related documentation, such as patient participants’ medical</w:t>
      </w:r>
      <w:r>
        <w:t xml:space="preserve"> </w:t>
      </w:r>
      <w:r>
        <w:t xml:space="preserve">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04"/>
      </w:r>
    </w:p>
    <w:bookmarkEnd w:id="105"/>
    <w:bookmarkStart w:id="113" w:name="sec-variables"/>
    <w:p>
      <w:pPr>
        <w:pStyle w:val="Heading2"/>
      </w:pPr>
      <w:r>
        <w:t xml:space="preserve">12.2 Variables</w:t>
      </w:r>
    </w:p>
    <w:p>
      <w:pPr>
        <w:pStyle w:val="FirstParagraph"/>
      </w:pPr>
      <w:r>
        <w:rPr>
          <w:bCs/>
          <w:b/>
        </w:rPr>
        <w:t xml:space="preserve">If we want to be able to do a cost-effectiveness analysis, then we also need to collect data on who does what for how long, capture changes in expensive procedures and investigations, capture health care utilisation after discharge, in-formal care (who does the caring, when and for how long), and productivity losses. There may be instruments for this already, or we can adapt existing instruments. To capture potential equity aspects we also need socioeconomic information on the patients</w:t>
      </w:r>
    </w:p>
    <w:bookmarkStart w:id="106" w:name="baseline"/>
    <w:p>
      <w:pPr>
        <w:pStyle w:val="Heading3"/>
      </w:pPr>
      <w:r>
        <w:t xml:space="preserve">12.2.1 Baseline</w:t>
      </w:r>
    </w:p>
    <w:p>
      <w:pPr>
        <w:numPr>
          <w:ilvl w:val="0"/>
          <w:numId w:val="1009"/>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6"/>
    <w:bookmarkStart w:id="107" w:name="pre-hospital-data"/>
    <w:p>
      <w:pPr>
        <w:pStyle w:val="Heading3"/>
      </w:pPr>
      <w:r>
        <w:t xml:space="preserve">12.2.2 Pre-Hospital Data</w:t>
      </w:r>
    </w:p>
    <w:p>
      <w:pPr>
        <w:numPr>
          <w:ilvl w:val="0"/>
          <w:numId w:val="1010"/>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7"/>
    <w:bookmarkStart w:id="108" w:name="emergency-department-data"/>
    <w:p>
      <w:pPr>
        <w:pStyle w:val="Heading3"/>
      </w:pPr>
      <w:r>
        <w:t xml:space="preserve">12.2.3 Emergency Department Data</w:t>
      </w:r>
    </w:p>
    <w:p>
      <w:pPr>
        <w:numPr>
          <w:ilvl w:val="0"/>
          <w:numId w:val="1011"/>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8"/>
    <w:bookmarkStart w:id="109" w:name="hospital-data"/>
    <w:p>
      <w:pPr>
        <w:pStyle w:val="Heading3"/>
      </w:pPr>
      <w:r>
        <w:t xml:space="preserve">12.2.4 Hospital Data</w:t>
      </w:r>
    </w:p>
    <w:p>
      <w:pPr>
        <w:numPr>
          <w:ilvl w:val="0"/>
          <w:numId w:val="1012"/>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9"/>
    <w:bookmarkStart w:id="110" w:name="injury-data"/>
    <w:p>
      <w:pPr>
        <w:pStyle w:val="Heading3"/>
      </w:pPr>
      <w:r>
        <w:t xml:space="preserve">12.2.5 Injury Data</w:t>
      </w:r>
    </w:p>
    <w:p>
      <w:pPr>
        <w:numPr>
          <w:ilvl w:val="0"/>
          <w:numId w:val="1013"/>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10"/>
    <w:bookmarkStart w:id="111" w:name="outcomes-1"/>
    <w:p>
      <w:pPr>
        <w:pStyle w:val="Heading3"/>
      </w:pPr>
      <w:r>
        <w:t xml:space="preserve">12.2.6 Outcomes</w:t>
      </w:r>
    </w:p>
    <w:p>
      <w:pPr>
        <w:numPr>
          <w:ilvl w:val="0"/>
          <w:numId w:val="1014"/>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4"/>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11"/>
    <w:bookmarkStart w:id="112" w:name="safety-events"/>
    <w:p>
      <w:pPr>
        <w:pStyle w:val="Heading3"/>
      </w:pPr>
      <w:r>
        <w:t xml:space="preserve">12.2.7 Safety Events</w:t>
      </w:r>
    </w:p>
    <w:p>
      <w:pPr>
        <w:numPr>
          <w:ilvl w:val="0"/>
          <w:numId w:val="1015"/>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12"/>
    <w:bookmarkEnd w:id="113"/>
    <w:bookmarkEnd w:id="114"/>
    <w:bookmarkStart w:id="115" w:name="trial-organization"/>
    <w:p>
      <w:pPr>
        <w:pStyle w:val="Heading1"/>
      </w:pPr>
      <w:r>
        <w:t xml:space="preserve">13. Trial Organization</w:t>
      </w:r>
    </w:p>
    <w:p>
      <w:pPr>
        <w:pStyle w:val="FirstParagraph"/>
      </w:pPr>
      <w:r>
        <w:rPr>
          <w:bCs/>
          <w:b/>
        </w:rPr>
        <w:t xml:space="preserve">More information will be added here</w:t>
      </w:r>
    </w:p>
    <w:bookmarkEnd w:id="115"/>
    <w:bookmarkStart w:id="116" w:name="funding"/>
    <w:p>
      <w:pPr>
        <w:pStyle w:val="Heading1"/>
      </w:pPr>
      <w:r>
        <w:t xml:space="preserve">14. Funding</w:t>
      </w:r>
    </w:p>
    <w:p>
      <w:pPr>
        <w:numPr>
          <w:ilvl w:val="0"/>
          <w:numId w:val="1016"/>
        </w:numPr>
        <w:pStyle w:val="Compact"/>
      </w:pPr>
      <w:r>
        <w:t xml:space="preserve">Swedish Research Council (reg. no. 2023-03128)</w:t>
      </w:r>
    </w:p>
    <w:bookmarkEnd w:id="116"/>
    <w:bookmarkStart w:id="117" w:name="Xa02c8ea30126bed8a88472fd16e8658d6d979bd"/>
    <w:p>
      <w:pPr>
        <w:pStyle w:val="Heading1"/>
      </w:pPr>
      <w:r>
        <w:t xml:space="preserve">15. Notification of trial completion, reporting, and publication</w:t>
      </w:r>
    </w:p>
    <w:p>
      <w:pPr>
        <w:pStyle w:val="FirstParagraph"/>
      </w:pPr>
      <w:r>
        <w:rPr>
          <w:bCs/>
          <w:b/>
        </w:rPr>
        <w:t xml:space="preserve">More information will be added here</w:t>
      </w:r>
    </w:p>
    <w:bookmarkEnd w:id="117"/>
    <w:bookmarkStart w:id="189" w:name="references"/>
    <w:p>
      <w:pPr>
        <w:pStyle w:val="Heading1"/>
      </w:pPr>
      <w:r>
        <w:t xml:space="preserve">16. References</w:t>
      </w:r>
    </w:p>
    <w:bookmarkStart w:id="188" w:name="refs"/>
    <w:bookmarkStart w:id="119" w:name="ref-injuries2020"/>
    <w:p>
      <w:pPr>
        <w:pStyle w:val="Bibliography"/>
      </w:pPr>
      <w:r>
        <w:t xml:space="preserve">1.</w:t>
      </w:r>
      <w:r>
        <w:t xml:space="preserve"> </w:t>
      </w:r>
      <w:r>
        <w:t xml:space="preserve">	</w:t>
      </w:r>
      <w:r>
        <w:t xml:space="preserve">GBD 2019 Diseases and Injuries Collaborators.</w:t>
      </w:r>
      <w:r>
        <w:t xml:space="preserve"> </w:t>
      </w:r>
      <w:hyperlink r:id="rId118">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19"/>
    <w:bookmarkStart w:id="121" w:name="ref-GBD2020"/>
    <w:p>
      <w:pPr>
        <w:pStyle w:val="Bibliography"/>
      </w:pPr>
      <w:r>
        <w:t xml:space="preserve">2.</w:t>
      </w:r>
      <w:r>
        <w:t xml:space="preserve"> </w:t>
      </w:r>
      <w:r>
        <w:t xml:space="preserve">	</w:t>
      </w:r>
      <w:r>
        <w:t xml:space="preserve">GBD 2019 Diseases and Injuries Collaborators.</w:t>
      </w:r>
      <w:r>
        <w:t xml:space="preserve"> </w:t>
      </w:r>
      <w:hyperlink r:id="rId120">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121"/>
    <w:bookmarkStart w:id="123" w:name="ref-Rauf2019"/>
    <w:p>
      <w:pPr>
        <w:pStyle w:val="Bibliography"/>
      </w:pPr>
      <w:r>
        <w:t xml:space="preserve">3.</w:t>
      </w:r>
      <w:r>
        <w:t xml:space="preserve"> </w:t>
      </w:r>
      <w:r>
        <w:t xml:space="preserve">	</w:t>
      </w:r>
      <w:r>
        <w:t xml:space="preserve">Rauf, R.</w:t>
      </w:r>
      <w:r>
        <w:t xml:space="preserve"> </w:t>
      </w:r>
      <w:r>
        <w:rPr>
          <w:iCs/>
          <w:i/>
        </w:rPr>
        <w:t xml:space="preserve">et al.</w:t>
      </w:r>
      <w:r>
        <w:t xml:space="preserve"> </w:t>
      </w:r>
      <w:hyperlink r:id="rId122">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23"/>
    <w:bookmarkStart w:id="125" w:name="ref-Roy2017"/>
    <w:p>
      <w:pPr>
        <w:pStyle w:val="Bibliography"/>
      </w:pPr>
      <w:r>
        <w:t xml:space="preserve">4.</w:t>
      </w:r>
      <w:r>
        <w:t xml:space="preserve"> </w:t>
      </w:r>
      <w:r>
        <w:t xml:space="preserve">	</w:t>
      </w:r>
      <w:r>
        <w:t xml:space="preserve">Roy, N.</w:t>
      </w:r>
      <w:r>
        <w:t xml:space="preserve"> </w:t>
      </w:r>
      <w:r>
        <w:rPr>
          <w:iCs/>
          <w:i/>
        </w:rPr>
        <w:t xml:space="preserve">et al.</w:t>
      </w:r>
      <w:r>
        <w:t xml:space="preserve"> </w:t>
      </w:r>
      <w:hyperlink r:id="rId124">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25"/>
    <w:bookmarkStart w:id="127" w:name="ref-Callcut2019"/>
    <w:p>
      <w:pPr>
        <w:pStyle w:val="Bibliography"/>
      </w:pPr>
      <w:r>
        <w:t xml:space="preserve">5.</w:t>
      </w:r>
      <w:r>
        <w:t xml:space="preserve"> </w:t>
      </w:r>
      <w:r>
        <w:t xml:space="preserve">	</w:t>
      </w:r>
      <w:r>
        <w:t xml:space="preserve">Callcut, R. A.</w:t>
      </w:r>
      <w:r>
        <w:t xml:space="preserve"> </w:t>
      </w:r>
      <w:r>
        <w:rPr>
          <w:iCs/>
          <w:i/>
        </w:rPr>
        <w:t xml:space="preserve">et al.</w:t>
      </w:r>
      <w:r>
        <w:t xml:space="preserve"> </w:t>
      </w:r>
      <w:hyperlink r:id="rId126">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27"/>
    <w:bookmarkStart w:id="129" w:name="ref-Ghorbani2018"/>
    <w:p>
      <w:pPr>
        <w:pStyle w:val="Bibliography"/>
      </w:pPr>
      <w:r>
        <w:t xml:space="preserve">6.</w:t>
      </w:r>
      <w:r>
        <w:t xml:space="preserve"> </w:t>
      </w:r>
      <w:r>
        <w:t xml:space="preserve">	</w:t>
      </w:r>
      <w:r>
        <w:t xml:space="preserve">Ghorbani, P.</w:t>
      </w:r>
      <w:r>
        <w:t xml:space="preserve"> </w:t>
      </w:r>
      <w:r>
        <w:rPr>
          <w:iCs/>
          <w:i/>
        </w:rPr>
        <w:t xml:space="preserve">et al.</w:t>
      </w:r>
      <w:r>
        <w:t xml:space="preserve"> </w:t>
      </w:r>
      <w:hyperlink r:id="rId128">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29"/>
    <w:bookmarkStart w:id="131" w:name="ref-Mohammad2013"/>
    <w:p>
      <w:pPr>
        <w:pStyle w:val="Bibliography"/>
      </w:pPr>
      <w:r>
        <w:t xml:space="preserve">7.</w:t>
      </w:r>
      <w:r>
        <w:t xml:space="preserve"> </w:t>
      </w:r>
      <w:r>
        <w:t xml:space="preserve">	</w:t>
      </w:r>
      <w:r>
        <w:t xml:space="preserve">Mohammad, A.</w:t>
      </w:r>
      <w:r>
        <w:t xml:space="preserve"> </w:t>
      </w:r>
      <w:r>
        <w:rPr>
          <w:iCs/>
          <w:i/>
        </w:rPr>
        <w:t xml:space="preserve">et al.</w:t>
      </w:r>
      <w:r>
        <w:t xml:space="preserve"> </w:t>
      </w:r>
      <w:hyperlink r:id="rId130">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131"/>
    <w:bookmarkStart w:id="133" w:name="ref-Jayaraman2014"/>
    <w:p>
      <w:pPr>
        <w:pStyle w:val="Bibliography"/>
      </w:pPr>
      <w:r>
        <w:t xml:space="preserve">8.</w:t>
      </w:r>
      <w:r>
        <w:t xml:space="preserve"> </w:t>
      </w:r>
      <w:r>
        <w:t xml:space="preserve">	</w:t>
      </w:r>
      <w:r>
        <w:t xml:space="preserve">Jayaraman, S.</w:t>
      </w:r>
      <w:r>
        <w:t xml:space="preserve"> </w:t>
      </w:r>
      <w:r>
        <w:rPr>
          <w:iCs/>
          <w:i/>
        </w:rPr>
        <w:t xml:space="preserve">et al.</w:t>
      </w:r>
      <w:r>
        <w:t xml:space="preserve"> </w:t>
      </w:r>
      <w:hyperlink r:id="rId132">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33"/>
    <w:bookmarkStart w:id="135" w:name="ref-Kadhum2020"/>
    <w:p>
      <w:pPr>
        <w:pStyle w:val="Bibliography"/>
      </w:pPr>
      <w:r>
        <w:t xml:space="preserve">9.</w:t>
      </w:r>
      <w:r>
        <w:t xml:space="preserve"> </w:t>
      </w:r>
      <w:r>
        <w:t xml:space="preserve">	</w:t>
      </w:r>
      <w:r>
        <w:t xml:space="preserve">Kadhum, M.</w:t>
      </w:r>
      <w:r>
        <w:t xml:space="preserve"> </w:t>
      </w:r>
      <w:r>
        <w:rPr>
          <w:iCs/>
          <w:i/>
        </w:rPr>
        <w:t xml:space="preserve">et al.</w:t>
      </w:r>
      <w:r>
        <w:t xml:space="preserve"> </w:t>
      </w:r>
      <w:hyperlink r:id="rId134">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5"/>
    <w:bookmarkStart w:id="137" w:name="ref-Jin2021"/>
    <w:p>
      <w:pPr>
        <w:pStyle w:val="Bibliography"/>
      </w:pPr>
      <w:r>
        <w:t xml:space="preserve">10.</w:t>
      </w:r>
      <w:r>
        <w:t xml:space="preserve"> </w:t>
      </w:r>
      <w:r>
        <w:t xml:space="preserve">	</w:t>
      </w:r>
      <w:r>
        <w:t xml:space="preserve">Jin, J.</w:t>
      </w:r>
      <w:r>
        <w:t xml:space="preserve"> </w:t>
      </w:r>
      <w:r>
        <w:rPr>
          <w:iCs/>
          <w:i/>
        </w:rPr>
        <w:t xml:space="preserve">et al.</w:t>
      </w:r>
      <w:r>
        <w:t xml:space="preserve"> </w:t>
      </w:r>
      <w:hyperlink r:id="rId136">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37"/>
    <w:bookmarkStart w:id="138" w:name="ref-acsAtls2018"/>
    <w:p>
      <w:pPr>
        <w:pStyle w:val="Bibliography"/>
      </w:pPr>
      <w:r>
        <w:t xml:space="preserve">11.</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38"/>
    <w:bookmarkStart w:id="139"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9"/>
    <w:bookmarkStart w:id="140"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118">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40"/>
    <w:bookmarkStart w:id="142"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41">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42"/>
    <w:bookmarkStart w:id="144"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43">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44"/>
    <w:bookmarkStart w:id="146"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45">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46"/>
    <w:bookmarkStart w:id="147"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7"/>
    <w:bookmarkStart w:id="149"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48">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49"/>
    <w:bookmarkStart w:id="151"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50">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51"/>
    <w:bookmarkStart w:id="153"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52">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53"/>
    <w:bookmarkStart w:id="155"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54">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55"/>
    <w:bookmarkStart w:id="157"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56">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57"/>
    <w:bookmarkStart w:id="159"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58">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59"/>
    <w:bookmarkStart w:id="161"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60">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61"/>
    <w:bookmarkStart w:id="163" w:name="ref-Bellanova2016"/>
    <w:p>
      <w:pPr>
        <w:pStyle w:val="Bibliography"/>
      </w:pPr>
      <w:r>
        <w:t xml:space="preserve">25.</w:t>
      </w:r>
      <w:r>
        <w:t xml:space="preserve"> </w:t>
      </w:r>
      <w:r>
        <w:t xml:space="preserve">	</w:t>
      </w:r>
      <w:r>
        <w:t xml:space="preserve">Giovanni Bellanova, R. B., Francesco Buccelletti.</w:t>
      </w:r>
      <w:r>
        <w:t xml:space="preserve"> </w:t>
      </w:r>
      <w:hyperlink r:id="rId162">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63"/>
    <w:bookmarkStart w:id="165"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64">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65"/>
    <w:bookmarkStart w:id="167"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66">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67"/>
    <w:bookmarkStart w:id="169"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68">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69"/>
    <w:bookmarkStart w:id="171"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70">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71"/>
    <w:bookmarkStart w:id="173" w:name="ref-STEPCARE2023"/>
    <w:p>
      <w:pPr>
        <w:pStyle w:val="Bibliography"/>
      </w:pPr>
      <w:r>
        <w:t xml:space="preserve">30.</w:t>
      </w:r>
      <w:r>
        <w:t xml:space="preserve"> </w:t>
      </w:r>
      <w:r>
        <w:t xml:space="preserve">	</w:t>
      </w:r>
      <w:r>
        <w:t xml:space="preserve">Nielsen, Niklas.</w:t>
      </w:r>
      <w:r>
        <w:t xml:space="preserve"> </w:t>
      </w:r>
      <w:hyperlink r:id="rId172">
        <w:r>
          <w:rPr>
            <w:rStyle w:val="Hyperlink"/>
          </w:rPr>
          <w:t xml:space="preserve">Sedation,</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Pressure</w:t>
        </w:r>
        <w:r>
          <w:rPr>
            <w:rStyle w:val="Hyperlink"/>
          </w:rPr>
          <w:t xml:space="preserve"> </w:t>
        </w:r>
        <w:r>
          <w:rPr>
            <w:rStyle w:val="Hyperlink"/>
          </w:rPr>
          <w:t xml:space="preserve">after</w:t>
        </w:r>
        <w:r>
          <w:rPr>
            <w:rStyle w:val="Hyperlink"/>
          </w:rPr>
          <w:t xml:space="preserve"> </w:t>
        </w:r>
        <w:r>
          <w:rPr>
            <w:rStyle w:val="Hyperlink"/>
          </w:rPr>
          <w:t xml:space="preserve">Cardiac</w:t>
        </w:r>
        <w:r>
          <w:rPr>
            <w:rStyle w:val="Hyperlink"/>
          </w:rPr>
          <w:t xml:space="preserve"> </w:t>
        </w:r>
        <w:r>
          <w:rPr>
            <w:rStyle w:val="Hyperlink"/>
          </w:rPr>
          <w:t xml:space="preserve">Arrest</w:t>
        </w:r>
        <w:r>
          <w:rPr>
            <w:rStyle w:val="Hyperlink"/>
          </w:rPr>
          <w:t xml:space="preserve"> </w:t>
        </w:r>
        <w:r>
          <w:rPr>
            <w:rStyle w:val="Hyperlink"/>
          </w:rPr>
          <w:t xml:space="preserve">and</w:t>
        </w:r>
        <w:r>
          <w:rPr>
            <w:rStyle w:val="Hyperlink"/>
          </w:rPr>
          <w:t xml:space="preserve"> </w:t>
        </w:r>
        <w:r>
          <w:rPr>
            <w:rStyle w:val="Hyperlink"/>
          </w:rPr>
          <w:t xml:space="preserve">Resuscitation</w:t>
        </w:r>
        <w:r>
          <w:rPr>
            <w:rStyle w:val="Hyperlink"/>
          </w:rPr>
          <w:t xml:space="preserve"> </w:t>
        </w:r>
        <w:r>
          <w:rPr>
            <w:rStyle w:val="Hyperlink"/>
          </w:rPr>
          <w:t xml:space="preserve">– the</w:t>
        </w:r>
        <w:r>
          <w:rPr>
            <w:rStyle w:val="Hyperlink"/>
          </w:rPr>
          <w:t xml:space="preserve"> </w:t>
        </w:r>
        <w:r>
          <w:rPr>
            <w:rStyle w:val="Hyperlink"/>
          </w:rPr>
          <w:t xml:space="preserve">STEPCARE</w:t>
        </w:r>
        <w:r>
          <w:rPr>
            <w:rStyle w:val="Hyperlink"/>
          </w:rPr>
          <w:t xml:space="preserve"> </w:t>
        </w:r>
        <w:r>
          <w:rPr>
            <w:rStyle w:val="Hyperlink"/>
          </w:rPr>
          <w:t xml:space="preserve">trial</w:t>
        </w:r>
      </w:hyperlink>
      <w:r>
        <w:t xml:space="preserve">. (2023).</w:t>
      </w:r>
    </w:p>
    <w:bookmarkEnd w:id="173"/>
    <w:bookmarkStart w:id="175" w:name="ref-Diaz2021"/>
    <w:p>
      <w:pPr>
        <w:pStyle w:val="Bibliography"/>
      </w:pPr>
      <w:r>
        <w:t xml:space="preserve">31.</w:t>
      </w:r>
      <w:r>
        <w:t xml:space="preserve"> </w:t>
      </w:r>
      <w:r>
        <w:t xml:space="preserve">	</w:t>
      </w:r>
      <w:r>
        <w:t xml:space="preserve">Diaz, T.</w:t>
      </w:r>
      <w:r>
        <w:t xml:space="preserve"> </w:t>
      </w:r>
      <w:r>
        <w:rPr>
          <w:iCs/>
          <w:i/>
        </w:rPr>
        <w:t xml:space="preserve">et al.</w:t>
      </w:r>
      <w:r>
        <w:t xml:space="preserve"> </w:t>
      </w:r>
      <w:hyperlink r:id="rId174">
        <w:r>
          <w:rPr>
            <w:rStyle w:val="Hyperlink"/>
          </w:rPr>
          <w:t xml:space="preserve">A call for standardised age-disaggregated health data</w:t>
        </w:r>
      </w:hyperlink>
      <w:r>
        <w:t xml:space="preserve">.</w:t>
      </w:r>
      <w:r>
        <w:t xml:space="preserve"> </w:t>
      </w:r>
      <w:r>
        <w:rPr>
          <w:iCs/>
          <w:i/>
        </w:rPr>
        <w:t xml:space="preserve">The Lancet Healthy Longevity</w:t>
      </w:r>
      <w:r>
        <w:t xml:space="preserve"> </w:t>
      </w:r>
      <w:r>
        <w:rPr>
          <w:bCs/>
          <w:b/>
        </w:rPr>
        <w:t xml:space="preserve">2</w:t>
      </w:r>
      <w:r>
        <w:t xml:space="preserve">, e436–e443 (2021).</w:t>
      </w:r>
    </w:p>
    <w:bookmarkEnd w:id="175"/>
    <w:bookmarkStart w:id="177" w:name="ref-Li2020"/>
    <w:p>
      <w:pPr>
        <w:pStyle w:val="Bibliography"/>
      </w:pPr>
      <w:r>
        <w:t xml:space="preserve">32.</w:t>
      </w:r>
      <w:r>
        <w:t xml:space="preserve"> </w:t>
      </w:r>
      <w:r>
        <w:t xml:space="preserve">	</w:t>
      </w:r>
      <w:r>
        <w:t xml:space="preserve">Li, F.</w:t>
      </w:r>
      <w:r>
        <w:t xml:space="preserve"> </w:t>
      </w:r>
      <w:r>
        <w:rPr>
          <w:iCs/>
          <w:i/>
        </w:rPr>
        <w:t xml:space="preserve">et al.</w:t>
      </w:r>
      <w:r>
        <w:t xml:space="preserve"> </w:t>
      </w:r>
      <w:hyperlink r:id="rId176">
        <w:r>
          <w:rPr>
            <w:rStyle w:val="Hyperlink"/>
          </w:rPr>
          <w:t xml:space="preserve">Mixed-effects models for the design and analysis of stepped wedge cluster randomized trials: An overview</w:t>
        </w:r>
      </w:hyperlink>
      <w:r>
        <w:t xml:space="preserve">.</w:t>
      </w:r>
      <w:r>
        <w:t xml:space="preserve"> </w:t>
      </w:r>
      <w:r>
        <w:rPr>
          <w:iCs/>
          <w:i/>
        </w:rPr>
        <w:t xml:space="preserve">Stat Methods Med Res</w:t>
      </w:r>
      <w:r>
        <w:t xml:space="preserve"> </w:t>
      </w:r>
      <w:r>
        <w:rPr>
          <w:bCs/>
          <w:b/>
        </w:rPr>
        <w:t xml:space="preserve">30</w:t>
      </w:r>
      <w:r>
        <w:t xml:space="preserve">, 612–639 (2020).</w:t>
      </w:r>
    </w:p>
    <w:bookmarkEnd w:id="177"/>
    <w:bookmarkStart w:id="179" w:name="ref-Campbell2005"/>
    <w:p>
      <w:pPr>
        <w:pStyle w:val="Bibliography"/>
      </w:pPr>
      <w:r>
        <w:t xml:space="preserve">33.</w:t>
      </w:r>
      <w:r>
        <w:t xml:space="preserve"> </w:t>
      </w:r>
      <w:r>
        <w:t xml:space="preserve">	</w:t>
      </w:r>
      <w:r>
        <w:t xml:space="preserve">Campbell, M. K.</w:t>
      </w:r>
      <w:r>
        <w:t xml:space="preserve"> </w:t>
      </w:r>
      <w:r>
        <w:rPr>
          <w:iCs/>
          <w:i/>
        </w:rPr>
        <w:t xml:space="preserve">et al.</w:t>
      </w:r>
      <w:r>
        <w:t xml:space="preserve"> </w:t>
      </w:r>
      <w:hyperlink r:id="rId178">
        <w:r>
          <w:rPr>
            <w:rStyle w:val="Hyperlink"/>
          </w:rPr>
          <w:t xml:space="preserve">Determinants of the intracluster correlation coefficient in cluster randomized trials: The case of implementation research</w:t>
        </w:r>
      </w:hyperlink>
      <w:r>
        <w:t xml:space="preserve">.</w:t>
      </w:r>
      <w:r>
        <w:t xml:space="preserve"> </w:t>
      </w:r>
      <w:r>
        <w:rPr>
          <w:iCs/>
          <w:i/>
        </w:rPr>
        <w:t xml:space="preserve">Clinical Trials</w:t>
      </w:r>
      <w:r>
        <w:t xml:space="preserve"> </w:t>
      </w:r>
      <w:r>
        <w:rPr>
          <w:bCs/>
          <w:b/>
        </w:rPr>
        <w:t xml:space="preserve">2</w:t>
      </w:r>
      <w:r>
        <w:t xml:space="preserve">, 99–107 (2005).</w:t>
      </w:r>
    </w:p>
    <w:bookmarkEnd w:id="179"/>
    <w:bookmarkStart w:id="181" w:name="ref-Eldridge2015"/>
    <w:p>
      <w:pPr>
        <w:pStyle w:val="Bibliography"/>
      </w:pPr>
      <w:r>
        <w:t xml:space="preserve">34.</w:t>
      </w:r>
      <w:r>
        <w:t xml:space="preserve"> </w:t>
      </w:r>
      <w:r>
        <w:t xml:space="preserve">	</w:t>
      </w:r>
      <w:r>
        <w:t xml:space="preserve">Eldridge, S. M.</w:t>
      </w:r>
      <w:r>
        <w:t xml:space="preserve"> </w:t>
      </w:r>
      <w:r>
        <w:rPr>
          <w:iCs/>
          <w:i/>
        </w:rPr>
        <w:t xml:space="preserve">et al.</w:t>
      </w:r>
      <w:r>
        <w:t xml:space="preserve"> </w:t>
      </w:r>
      <w:hyperlink r:id="rId180">
        <w:r>
          <w:rPr>
            <w:rStyle w:val="Hyperlink"/>
          </w:rPr>
          <w:t xml:space="preserve">How big should the pilot study for my cluster randomised trial be?</w:t>
        </w:r>
      </w:hyperlink>
      <w:r>
        <w:t xml:space="preserve"> </w:t>
      </w:r>
      <w:r>
        <w:rPr>
          <w:iCs/>
          <w:i/>
        </w:rPr>
        <w:t xml:space="preserve">Stat Methods Med Res</w:t>
      </w:r>
      <w:r>
        <w:t xml:space="preserve"> </w:t>
      </w:r>
      <w:r>
        <w:rPr>
          <w:bCs/>
          <w:b/>
        </w:rPr>
        <w:t xml:space="preserve">25</w:t>
      </w:r>
      <w:r>
        <w:t xml:space="preserve">, 1039–1056 (2015).</w:t>
      </w:r>
    </w:p>
    <w:bookmarkEnd w:id="181"/>
    <w:bookmarkStart w:id="183" w:name="ref-Hemming2020Feb"/>
    <w:p>
      <w:pPr>
        <w:pStyle w:val="Bibliography"/>
      </w:pPr>
      <w:r>
        <w:t xml:space="preserve">35.</w:t>
      </w:r>
      <w:r>
        <w:t xml:space="preserve"> </w:t>
      </w:r>
      <w:r>
        <w:t xml:space="preserve">	</w:t>
      </w:r>
      <w:r>
        <w:t xml:space="preserve">Hemming, K.</w:t>
      </w:r>
      <w:r>
        <w:t xml:space="preserve"> </w:t>
      </w:r>
      <w:r>
        <w:rPr>
          <w:iCs/>
          <w:i/>
        </w:rPr>
        <w:t xml:space="preserve">et al.</w:t>
      </w:r>
      <w:r>
        <w:t xml:space="preserve"> </w:t>
      </w:r>
      <w:hyperlink r:id="rId182">
        <w:r>
          <w:rPr>
            <w:rStyle w:val="Hyperlink"/>
          </w:rPr>
          <w:t xml:space="preserve">A tutorial on sample size calculation for multiple-period cluster randomized parallel, cross-over and stepped-wedge trials using the shiny CRT calculator</w:t>
        </w:r>
      </w:hyperlink>
      <w:r>
        <w:t xml:space="preserve">.</w:t>
      </w:r>
      <w:r>
        <w:t xml:space="preserve"> </w:t>
      </w:r>
      <w:r>
        <w:rPr>
          <w:iCs/>
          <w:i/>
        </w:rPr>
        <w:t xml:space="preserve">Int J Epidemiol</w:t>
      </w:r>
      <w:r>
        <w:t xml:space="preserve"> </w:t>
      </w:r>
      <w:r>
        <w:rPr>
          <w:bCs/>
          <w:b/>
        </w:rPr>
        <w:t xml:space="preserve">49</w:t>
      </w:r>
      <w:r>
        <w:t xml:space="preserve">, 979–995 (2020).</w:t>
      </w:r>
    </w:p>
    <w:bookmarkEnd w:id="183"/>
    <w:bookmarkStart w:id="185" w:name="ref-Martin2016"/>
    <w:p>
      <w:pPr>
        <w:pStyle w:val="Bibliography"/>
      </w:pPr>
      <w:r>
        <w:t xml:space="preserve">36.</w:t>
      </w:r>
      <w:r>
        <w:t xml:space="preserve"> </w:t>
      </w:r>
      <w:r>
        <w:t xml:space="preserve">	</w:t>
      </w:r>
      <w:r>
        <w:t xml:space="preserve">Martin, J.</w:t>
      </w:r>
      <w:r>
        <w:t xml:space="preserve"> </w:t>
      </w:r>
      <w:r>
        <w:rPr>
          <w:iCs/>
          <w:i/>
        </w:rPr>
        <w:t xml:space="preserve">et al.</w:t>
      </w:r>
      <w:r>
        <w:t xml:space="preserve"> </w:t>
      </w:r>
      <w:hyperlink r:id="rId184">
        <w:r>
          <w:rPr>
            <w:rStyle w:val="Hyperlink"/>
          </w:rPr>
          <w:t xml:space="preserve">Intra-cluster and inter-period correlation coefficients for cross-sectional cluster randomised controlled trials for type-2 diabetes in UK primary care</w:t>
        </w:r>
      </w:hyperlink>
      <w:r>
        <w:t xml:space="preserve">.</w:t>
      </w:r>
      <w:r>
        <w:t xml:space="preserve"> </w:t>
      </w:r>
      <w:r>
        <w:rPr>
          <w:iCs/>
          <w:i/>
        </w:rPr>
        <w:t xml:space="preserve">Trials</w:t>
      </w:r>
      <w:r>
        <w:t xml:space="preserve"> </w:t>
      </w:r>
      <w:r>
        <w:rPr>
          <w:bCs/>
          <w:b/>
        </w:rPr>
        <w:t xml:space="preserve">17</w:t>
      </w:r>
      <w:r>
        <w:t xml:space="preserve">, (2016).</w:t>
      </w:r>
    </w:p>
    <w:bookmarkEnd w:id="185"/>
    <w:bookmarkStart w:id="187" w:name="ref-Korevaar2021"/>
    <w:p>
      <w:pPr>
        <w:pStyle w:val="Bibliography"/>
      </w:pPr>
      <w:r>
        <w:t xml:space="preserve">37.</w:t>
      </w:r>
      <w:r>
        <w:t xml:space="preserve"> </w:t>
      </w:r>
      <w:r>
        <w:t xml:space="preserve">	</w:t>
      </w:r>
      <w:r>
        <w:t xml:space="preserve">Korevaar, E.</w:t>
      </w:r>
      <w:r>
        <w:t xml:space="preserve"> </w:t>
      </w:r>
      <w:r>
        <w:rPr>
          <w:iCs/>
          <w:i/>
        </w:rPr>
        <w:t xml:space="preserve">et al.</w:t>
      </w:r>
      <w:r>
        <w:t xml:space="preserve"> </w:t>
      </w:r>
      <w:hyperlink r:id="rId186">
        <w:r>
          <w:rPr>
            <w:rStyle w:val="Hyperlink"/>
          </w:rPr>
          <w:t xml:space="preserve">Intra-cluster correlations from the CLustered OUtcome dataset bank to inform the design of longitudinal cluster trials</w:t>
        </w:r>
      </w:hyperlink>
      <w:r>
        <w:t xml:space="preserve">.</w:t>
      </w:r>
      <w:r>
        <w:t xml:space="preserve"> </w:t>
      </w:r>
      <w:r>
        <w:rPr>
          <w:iCs/>
          <w:i/>
        </w:rPr>
        <w:t xml:space="preserve">Clinical Trials</w:t>
      </w:r>
      <w:r>
        <w:t xml:space="preserve"> </w:t>
      </w:r>
      <w:r>
        <w:rPr>
          <w:bCs/>
          <w:b/>
        </w:rPr>
        <w:t xml:space="preserve">18</w:t>
      </w:r>
      <w:r>
        <w:t xml:space="preserve">, 529–540 (2021).</w:t>
      </w:r>
    </w:p>
    <w:bookmarkEnd w:id="187"/>
    <w:bookmarkEnd w:id="188"/>
    <w:bookmarkEnd w:id="189"/>
    <w:bookmarkStart w:id="203" w:name="appendices"/>
    <w:p>
      <w:pPr>
        <w:pStyle w:val="Heading1"/>
      </w:pPr>
      <w:r>
        <w:t xml:space="preserve">17. Appendices</w:t>
      </w:r>
    </w:p>
    <w:bookmarkStart w:id="202" w:name="X3fa50696d6e2531d34d9a3ff77dc0a2ba8099c2"/>
    <w:p>
      <w:pPr>
        <w:pStyle w:val="Heading2"/>
      </w:pPr>
      <w:r>
        <w:t xml:space="preserve">17.1 Cluster screening instrument</w:t>
      </w:r>
    </w:p>
    <w:p>
      <w:pPr>
        <w:pStyle w:val="FirstParagraph"/>
      </w:pPr>
      <w:r>
        <w:drawing>
          <wp:inline>
            <wp:extent cx="5334000" cy="7539317"/>
            <wp:effectExtent b="0" l="0" r="0" t="0"/>
            <wp:docPr descr="" title="" id="191" name="Picture"/>
            <a:graphic>
              <a:graphicData uri="http://schemas.openxmlformats.org/drawingml/2006/picture">
                <pic:pic>
                  <pic:nvPicPr>
                    <pic:cNvPr descr="./appendices/cluster-screening-instrument/cluster-screening-instrument-1.pdf" id="192" name="Picture"/>
                    <pic:cNvPicPr>
                      <a:picLocks noChangeArrowheads="1" noChangeAspect="1"/>
                    </pic:cNvPicPr>
                  </pic:nvPicPr>
                  <pic:blipFill>
                    <a:blip r:embed="rId19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4" name="Picture"/>
            <a:graphic>
              <a:graphicData uri="http://schemas.openxmlformats.org/drawingml/2006/picture">
                <pic:pic>
                  <pic:nvPicPr>
                    <pic:cNvPr descr="./appendices/cluster-screening-instrument/cluster-screening-instrument-2.pdf" id="195" name="Picture"/>
                    <pic:cNvPicPr>
                      <a:picLocks noChangeArrowheads="1" noChangeAspect="1"/>
                    </pic:cNvPicPr>
                  </pic:nvPicPr>
                  <pic:blipFill>
                    <a:blip r:embed="rId19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7" name="Picture"/>
            <a:graphic>
              <a:graphicData uri="http://schemas.openxmlformats.org/drawingml/2006/picture">
                <pic:pic>
                  <pic:nvPicPr>
                    <pic:cNvPr descr="./appendices/cluster-screening-instrument/cluster-screening-instrument-3.pdf" id="198" name="Picture"/>
                    <pic:cNvPicPr>
                      <a:picLocks noChangeArrowheads="1" noChangeAspect="1"/>
                    </pic:cNvPicPr>
                  </pic:nvPicPr>
                  <pic:blipFill>
                    <a:blip r:embed="rId196"/>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0" name="Picture"/>
            <a:graphic>
              <a:graphicData uri="http://schemas.openxmlformats.org/drawingml/2006/picture">
                <pic:pic>
                  <pic:nvPicPr>
                    <pic:cNvPr descr="./appendices/cluster-screening-instrument/cluster-screening-instrument-4.pdf" id="201" name="Picture"/>
                    <pic:cNvPicPr>
                      <a:picLocks noChangeArrowheads="1" noChangeAspect="1"/>
                    </pic:cNvPicPr>
                  </pic:nvPicPr>
                  <pic:blipFill>
                    <a:blip r:embed="rId199"/>
                    <a:stretch>
                      <a:fillRect/>
                    </a:stretch>
                  </pic:blipFill>
                  <pic:spPr bwMode="auto">
                    <a:xfrm>
                      <a:off x="0" y="0"/>
                      <a:ext cx="5334000" cy="7539317"/>
                    </a:xfrm>
                    <a:prstGeom prst="rect">
                      <a:avLst/>
                    </a:prstGeom>
                    <a:noFill/>
                    <a:ln w="9525">
                      <a:noFill/>
                      <a:headEnd/>
                      <a:tailEnd/>
                    </a:ln>
                  </pic:spPr>
                </pic:pic>
              </a:graphicData>
            </a:graphic>
          </wp:inline>
        </w:drawing>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38">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55">
    <w:p>
      <w:pPr>
        <w:pStyle w:val="FootnoteText"/>
      </w:pPr>
      <w:r>
        <w:rPr>
          <w:rStyle w:val="FootnoteReference"/>
        </w:rPr>
        <w:footnoteRef/>
      </w:r>
      <w:r>
        <w:t xml:space="preserve"> </w:t>
      </w:r>
      <w:r>
        <w:t xml:space="preserve">Randomization will be done using bespoke code from previous trials.</w:t>
      </w:r>
    </w:p>
  </w:footnote>
  <w:footnote w:id="69">
    <w:p>
      <w:pPr>
        <w:pStyle w:val="FootnoteText"/>
      </w:pPr>
      <w:r>
        <w:rPr>
          <w:rStyle w:val="FootnoteReference"/>
        </w:rPr>
        <w:footnoteRef/>
      </w:r>
      <w:r>
        <w:t xml:space="preserve"> </w:t>
      </w:r>
      <w:r>
        <w:rPr>
          <w:bCs/>
          <w:b/>
        </w:rPr>
        <w:t xml:space="preserve">TODO</w:t>
      </w:r>
      <w:r>
        <w:t xml:space="preserve"> </w:t>
      </w:r>
      <w:r>
        <w:t xml:space="preserve">Identify four members of the independent Data Safety Monitoring committee.</w:t>
      </w:r>
    </w:p>
  </w:footnote>
  <w:footnote w:id="71">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 w:id="83">
    <w:p>
      <w:pPr>
        <w:pStyle w:val="FootnoteText"/>
      </w:pPr>
      <w:r>
        <w:rPr>
          <w:rStyle w:val="FootnoteReference"/>
        </w:rPr>
        <w:footnoteRef/>
      </w:r>
      <w:r>
        <w:t xml:space="preserve"> </w:t>
      </w:r>
      <w:r>
        <w:rPr>
          <w:bCs/>
          <w:b/>
        </w:rPr>
        <w:t xml:space="preserve">TODO TGI</w:t>
      </w:r>
      <w:r>
        <w:t xml:space="preserve"> </w:t>
      </w:r>
      <w:r>
        <w:t xml:space="preserve">Add a section on quality control.</w:t>
      </w:r>
    </w:p>
  </w:footnote>
  <w:footnote w:id="85">
    <w:p>
      <w:pPr>
        <w:pStyle w:val="FootnoteText"/>
      </w:pPr>
      <w:r>
        <w:rPr>
          <w:rStyle w:val="FootnoteReference"/>
        </w:rPr>
        <w:footnoteRef/>
      </w:r>
      <w:r>
        <w:t xml:space="preserve"> </w:t>
      </w:r>
      <w:r>
        <w:rPr>
          <w:bCs/>
          <w:b/>
        </w:rPr>
        <w:t xml:space="preserve">TODO TGI</w:t>
      </w:r>
      <w:r>
        <w:t xml:space="preserve"> </w:t>
      </w:r>
      <w:r>
        <w:t xml:space="preserve">Add a section on quality assurance.</w:t>
      </w:r>
    </w:p>
  </w:footnote>
  <w:footnote w:id="87">
    <w:p>
      <w:pPr>
        <w:pStyle w:val="FootnoteText"/>
      </w:pPr>
      <w:r>
        <w:rPr>
          <w:rStyle w:val="FootnoteReference"/>
        </w:rPr>
        <w:footnoteRef/>
      </w:r>
      <w:r>
        <w:t xml:space="preserve"> </w:t>
      </w:r>
      <w:r>
        <w:rPr>
          <w:bCs/>
          <w:b/>
        </w:rPr>
        <w:t xml:space="preserve">TODO TGI</w:t>
      </w:r>
      <w:r>
        <w:t xml:space="preserve"> </w:t>
      </w:r>
      <w:r>
        <w:t xml:space="preserve">Add a section on monitoring.</w:t>
      </w:r>
    </w:p>
  </w:footnote>
  <w:footnote w:id="95">
    <w:p>
      <w:pPr>
        <w:pStyle w:val="FootnoteText"/>
      </w:pPr>
      <w:r>
        <w:rPr>
          <w:rStyle w:val="FootnoteReference"/>
        </w:rPr>
        <w:footnoteRef/>
      </w:r>
      <w:r>
        <w:t xml:space="preserve"> </w:t>
      </w:r>
      <w:r>
        <w:rPr>
          <w:bCs/>
          <w:b/>
        </w:rPr>
        <w:t xml:space="preserve">TODO:</w:t>
      </w:r>
      <w:r>
        <w:t xml:space="preserve"> </w:t>
      </w:r>
      <w:r>
        <w:t xml:space="preserve">Describe data protection mechanisms, or cross-reference the section on</w:t>
      </w:r>
      <w:r>
        <w:t xml:space="preserve"> </w:t>
      </w:r>
      <w:r>
        <w:t xml:space="preserve">“</w:t>
      </w:r>
      <w:r>
        <w:t xml:space="preserve">Collection, handling and archiving of data</w:t>
      </w:r>
      <w:r>
        <w:t xml:space="preserve">”</w:t>
      </w:r>
    </w:p>
  </w:footnote>
  <w:footnote w:id="98">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 w:id="101">
    <w:p>
      <w:pPr>
        <w:pStyle w:val="FootnoteText"/>
      </w:pPr>
      <w:r>
        <w:rPr>
          <w:rStyle w:val="FootnoteReference"/>
        </w:rPr>
        <w:footnoteRef/>
      </w:r>
      <w:r>
        <w:t xml:space="preserve"> </w:t>
      </w:r>
      <w:r>
        <w:rPr>
          <w:bCs/>
          <w:b/>
        </w:rPr>
        <w:t xml:space="preserve">TODO:</w:t>
      </w:r>
      <w:r>
        <w:t xml:space="preserve"> </w:t>
      </w:r>
      <w:r>
        <w:t xml:space="preserve">Create a CRF template and attach.</w:t>
      </w:r>
    </w:p>
  </w:footnote>
  <w:footnote w:id="102">
    <w:p>
      <w:pPr>
        <w:pStyle w:val="FootnoteText"/>
      </w:pPr>
      <w:r>
        <w:rPr>
          <w:rStyle w:val="FootnoteReference"/>
        </w:rPr>
        <w:footnoteRef/>
      </w:r>
      <w:r>
        <w:t xml:space="preserve"> </w:t>
      </w:r>
      <w:r>
        <w:rPr>
          <w:bCs/>
          <w:b/>
        </w:rPr>
        <w:t xml:space="preserve">TODO TGI:</w:t>
      </w:r>
      <w:r>
        <w:t xml:space="preserve"> </w:t>
      </w:r>
      <w:r>
        <w:t xml:space="preserve">Please check that this is correct.</w:t>
      </w:r>
    </w:p>
  </w:footnote>
  <w:footnote w:id="103">
    <w:p>
      <w:pPr>
        <w:pStyle w:val="FootnoteText"/>
      </w:pPr>
      <w:r>
        <w:rPr>
          <w:rStyle w:val="FootnoteReference"/>
        </w:rPr>
        <w:footnoteRef/>
      </w:r>
      <w:r>
        <w:t xml:space="preserve"> </w:t>
      </w:r>
      <w:r>
        <w:rPr>
          <w:bCs/>
          <w:b/>
        </w:rPr>
        <w:t xml:space="preserve">TODO:</w:t>
      </w:r>
      <w:r>
        <w:t xml:space="preserve"> </w:t>
      </w:r>
      <w:r>
        <w:t xml:space="preserve">Create an ISF template.</w:t>
      </w:r>
    </w:p>
  </w:footnote>
  <w:footnote w:id="104">
    <w:p>
      <w:pPr>
        <w:pStyle w:val="FootnoteText"/>
      </w:pPr>
      <w:r>
        <w:rPr>
          <w:rStyle w:val="FootnoteReference"/>
        </w:rPr>
        <w:footnoteRef/>
      </w:r>
      <w:r>
        <w:t xml:space="preserve"> </w:t>
      </w:r>
      <w:r>
        <w:rPr>
          <w:bCs/>
          <w:b/>
        </w:rPr>
        <w:t xml:space="preserve">TODO TGI:</w:t>
      </w:r>
      <w:r>
        <w:t xml:space="preserve"> </w:t>
      </w:r>
      <w:r>
        <w:t xml:space="preserve">Please check that this applies.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0" Target="media/rId190.pdf" /><Relationship Type="http://schemas.openxmlformats.org/officeDocument/2006/relationships/image" Id="rId193" Target="media/rId193.pdf" /><Relationship Type="http://schemas.openxmlformats.org/officeDocument/2006/relationships/image" Id="rId196" Target="media/rId196.pdf" /><Relationship Type="http://schemas.openxmlformats.org/officeDocument/2006/relationships/image" Id="rId199" Target="media/rId199.pdf" /><Relationship Type="http://schemas.openxmlformats.org/officeDocument/2006/relationships/image" Id="rId76" Target="media/rId76.pdf" /><Relationship Type="http://schemas.openxmlformats.org/officeDocument/2006/relationships/image" Id="rId21" Target="media/rId21.pdf" /><Relationship Type="http://schemas.openxmlformats.org/officeDocument/2006/relationships/image" Id="rId31" Target="media/rId31.pdf" /><Relationship Type="http://schemas.openxmlformats.org/officeDocument/2006/relationships/hyperlink" Id="rId118" Target="" TargetMode="External" /><Relationship Type="http://schemas.openxmlformats.org/officeDocument/2006/relationships/hyperlink" Id="rId132" Target="https://doi.org/10.1002/14651858.cd004173.pub4" TargetMode="External" /><Relationship Type="http://schemas.openxmlformats.org/officeDocument/2006/relationships/hyperlink" Id="rId170" Target="https://doi.org/10.1002/sim.9438" TargetMode="External" /><Relationship Type="http://schemas.openxmlformats.org/officeDocument/2006/relationships/hyperlink" Id="rId130" Target="https://doi.org/10.1007/s00268-013-2294-0" TargetMode="External" /><Relationship Type="http://schemas.openxmlformats.org/officeDocument/2006/relationships/hyperlink" Id="rId160" Target="https://doi.org/10.1007/s00268-014-2899-y" TargetMode="External" /><Relationship Type="http://schemas.openxmlformats.org/officeDocument/2006/relationships/hyperlink" Id="rId136" Target="https://doi.org/10.1007/s00268-021-06065-9" TargetMode="External" /><Relationship Type="http://schemas.openxmlformats.org/officeDocument/2006/relationships/hyperlink" Id="rId141" Target="https://doi.org/10.1007/s002689900171" TargetMode="External" /><Relationship Type="http://schemas.openxmlformats.org/officeDocument/2006/relationships/hyperlink" Id="rId174" Target="https://doi.org/10.1016/S2666-7568(21)00115-X" TargetMode="External" /><Relationship Type="http://schemas.openxmlformats.org/officeDocument/2006/relationships/hyperlink" Id="rId152" Target="https://doi.org/10.1016/j.ajem.2004.08.013" TargetMode="External" /><Relationship Type="http://schemas.openxmlformats.org/officeDocument/2006/relationships/hyperlink" Id="rId134" Target="https://doi.org/10.1016/j.injury.2019.10.084" TargetMode="External" /><Relationship Type="http://schemas.openxmlformats.org/officeDocument/2006/relationships/hyperlink" Id="rId156"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20" Target="https://doi.org/10.1016/s0140-6736(20)30925-9" TargetMode="External" /><Relationship Type="http://schemas.openxmlformats.org/officeDocument/2006/relationships/hyperlink" Id="rId150" Target="https://doi.org/10.1067/msy.2001.115898" TargetMode="External" /><Relationship Type="http://schemas.openxmlformats.org/officeDocument/2006/relationships/hyperlink" Id="rId168" Target="https://doi.org/10.1093/ije/dyaa077" TargetMode="External" /><Relationship Type="http://schemas.openxmlformats.org/officeDocument/2006/relationships/hyperlink" Id="rId182" Target="https://doi.org/10.1093/ije/dyz237" TargetMode="External" /><Relationship Type="http://schemas.openxmlformats.org/officeDocument/2006/relationships/hyperlink" Id="rId148" Target="https://doi.org/10.1097/00005373-199306000-00022" TargetMode="External" /><Relationship Type="http://schemas.openxmlformats.org/officeDocument/2006/relationships/hyperlink" Id="rId143" Target="https://doi.org/10.1097/00005373-199901000-00013" TargetMode="External" /><Relationship Type="http://schemas.openxmlformats.org/officeDocument/2006/relationships/hyperlink" Id="rId126" Target="https://doi.org/10.1097/ta.0000000000002205" TargetMode="External" /><Relationship Type="http://schemas.openxmlformats.org/officeDocument/2006/relationships/hyperlink" Id="rId158" Target="https://doi.org/10.1097/ta.0b013e31829880a0" TargetMode="External" /><Relationship Type="http://schemas.openxmlformats.org/officeDocument/2006/relationships/hyperlink" Id="rId128" Target="https://doi.org/10.1111/aas.13151" TargetMode="External" /><Relationship Type="http://schemas.openxmlformats.org/officeDocument/2006/relationships/hyperlink" Id="rId166" Target="https://doi.org/10.1136/bmj.h391" TargetMode="External" /><Relationship Type="http://schemas.openxmlformats.org/officeDocument/2006/relationships/hyperlink" Id="rId164" Target="https://doi.org/10.1136/bmjopen-2021-057504" TargetMode="External" /><Relationship Type="http://schemas.openxmlformats.org/officeDocument/2006/relationships/hyperlink" Id="rId180" Target="https://doi.org/10.1177/0962280215588242" TargetMode="External" /><Relationship Type="http://schemas.openxmlformats.org/officeDocument/2006/relationships/hyperlink" Id="rId176" Target="https://doi.org/10.1177/0962280220932962" TargetMode="External" /><Relationship Type="http://schemas.openxmlformats.org/officeDocument/2006/relationships/hyperlink" Id="rId186" Target="https://doi.org/10.1177/17407745211020852" TargetMode="External" /><Relationship Type="http://schemas.openxmlformats.org/officeDocument/2006/relationships/hyperlink" Id="rId124" Target="https://doi.org/10.1186/s12913-017-2085-7" TargetMode="External" /><Relationship Type="http://schemas.openxmlformats.org/officeDocument/2006/relationships/hyperlink" Id="rId184" Target="https://doi.org/10.1186/s13063-016-1532-9" TargetMode="External" /><Relationship Type="http://schemas.openxmlformats.org/officeDocument/2006/relationships/hyperlink" Id="rId178" Target="https://doi.org/10.1191/1740774505cn071oa" TargetMode="External" /><Relationship Type="http://schemas.openxmlformats.org/officeDocument/2006/relationships/hyperlink" Id="rId122" Target="https://doi.org/10.1371/journal.pone.0212095" TargetMode="External" /><Relationship Type="http://schemas.openxmlformats.org/officeDocument/2006/relationships/hyperlink" Id="rId162" Target="https://pubmed.ncbi.nlm.nih.gov/27025984/" TargetMode="External" /><Relationship Type="http://schemas.openxmlformats.org/officeDocument/2006/relationships/hyperlink" Id="rId172" Target="https://stepcare.org/protocol" TargetMode="External" /><Relationship Type="http://schemas.openxmlformats.org/officeDocument/2006/relationships/hyperlink" Id="rId154"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118" Target="" TargetMode="External" /><Relationship Type="http://schemas.openxmlformats.org/officeDocument/2006/relationships/hyperlink" Id="rId132" Target="https://doi.org/10.1002/14651858.cd004173.pub4" TargetMode="External" /><Relationship Type="http://schemas.openxmlformats.org/officeDocument/2006/relationships/hyperlink" Id="rId170" Target="https://doi.org/10.1002/sim.9438" TargetMode="External" /><Relationship Type="http://schemas.openxmlformats.org/officeDocument/2006/relationships/hyperlink" Id="rId130" Target="https://doi.org/10.1007/s00268-013-2294-0" TargetMode="External" /><Relationship Type="http://schemas.openxmlformats.org/officeDocument/2006/relationships/hyperlink" Id="rId160" Target="https://doi.org/10.1007/s00268-014-2899-y" TargetMode="External" /><Relationship Type="http://schemas.openxmlformats.org/officeDocument/2006/relationships/hyperlink" Id="rId136" Target="https://doi.org/10.1007/s00268-021-06065-9" TargetMode="External" /><Relationship Type="http://schemas.openxmlformats.org/officeDocument/2006/relationships/hyperlink" Id="rId141" Target="https://doi.org/10.1007/s002689900171" TargetMode="External" /><Relationship Type="http://schemas.openxmlformats.org/officeDocument/2006/relationships/hyperlink" Id="rId174" Target="https://doi.org/10.1016/S2666-7568(21)00115-X" TargetMode="External" /><Relationship Type="http://schemas.openxmlformats.org/officeDocument/2006/relationships/hyperlink" Id="rId152" Target="https://doi.org/10.1016/j.ajem.2004.08.013" TargetMode="External" /><Relationship Type="http://schemas.openxmlformats.org/officeDocument/2006/relationships/hyperlink" Id="rId134" Target="https://doi.org/10.1016/j.injury.2019.10.084" TargetMode="External" /><Relationship Type="http://schemas.openxmlformats.org/officeDocument/2006/relationships/hyperlink" Id="rId156"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20" Target="https://doi.org/10.1016/s0140-6736(20)30925-9" TargetMode="External" /><Relationship Type="http://schemas.openxmlformats.org/officeDocument/2006/relationships/hyperlink" Id="rId150" Target="https://doi.org/10.1067/msy.2001.115898" TargetMode="External" /><Relationship Type="http://schemas.openxmlformats.org/officeDocument/2006/relationships/hyperlink" Id="rId168" Target="https://doi.org/10.1093/ije/dyaa077" TargetMode="External" /><Relationship Type="http://schemas.openxmlformats.org/officeDocument/2006/relationships/hyperlink" Id="rId182" Target="https://doi.org/10.1093/ije/dyz237" TargetMode="External" /><Relationship Type="http://schemas.openxmlformats.org/officeDocument/2006/relationships/hyperlink" Id="rId148" Target="https://doi.org/10.1097/00005373-199306000-00022" TargetMode="External" /><Relationship Type="http://schemas.openxmlformats.org/officeDocument/2006/relationships/hyperlink" Id="rId143" Target="https://doi.org/10.1097/00005373-199901000-00013" TargetMode="External" /><Relationship Type="http://schemas.openxmlformats.org/officeDocument/2006/relationships/hyperlink" Id="rId126" Target="https://doi.org/10.1097/ta.0000000000002205" TargetMode="External" /><Relationship Type="http://schemas.openxmlformats.org/officeDocument/2006/relationships/hyperlink" Id="rId158" Target="https://doi.org/10.1097/ta.0b013e31829880a0" TargetMode="External" /><Relationship Type="http://schemas.openxmlformats.org/officeDocument/2006/relationships/hyperlink" Id="rId128" Target="https://doi.org/10.1111/aas.13151" TargetMode="External" /><Relationship Type="http://schemas.openxmlformats.org/officeDocument/2006/relationships/hyperlink" Id="rId166" Target="https://doi.org/10.1136/bmj.h391" TargetMode="External" /><Relationship Type="http://schemas.openxmlformats.org/officeDocument/2006/relationships/hyperlink" Id="rId164" Target="https://doi.org/10.1136/bmjopen-2021-057504" TargetMode="External" /><Relationship Type="http://schemas.openxmlformats.org/officeDocument/2006/relationships/hyperlink" Id="rId180" Target="https://doi.org/10.1177/0962280215588242" TargetMode="External" /><Relationship Type="http://schemas.openxmlformats.org/officeDocument/2006/relationships/hyperlink" Id="rId176" Target="https://doi.org/10.1177/0962280220932962" TargetMode="External" /><Relationship Type="http://schemas.openxmlformats.org/officeDocument/2006/relationships/hyperlink" Id="rId186" Target="https://doi.org/10.1177/17407745211020852" TargetMode="External" /><Relationship Type="http://schemas.openxmlformats.org/officeDocument/2006/relationships/hyperlink" Id="rId124" Target="https://doi.org/10.1186/s12913-017-2085-7" TargetMode="External" /><Relationship Type="http://schemas.openxmlformats.org/officeDocument/2006/relationships/hyperlink" Id="rId184" Target="https://doi.org/10.1186/s13063-016-1532-9" TargetMode="External" /><Relationship Type="http://schemas.openxmlformats.org/officeDocument/2006/relationships/hyperlink" Id="rId178" Target="https://doi.org/10.1191/1740774505cn071oa" TargetMode="External" /><Relationship Type="http://schemas.openxmlformats.org/officeDocument/2006/relationships/hyperlink" Id="rId122" Target="https://doi.org/10.1371/journal.pone.0212095" TargetMode="External" /><Relationship Type="http://schemas.openxmlformats.org/officeDocument/2006/relationships/hyperlink" Id="rId162" Target="https://pubmed.ncbi.nlm.nih.gov/27025984/" TargetMode="External" /><Relationship Type="http://schemas.openxmlformats.org/officeDocument/2006/relationships/hyperlink" Id="rId172" Target="https://stepcare.org/protocol" TargetMode="External" /><Relationship Type="http://schemas.openxmlformats.org/officeDocument/2006/relationships/hyperlink" Id="rId154"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2024-01-09T19:45:34Z</dcterms:created>
  <dcterms:modified xsi:type="dcterms:W3CDTF">2024-01-09T19:45:34Z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0.4.0 2024-01-09</vt:lpwstr>
  </property>
  <property fmtid="{D5CDD505-2E9C-101B-9397-08002B2CF9AE}" pid="12" name="toc-title">
    <vt:lpwstr>Table of contents</vt:lpwstr>
  </property>
</Properties>
</file>