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67.pdf" ContentType="application/pdf"/>
  <Override PartName="/word/media/rId170.pdf" ContentType="application/pdf"/>
  <Override PartName="/word/media/rId173.pdf" ContentType="application/pdf"/>
  <Override PartName="/word/media/rId176.pdf" ContentType="application/pdf"/>
  <Override PartName="/word/media/rId180.pdf" ContentType="application/pdf"/>
  <Override PartName="/word/media/rId183.pdf" ContentType="application/pdf"/>
  <Override PartName="/word/media/rId186.pdf" ContentType="application/pdf"/>
  <Override PartName="/word/media/rId189.pdf" ContentType="application/pdf"/>
  <Override PartName="/word/media/rId192.pdf" ContentType="application/pdf"/>
  <Override PartName="/word/media/rId195.pdf" ContentType="application/pdf"/>
  <Override PartName="/word/media/rId80.pdf" ContentType="application/pdf"/>
  <Override PartName="/word/media/rId23.pdf" ContentType="application/pdf"/>
  <Override PartName="/word/media/rId3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0.8.0</w:t>
      </w:r>
      <w:r>
        <w:br/>
      </w:r>
      <w:r>
        <w:t xml:space="preserve">2024-03-06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tbl>
      <w:tblPr>
        <w:tblStyle w:val="Table"/>
        <w:tblW w:type="pct" w:w="5000"/>
        <w:tblLook w:firstRow="0" w:lastRow="0" w:firstColumn="0" w:lastColumn="0" w:noHBand="0" w:noVBand="0" w:val="0000"/>
        <w:jc w:val="start"/>
      </w:tblPr>
      <w:tblGrid>
        <w:gridCol w:w="3960"/>
        <w:gridCol w:w="3960"/>
      </w:tblGrid>
      <w:tr>
        <w:tc>
          <w:tcPr/>
          <w:p>
            <w:pPr>
              <w:pStyle w:val="Compact"/>
              <w:jc w:val="left"/>
            </w:pPr>
            <w:r>
              <w:t xml:space="preserve">Clinical Trials Registry-India ID</w:t>
            </w:r>
          </w:p>
        </w:tc>
        <w:tc>
          <w:tcPr/>
          <w:p>
            <w:pPr>
              <w:pStyle w:val="Compact"/>
            </w:pPr>
          </w:p>
        </w:tc>
      </w:tr>
      <w:tr>
        <w:tc>
          <w:tcPr/>
          <w:p>
            <w:pPr>
              <w:pStyle w:val="Compact"/>
              <w:jc w:val="left"/>
            </w:pPr>
            <w:r>
              <w:t xml:space="preserve">ClinicalTrials.gov ID</w:t>
            </w:r>
          </w:p>
        </w:tc>
        <w:tc>
          <w:tcPr/>
          <w:p>
            <w:pPr>
              <w:pStyle w:val="Compact"/>
            </w:pPr>
          </w:p>
        </w:tc>
      </w:tr>
      <w:tr>
        <w:tc>
          <w:tcPr/>
          <w:p>
            <w:pPr>
              <w:pStyle w:val="Compact"/>
              <w:jc w:val="left"/>
            </w:pPr>
            <w:r>
              <w:t xml:space="preserve">Project Leader</w:t>
            </w:r>
          </w:p>
        </w:tc>
        <w:tc>
          <w:tcPr/>
          <w:p>
            <w:pPr>
              <w:pStyle w:val="Compact"/>
              <w:jc w:val="left"/>
            </w:pPr>
            <w:r>
              <w:t xml:space="preserve">Karolinska Institutet, Sweden (</w:t>
            </w:r>
            <w:r>
              <w:rPr>
                <w:bCs/>
                <w:b/>
              </w:rPr>
              <w:t xml:space="preserve">KI</w:t>
            </w:r>
            <w:r>
              <w:t xml:space="preserve">)</w:t>
            </w:r>
          </w:p>
        </w:tc>
      </w:tr>
      <w:tr>
        <w:tc>
          <w:tcPr/>
          <w:p>
            <w:pPr>
              <w:pStyle w:val="Compact"/>
              <w:jc w:val="left"/>
            </w:pPr>
            <w:r>
              <w:t xml:space="preserve">Study Coordinator</w:t>
            </w:r>
          </w:p>
        </w:tc>
        <w:tc>
          <w:tcPr/>
          <w:p>
            <w:pPr>
              <w:pStyle w:val="Compact"/>
              <w:jc w:val="left"/>
            </w:pPr>
            <w:r>
              <w:t xml:space="preserve">The George Institute for Global Health, India (</w:t>
            </w:r>
            <w:r>
              <w:rPr>
                <w:bCs/>
                <w:b/>
              </w:rPr>
              <w:t xml:space="preserve">TGI</w:t>
            </w:r>
            <w:r>
              <w:t xml:space="preserve">)</w:t>
            </w:r>
          </w:p>
        </w:tc>
      </w:tr>
      <w:tr>
        <w:tc>
          <w:tcPr/>
          <w:p>
            <w:pPr>
              <w:pStyle w:val="Compact"/>
              <w:jc w:val="left"/>
            </w:pPr>
            <w:r>
              <w:t xml:space="preserve">Principal Investigator</w:t>
            </w:r>
          </w:p>
        </w:tc>
        <w:tc>
          <w:tcPr/>
          <w:p>
            <w:pPr>
              <w:pStyle w:val="Compact"/>
              <w:jc w:val="left"/>
            </w:pPr>
            <w:r>
              <w:t xml:space="preserve">Martin Gerdin Wärnberg (KI,</w:t>
            </w:r>
            <w:r>
              <w:t xml:space="preserve"> </w:t>
            </w:r>
            <w:hyperlink r:id="rId20">
              <w:r>
                <w:rPr>
                  <w:rStyle w:val="Hyperlink"/>
                </w:rPr>
                <w:t xml:space="preserve">martin.gerdin@ki.se</w:t>
              </w:r>
            </w:hyperlink>
            <w:r>
              <w:t xml:space="preserve">)</w:t>
            </w:r>
          </w:p>
        </w:tc>
      </w:tr>
    </w:tbl>
    <w:p>
      <w:r>
        <w:br w:type="page"/>
      </w:r>
    </w:p>
    <w:bookmarkStart w:id="21" w:name="changelog"/>
    <w:p>
      <w:pPr>
        <w:pStyle w:val="Heading1"/>
      </w:pPr>
      <w:r>
        <w:t xml:space="preserve">1. Changelog</w:t>
      </w:r>
    </w:p>
    <w:p>
      <w:pPr>
        <w:pStyle w:val="FirstParagraph"/>
      </w:pPr>
      <w:r>
        <w:rPr>
          <w:bCs/>
          <w:b/>
        </w:rPr>
        <w:t xml:space="preserve">After version 1.0.0 is approved, all major and minor version updates to the protocol will be documented here. A full changelog will also be kept separately, that documents all</w:t>
      </w:r>
      <w:r>
        <w:rPr>
          <w:bCs/>
          <w:b/>
        </w:rPr>
        <w:t xml:space="preserve"> </w:t>
      </w:r>
      <w:r>
        <w:rPr>
          <w:bCs/>
          <w:b/>
        </w:rPr>
        <w:t xml:space="preserve">“</w:t>
      </w:r>
      <w:r>
        <w:rPr>
          <w:bCs/>
          <w:b/>
        </w:rPr>
        <w:t xml:space="preserve">patch</w:t>
      </w:r>
      <w:r>
        <w:rPr>
          <w:bCs/>
          <w:b/>
        </w:rPr>
        <w:t xml:space="preserve">”</w:t>
      </w:r>
      <w:r>
        <w:rPr>
          <w:bCs/>
          <w:b/>
        </w:rPr>
        <w:t xml:space="preserve"> </w:t>
      </w:r>
      <w:r>
        <w:rPr>
          <w:bCs/>
          <w:b/>
        </w:rPr>
        <w:t xml:space="preserve">updates as well (for example spelling and grammar edits).</w:t>
      </w:r>
    </w:p>
    <w:p>
      <w:r>
        <w:br w:type="page"/>
      </w:r>
    </w:p>
    <w:bookmarkEnd w:id="21"/>
    <w:bookmarkStart w:id="22" w:name="synopsis"/>
    <w:p>
      <w:pPr>
        <w:pStyle w:val="Heading1"/>
      </w:pPr>
      <w:r>
        <w:t xml:space="preserve">2.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in-hospital data collection, in which consent is presumed unless actively declined. We will obtain informed consent for out of hospital follow up. Patients who are unconscious or lack a legally authorized representative will be included under a waiver of informed consent.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w:t>
      </w:r>
    </w:p>
    <w:p>
      <w:pPr>
        <w:pStyle w:val="BodyText"/>
      </w:pPr>
      <w:r>
        <w:rPr>
          <w:bCs/>
          <w:b/>
        </w:rPr>
        <w:t xml:space="preserve">Trial Period</w:t>
      </w:r>
      <w:r>
        <w:t xml:space="preserve"> </w:t>
      </w:r>
      <w:r>
        <w:t xml:space="preserve">October 1, 2024, to September 30, 2029</w:t>
      </w:r>
    </w:p>
    <w:p>
      <w:r>
        <w:br w:type="page"/>
      </w:r>
    </w:p>
    <w:bookmarkEnd w:id="22"/>
    <w:bookmarkStart w:id="28" w:name="background-and-rationale"/>
    <w:p>
      <w:pPr>
        <w:pStyle w:val="Heading1"/>
      </w:pPr>
      <w:r>
        <w:t xml:space="preserve">3.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7" w:name="updated-systematic-review"/>
    <w:p>
      <w:pPr>
        <w:pStyle w:val="Heading2"/>
      </w:pPr>
      <w:r>
        <w:t xml:space="preserve">3.1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6" w:name="fig-forest-plot"/>
          <w:p>
            <w:pPr>
              <w:jc w:val="center"/>
            </w:pPr>
            <w:r>
              <w:drawing>
                <wp:inline>
                  <wp:extent cx="5334000" cy="2667000"/>
                  <wp:effectExtent b="0" l="0" r="0" t="0"/>
                  <wp:docPr descr="" title="" id="24" name="Picture"/>
                  <a:graphic>
                    <a:graphicData uri="http://schemas.openxmlformats.org/drawingml/2006/picture">
                      <pic:pic>
                        <pic:nvPicPr>
                          <pic:cNvPr descr="forest-plot.pdf"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6"/>
        </w:tc>
      </w:tr>
    </w:tbl>
    <w:bookmarkEnd w:id="27"/>
    <w:bookmarkEnd w:id="28"/>
    <w:bookmarkStart w:id="29" w:name="benefit-risk-evaluation"/>
    <w:p>
      <w:pPr>
        <w:pStyle w:val="Heading1"/>
      </w:pPr>
      <w:r>
        <w:t xml:space="preserve">4.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9"/>
    <w:bookmarkStart w:id="30" w:name="trial-aim"/>
    <w:p>
      <w:pPr>
        <w:pStyle w:val="Heading1"/>
      </w:pPr>
      <w:r>
        <w:t xml:space="preserve">5.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30"/>
    <w:bookmarkStart w:id="31" w:name="X00c24060cc0917b8d570def0c3baa97996a92f2"/>
    <w:p>
      <w:pPr>
        <w:pStyle w:val="Heading1"/>
      </w:pPr>
      <w:r>
        <w:t xml:space="preserve">6.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31"/>
    <w:bookmarkStart w:id="90" w:name="trial-design-and-procedures"/>
    <w:p>
      <w:pPr>
        <w:pStyle w:val="Heading1"/>
      </w:pPr>
      <w:r>
        <w:t xml:space="preserve">7. Trial design and procedures</w:t>
      </w:r>
    </w:p>
    <w:bookmarkStart w:id="32" w:name="overall-trial-design"/>
    <w:p>
      <w:pPr>
        <w:pStyle w:val="Heading2"/>
      </w:pPr>
      <w:r>
        <w:t xml:space="preserve">7.1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2"/>
    <w:bookmarkStart w:id="37"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6" w:name="fig-trial-design"/>
          <w:p>
            <w:pPr>
              <w:jc w:val="center"/>
            </w:pPr>
            <w:r>
              <w:drawing>
                <wp:inline>
                  <wp:extent cx="5334000" cy="2667000"/>
                  <wp:effectExtent b="0" l="0" r="0" t="0"/>
                  <wp:docPr descr="" title="" id="34" name="Picture"/>
                  <a:graphic>
                    <a:graphicData uri="http://schemas.openxmlformats.org/drawingml/2006/picture">
                      <pic:pic>
                        <pic:nvPicPr>
                          <pic:cNvPr descr="trial-design-figure-30-clusters-5-sequences-6-batches-6-batches-overlap-4-min-standard-care-4-min-intervention-1-transition-months-0-transition-overlap.pdf"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6"/>
        </w:tc>
      </w:tr>
    </w:tbl>
    <w:bookmarkEnd w:id="37"/>
    <w:bookmarkStart w:id="38" w:name="eligibility-criteria"/>
    <w:p>
      <w:pPr>
        <w:pStyle w:val="Heading2"/>
      </w:pPr>
      <w:r>
        <w:t xml:space="preserve">7.3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8"/>
    <w:bookmarkStart w:id="44" w:name="hospital-selection"/>
    <w:p>
      <w:pPr>
        <w:pStyle w:val="Heading2"/>
      </w:pPr>
      <w:r>
        <w:t xml:space="preserve">7.4 Hospital selection</w:t>
      </w:r>
    </w:p>
    <w:p>
      <w:pPr>
        <w:pStyle w:val="FirstParagraph"/>
      </w:pPr>
      <w:r>
        <w:t xml:space="preserve">Hospitals will be secondary or tertiary hospitals providing trauma care in India. Hospital will be the unit of randomisation.</w:t>
      </w:r>
    </w:p>
    <w:bookmarkStart w:id="39" w:name="inclusions-criteria"/>
    <w:p>
      <w:pPr>
        <w:pStyle w:val="Heading3"/>
      </w:pPr>
      <w:r>
        <w:t xml:space="preserve">7.4.1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9"/>
    <w:bookmarkStart w:id="42" w:name="exclusion-criteria"/>
    <w:p>
      <w:pPr>
        <w:pStyle w:val="Heading3"/>
      </w:pPr>
      <w:r>
        <w:t xml:space="preserve">7.4.2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40"/>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41"/>
      </w:r>
      <w:r>
        <w:t xml:space="preserve"> </w:t>
      </w:r>
      <w:r>
        <w:t xml:space="preserve">that affects trauma care during the trial period.</w:t>
      </w:r>
    </w:p>
    <w:bookmarkEnd w:id="42"/>
    <w:bookmarkStart w:id="43" w:name="screening"/>
    <w:p>
      <w:pPr>
        <w:pStyle w:val="Heading3"/>
      </w:pPr>
      <w:r>
        <w:t xml:space="preserve">7.4.3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using a two-step procedure. First, we will approach hospitals to complete an initial hospital screening instrument (see Appendix</w:t>
      </w:r>
      <w:r>
        <w:t xml:space="preserve"> </w:t>
      </w:r>
      <w:hyperlink w:anchor="X6651722c1859312d91791f28b527f979d4c4c33">
        <w:r>
          <w:rPr>
            <w:rStyle w:val="Hyperlink"/>
          </w:rPr>
          <w:t xml:space="preserve">Section 19.1</w:t>
        </w:r>
      </w:hyperlink>
      <w:r>
        <w:t xml:space="preserve">). We will then discuss each eligible hospital individually in the Trial Management Group before deciding whether to include it in the trial. We have this discussion because we strive to include hospitals that to a large extent conducts primary resuscitation of trauma patients, rather than hospitals that primarily receives transferred patients from other hospitals, but this is difficult to formalise in the eligibility criteria. We will then perform a more in-depth interview with selected hospitals (See Appendix</w:t>
      </w:r>
      <w:r>
        <w:t xml:space="preserve"> </w:t>
      </w:r>
      <w:hyperlink w:anchor="X262d92c087f9db09afb96fa2e4272c0b9027027">
        <w:r>
          <w:rPr>
            <w:rStyle w:val="Hyperlink"/>
          </w:rPr>
          <w:t xml:space="preserve">Section 19.2</w:t>
        </w:r>
      </w:hyperlink>
      <w:r>
        <w:t xml:space="preserve">).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 All screening steps and decisions will be logged using REDCap</w:t>
      </w:r>
      <w:r>
        <w:rPr>
          <w:vertAlign w:val="superscript"/>
        </w:rPr>
        <w:t xml:space="preserve">30,31</w:t>
      </w:r>
      <w:r>
        <w:t xml:space="preserve">.</w:t>
      </w:r>
    </w:p>
    <w:bookmarkEnd w:id="43"/>
    <w:bookmarkEnd w:id="44"/>
    <w:bookmarkStart w:id="47" w:name="cluster-selection"/>
    <w:p>
      <w:pPr>
        <w:pStyle w:val="Heading2"/>
      </w:pPr>
      <w:r>
        <w:t xml:space="preserve">7.5 Cluster selection</w:t>
      </w:r>
    </w:p>
    <w:p>
      <w:pPr>
        <w:pStyle w:val="FirstParagraph"/>
      </w:pPr>
      <w:r>
        <w:t xml:space="preserve">Clusters are one or more units of physicians providing initial trauma care in the emergency department of secondary or tertiary hospitals in India. These units already exist in the hospitals and rotate through the emergency department on specific days of the week.</w:t>
      </w:r>
    </w:p>
    <w:bookmarkStart w:id="45" w:name="inclusion-criteria"/>
    <w:p>
      <w:pPr>
        <w:pStyle w:val="Heading3"/>
      </w:pPr>
      <w:r>
        <w:t xml:space="preserve">7.5.1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and</w:t>
      </w:r>
    </w:p>
    <w:p>
      <w:pPr>
        <w:numPr>
          <w:ilvl w:val="0"/>
          <w:numId w:val="1003"/>
        </w:numPr>
        <w:pStyle w:val="Compact"/>
      </w:pPr>
      <w:r>
        <w:t xml:space="preserve">no more than 25% of physicians providing initial trauma care trained in a formalised trauma life support training programme.</w:t>
      </w:r>
    </w:p>
    <w:bookmarkEnd w:id="45"/>
    <w:bookmarkStart w:id="46" w:name="screening-1"/>
    <w:p>
      <w:pPr>
        <w:pStyle w:val="Heading3"/>
      </w:pPr>
      <w:r>
        <w:t xml:space="preserve">7.5.2 Screening</w:t>
      </w:r>
    </w:p>
    <w:p>
      <w:pPr>
        <w:pStyle w:val="FirstParagraph"/>
      </w:pPr>
      <w:r>
        <w:t xml:space="preserve">The screening of clusters is part of the hospital screening process.</w:t>
      </w:r>
    </w:p>
    <w:bookmarkEnd w:id="46"/>
    <w:bookmarkEnd w:id="47"/>
    <w:bookmarkStart w:id="52" w:name="patient-participants-selection"/>
    <w:p>
      <w:pPr>
        <w:pStyle w:val="Heading2"/>
      </w:pPr>
      <w:r>
        <w:t xml:space="preserve">7.6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8" w:name="inclusion-criteria-1"/>
    <w:p>
      <w:pPr>
        <w:pStyle w:val="Heading3"/>
      </w:pPr>
      <w:r>
        <w:t xml:space="preserve">7.6.1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trauma occurred less than 48 hours before arrival at the hospital;</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managed by a participating cluster in the emergency department.</w:t>
      </w:r>
    </w:p>
    <w:bookmarkEnd w:id="48"/>
    <w:bookmarkStart w:id="49" w:name="exclusion-criteria-1"/>
    <w:p>
      <w:pPr>
        <w:pStyle w:val="Heading3"/>
      </w:pPr>
      <w:r>
        <w:t xml:space="preserve">7.6.2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9"/>
    <w:bookmarkStart w:id="50" w:name="screening-2"/>
    <w:p>
      <w:pPr>
        <w:pStyle w:val="Heading3"/>
      </w:pPr>
      <w:r>
        <w:t xml:space="preserve">7.6.3 Screening</w:t>
      </w:r>
    </w:p>
    <w:p>
      <w:pPr>
        <w:pStyle w:val="FirstParagraph"/>
      </w:pPr>
      <w:r>
        <w:t xml:space="preserve">Clinical research coordinators will screen patient participants either as they arrive to the emergency department or using emergency department registers. The patients or their representatives will receive written information about the study before they are discharged, including about their right to opt out at any time before final analysis. Phone numbers for out of hospital follow up will be extracted from the emergency department registers, and will be securely held only by the clinical research coordinators at each sites.</w:t>
      </w:r>
    </w:p>
    <w:bookmarkEnd w:id="50"/>
    <w:bookmarkStart w:id="51" w:name="withdrawal-criteria"/>
    <w:p>
      <w:pPr>
        <w:pStyle w:val="Heading3"/>
      </w:pPr>
      <w:r>
        <w:t xml:space="preserve">7.6.4 Withdrawal criteria</w:t>
      </w:r>
    </w:p>
    <w:p>
      <w:pPr>
        <w:pStyle w:val="FirstParagraph"/>
      </w:pPr>
      <w:r>
        <w:t xml:space="preserve">Patient participants can choose to withdraw their consent for follow up at any time before the final analysis. If they withdraw their consent for follow up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51"/>
    <w:bookmarkEnd w:id="52"/>
    <w:bookmarkStart w:id="54" w:name="procedures"/>
    <w:p>
      <w:pPr>
        <w:pStyle w:val="Heading2"/>
      </w:pPr>
      <w:r>
        <w:t xml:space="preserve">7.7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3"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53"/>
    <w:bookmarkEnd w:id="54"/>
    <w:bookmarkStart w:id="55" w:name="biological-sampling-procedures"/>
    <w:p>
      <w:pPr>
        <w:pStyle w:val="Heading2"/>
      </w:pPr>
      <w:r>
        <w:t xml:space="preserve">7.8 Biological sampling procedures</w:t>
      </w:r>
    </w:p>
    <w:p>
      <w:pPr>
        <w:pStyle w:val="FirstParagraph"/>
      </w:pPr>
      <w:r>
        <w:t xml:space="preserve">This trial does not include biological sampling.</w:t>
      </w:r>
    </w:p>
    <w:bookmarkEnd w:id="55"/>
    <w:bookmarkStart w:id="56" w:name="end-of-trial"/>
    <w:p>
      <w:pPr>
        <w:pStyle w:val="Heading2"/>
      </w:pPr>
      <w:r>
        <w:t xml:space="preserve">7.9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6"/>
    <w:bookmarkStart w:id="60" w:name="intervention-and-control-treatment"/>
    <w:p>
      <w:pPr>
        <w:pStyle w:val="Heading2"/>
      </w:pPr>
      <w:r>
        <w:t xml:space="preserve">7.10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7" w:name="Xf02b29e15f63d0cbcdfc4516a30aea727e4ce25"/>
    <w:p>
      <w:pPr>
        <w:pStyle w:val="Heading3"/>
      </w:pPr>
      <w:r>
        <w:t xml:space="preserve">7.10.1 Description of investigational medicinal products</w:t>
      </w:r>
    </w:p>
    <w:p>
      <w:pPr>
        <w:pStyle w:val="FirstParagraph"/>
      </w:pPr>
      <w:r>
        <w:t xml:space="preserve">This trial does not include any investigational medicinal products.</w:t>
      </w:r>
    </w:p>
    <w:bookmarkEnd w:id="57"/>
    <w:bookmarkStart w:id="58" w:name="auxiliary-medicinal-products"/>
    <w:p>
      <w:pPr>
        <w:pStyle w:val="Heading3"/>
      </w:pPr>
      <w:r>
        <w:t xml:space="preserve">7.10.2 Auxiliary medicinal products</w:t>
      </w:r>
    </w:p>
    <w:p>
      <w:pPr>
        <w:pStyle w:val="FirstParagraph"/>
      </w:pPr>
      <w:r>
        <w:t xml:space="preserve">This trial does not include any auxiliary medicinal products.</w:t>
      </w:r>
    </w:p>
    <w:bookmarkEnd w:id="58"/>
    <w:bookmarkStart w:id="59" w:name="Xc2d650b6c6acd0528e005be9fdded9065220778"/>
    <w:p>
      <w:pPr>
        <w:pStyle w:val="Heading3"/>
      </w:pPr>
      <w:r>
        <w:t xml:space="preserve">7.10.3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9"/>
    <w:bookmarkEnd w:id="60"/>
    <w:bookmarkStart w:id="62" w:name="randomization"/>
    <w:p>
      <w:pPr>
        <w:pStyle w:val="Heading2"/>
      </w:pPr>
      <w:r>
        <w:t xml:space="preserve">7.11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61"/>
      </w:r>
      <w:r>
        <w:t xml:space="preserve">. We will balance the randomization within each batch on cluster size, defined as monthly volume of eligible patient participants, using covariate constrained randomization. The cluster sizes are expected to vary between 12 and 20 patients per month, based on our previous experiences.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62"/>
    <w:bookmarkStart w:id="63" w:name="blinding"/>
    <w:p>
      <w:pPr>
        <w:pStyle w:val="Heading2"/>
      </w:pPr>
      <w:r>
        <w:t xml:space="preserve">7.12 Blinding</w:t>
      </w:r>
    </w:p>
    <w:p>
      <w:pPr>
        <w:pStyle w:val="FirstParagraph"/>
      </w:pPr>
      <w:r>
        <w:t xml:space="preserve">It is not possible to blind a stepped-wedge trial, because all clusters receive the intervention.</w:t>
      </w:r>
    </w:p>
    <w:bookmarkEnd w:id="63"/>
    <w:bookmarkStart w:id="64" w:name="treatment-after-trial-end"/>
    <w:p>
      <w:pPr>
        <w:pStyle w:val="Heading2"/>
      </w:pPr>
      <w:r>
        <w:t xml:space="preserve">7.13 Treatment after trial end</w:t>
      </w:r>
    </w:p>
    <w:p>
      <w:pPr>
        <w:pStyle w:val="FirstParagraph"/>
      </w:pPr>
      <w:r>
        <w:t xml:space="preserve">When the trial ends, the intervention will have been implemented in all clusters.</w:t>
      </w:r>
    </w:p>
    <w:bookmarkEnd w:id="64"/>
    <w:bookmarkStart w:id="67" w:name="outcomes"/>
    <w:p>
      <w:pPr>
        <w:pStyle w:val="Heading2"/>
      </w:pPr>
      <w:r>
        <w:t xml:space="preserve">7.14 Outcomes</w:t>
      </w:r>
    </w:p>
    <w:bookmarkStart w:id="65" w:name="primary-outcome"/>
    <w:p>
      <w:pPr>
        <w:pStyle w:val="Heading3"/>
      </w:pPr>
      <w:r>
        <w:t xml:space="preserve">7.14.1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instead of in-hospital mortality because in-hospital mortality would not capture deaths in patients who are transferred to another hospital for admission.</w:t>
      </w:r>
    </w:p>
    <w:bookmarkEnd w:id="65"/>
    <w:bookmarkStart w:id="66" w:name="secondary-outcomes"/>
    <w:p>
      <w:pPr>
        <w:pStyle w:val="Heading3"/>
      </w:pPr>
      <w:r>
        <w:t xml:space="preserve">7.14.2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6"/>
    <w:bookmarkEnd w:id="67"/>
    <w:bookmarkStart w:id="74" w:name="handling-of-adverse-and-safety-events"/>
    <w:p>
      <w:pPr>
        <w:pStyle w:val="Heading2"/>
      </w:pPr>
      <w:r>
        <w:t xml:space="preserve">7.15 Handling of adverse and safety events</w:t>
      </w:r>
    </w:p>
    <w:bookmarkStart w:id="71" w:name="definitions"/>
    <w:p>
      <w:pPr>
        <w:pStyle w:val="Heading3"/>
      </w:pPr>
      <w:r>
        <w:t xml:space="preserve">7.15.1 Definitions</w:t>
      </w:r>
    </w:p>
    <w:bookmarkStart w:id="68" w:name="adverse-event"/>
    <w:p>
      <w:pPr>
        <w:pStyle w:val="Heading4"/>
      </w:pPr>
      <w:r>
        <w:t xml:space="preserve">7.15.1.1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8"/>
    <w:bookmarkStart w:id="69" w:name="serious-adverse-event"/>
    <w:p>
      <w:pPr>
        <w:pStyle w:val="Heading4"/>
      </w:pPr>
      <w:r>
        <w:t xml:space="preserve">7.15.1.2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9"/>
    <w:bookmarkStart w:id="70" w:name="safety-event"/>
    <w:p>
      <w:pPr>
        <w:pStyle w:val="Heading4"/>
      </w:pPr>
      <w:r>
        <w:t xml:space="preserve">7.15.1.3 Safety event</w:t>
      </w:r>
    </w:p>
    <w:p>
      <w:pPr>
        <w:pStyle w:val="FirstParagraph"/>
      </w:pPr>
      <w:r>
        <w:t xml:space="preserve">Any unexpected serious complication that might occur as a consequence of the trial and that are not part of the natural history of trauma.</w:t>
      </w:r>
    </w:p>
    <w:bookmarkEnd w:id="70"/>
    <w:bookmarkEnd w:id="71"/>
    <w:bookmarkStart w:id="72" w:name="Xe8021c2d0f171fd00b40703432ee87583bb2075"/>
    <w:p>
      <w:pPr>
        <w:pStyle w:val="Heading3"/>
      </w:pPr>
      <w:r>
        <w:t xml:space="preserve">7.15.2 Reporting and assessment of adverse and safety events</w:t>
      </w:r>
    </w:p>
    <w:p>
      <w:pPr>
        <w:pStyle w:val="FirstParagraph"/>
      </w:pPr>
      <w:r>
        <w:t xml:space="preserve">In alignment with other current trials including critically ill patients</w:t>
      </w:r>
      <w:r>
        <w:rPr>
          <w:vertAlign w:val="superscript"/>
        </w:rPr>
        <w:t xml:space="preserve">32</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Monitoring Committee.</w:t>
      </w:r>
    </w:p>
    <w:bookmarkEnd w:id="72"/>
    <w:bookmarkStart w:id="73" w:name="follow-up-of-safety-events"/>
    <w:p>
      <w:pPr>
        <w:pStyle w:val="Heading3"/>
      </w:pPr>
      <w:r>
        <w:t xml:space="preserve">7.15.3 Follow up of safety events</w:t>
      </w:r>
    </w:p>
    <w:p>
      <w:pPr>
        <w:pStyle w:val="FirstParagraph"/>
      </w:pPr>
      <w:r>
        <w:t xml:space="preserve">All safety events should be followed up by the local investigator until they are fully evaluated.</w:t>
      </w:r>
    </w:p>
    <w:bookmarkEnd w:id="73"/>
    <w:bookmarkEnd w:id="74"/>
    <w:bookmarkStart w:id="86" w:name="statistics"/>
    <w:p>
      <w:pPr>
        <w:pStyle w:val="Heading2"/>
      </w:pPr>
      <w:r>
        <w:t xml:space="preserve">7.16 Statistics</w:t>
      </w:r>
    </w:p>
    <w:bookmarkStart w:id="76" w:name="general-principles"/>
    <w:p>
      <w:pPr>
        <w:pStyle w:val="Heading3"/>
      </w:pPr>
      <w:r>
        <w:t xml:space="preserve">7.16.1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5"/>
      </w:r>
      <w:r>
        <w:t xml:space="preserve">. Additional subgroup analyses will include age across the groups older adolescents (15-19 years), young adults (20-24 years), adults (25-59 years), and older adults (60 years and older)</w:t>
      </w:r>
      <w:r>
        <w:rPr>
          <w:vertAlign w:val="superscript"/>
        </w:rPr>
        <w:t xml:space="preserve">33</w:t>
      </w:r>
      <w:r>
        <w:t xml:space="preserve">; sex; and the clinical cohorts blunt multisytem trauma, penetrating trauma, and severe isolated traumatic brain injury.</w:t>
      </w:r>
    </w:p>
    <w:bookmarkEnd w:id="76"/>
    <w:bookmarkStart w:id="77" w:name="analysis-models"/>
    <w:p>
      <w:pPr>
        <w:pStyle w:val="Heading3"/>
      </w:pPr>
      <w:r>
        <w:t xml:space="preserve">7.16.2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34</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7"/>
    <w:bookmarkStart w:id="78" w:name="additional-sensitivity-analyses"/>
    <w:p>
      <w:pPr>
        <w:pStyle w:val="Heading3"/>
      </w:pPr>
      <w:r>
        <w:t xml:space="preserve">7.16.3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8"/>
    <w:bookmarkStart w:id="79" w:name="X8ec26ac0c1a0fc3153cbf2da37e6e3209869316"/>
    <w:p>
      <w:pPr>
        <w:pStyle w:val="Heading3"/>
      </w:pPr>
      <w:r>
        <w:t xml:space="preserve">7.16.4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9"/>
    <w:bookmarkStart w:id="84" w:name="sample-size-calculations"/>
    <w:p>
      <w:pPr>
        <w:pStyle w:val="Heading3"/>
      </w:pPr>
      <w:r>
        <w:t xml:space="preserve">7.16.5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35,36</w:t>
      </w:r>
      <w:r>
        <w:t xml:space="preserve">, and a CAC of 0.9 but considered sensitivity across the range 0.8-1.0, based on our pilot study and current guidance</w:t>
      </w:r>
      <w:r>
        <w:rPr>
          <w:vertAlign w:val="superscript"/>
        </w:rPr>
        <w:t xml:space="preserve">37–39</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3" w:name="fig-power-curves"/>
          <w:p>
            <w:pPr>
              <w:jc w:val="center"/>
            </w:pPr>
            <w:r>
              <w:drawing>
                <wp:inline>
                  <wp:extent cx="5334000" cy="2363694"/>
                  <wp:effectExtent b="0" l="0" r="0" t="0"/>
                  <wp:docPr descr="" title="" id="81" name="Picture"/>
                  <a:graphic>
                    <a:graphicData uri="http://schemas.openxmlformats.org/drawingml/2006/picture">
                      <pic:pic>
                        <pic:nvPicPr>
                          <pic:cNvPr descr="./combined-power-curves.pdf" id="82" name="Picture"/>
                          <pic:cNvPicPr>
                            <a:picLocks noChangeArrowheads="1" noChangeAspect="1"/>
                          </pic:cNvPicPr>
                        </pic:nvPicPr>
                        <pic:blipFill>
                          <a:blip r:embed="rId80"/>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3"/>
        </w:tc>
      </w:tr>
    </w:tbl>
    <w:bookmarkEnd w:id="84"/>
    <w:bookmarkStart w:id="85" w:name="interim-analysis"/>
    <w:p>
      <w:pPr>
        <w:pStyle w:val="Heading3"/>
      </w:pPr>
      <w:r>
        <w:t xml:space="preserve">7.16.6 Interim analysis</w:t>
      </w:r>
    </w:p>
    <w:p>
      <w:pPr>
        <w:pStyle w:val="FirstParagraph"/>
      </w:pPr>
      <w:r>
        <w:t xml:space="preserve">There will be one interim analyses after half of the batches have completed the trial. The interim analyses will be assessed by the Data Monitoring Committee. The purposes of this interim analysis will be to:</w:t>
      </w:r>
    </w:p>
    <w:p>
      <w:pPr>
        <w:numPr>
          <w:ilvl w:val="0"/>
          <w:numId w:val="1009"/>
        </w:numPr>
        <w:pStyle w:val="Compact"/>
      </w:pPr>
      <w:r>
        <w:t xml:space="preserve">assess the trial’s feasibility and recommend stopping the trial if the trial is not feasible, for example if hospitals fail to adhere to the randomisation schedule or if there are substantial missing data in outcomes;</w:t>
      </w:r>
    </w:p>
    <w:p>
      <w:pPr>
        <w:numPr>
          <w:ilvl w:val="0"/>
          <w:numId w:val="1009"/>
        </w:numPr>
        <w:pStyle w:val="Compact"/>
      </w:pPr>
      <w:r>
        <w:t xml:space="preserve">assess if sample size calculations should be revised, primarily by increasing the number of clusters to be included; and</w:t>
      </w:r>
    </w:p>
    <w:p>
      <w:pPr>
        <w:numPr>
          <w:ilvl w:val="0"/>
          <w:numId w:val="1009"/>
        </w:numPr>
        <w:pStyle w:val="Compact"/>
      </w:pPr>
      <w:r>
        <w:t xml:space="preserve">compare characteristics across intervention conditions to monitor for differential recruitment/ascertainment between intervention and control.</w:t>
      </w:r>
    </w:p>
    <w:bookmarkEnd w:id="85"/>
    <w:bookmarkEnd w:id="86"/>
    <w:bookmarkStart w:id="87" w:name="quality-control-and-quality-assurance"/>
    <w:p>
      <w:pPr>
        <w:pStyle w:val="Heading2"/>
      </w:pPr>
      <w:r>
        <w:t xml:space="preserve">7.17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7"/>
    <w:bookmarkStart w:id="88" w:name="quality-assurance-and-oversight"/>
    <w:p>
      <w:pPr>
        <w:pStyle w:val="Heading2"/>
      </w:pPr>
      <w:r>
        <w:t xml:space="preserve">7.18 Quality assurance and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8"/>
    <w:bookmarkStart w:id="89" w:name="monitoring"/>
    <w:p>
      <w:pPr>
        <w:pStyle w:val="Heading2"/>
      </w:pPr>
      <w:r>
        <w:t xml:space="preserve">7.19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9"/>
    <w:bookmarkEnd w:id="90"/>
    <w:bookmarkStart w:id="91" w:name="Xc375ff589a212c40edd22855353d68d440706fb"/>
    <w:p>
      <w:pPr>
        <w:pStyle w:val="Heading1"/>
      </w:pPr>
      <w:r>
        <w:t xml:space="preserve">8.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1"/>
    <w:bookmarkStart w:id="92" w:name="audits-and-inspections"/>
    <w:p>
      <w:pPr>
        <w:pStyle w:val="Heading1"/>
      </w:pPr>
      <w:r>
        <w:t xml:space="preserve">9.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2"/>
    <w:bookmarkStart w:id="97" w:name="ethics"/>
    <w:p>
      <w:pPr>
        <w:pStyle w:val="Heading1"/>
      </w:pPr>
      <w:r>
        <w:t xml:space="preserve">10. Ethics</w:t>
      </w:r>
    </w:p>
    <w:bookmarkStart w:id="93" w:name="Xe0806e4a59e9522910932ff33dfe2dc5d651a67"/>
    <w:p>
      <w:pPr>
        <w:pStyle w:val="Heading2"/>
      </w:pPr>
      <w:r>
        <w:t xml:space="preserve">10.1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3"/>
    <w:bookmarkStart w:id="94" w:name="ethical-review-of-the-trial"/>
    <w:p>
      <w:pPr>
        <w:pStyle w:val="Heading2"/>
      </w:pPr>
      <w:r>
        <w:t xml:space="preserve">10.2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4"/>
    <w:bookmarkStart w:id="95" w:name="procedure-for-obtaining-consent"/>
    <w:p>
      <w:pPr>
        <w:pStyle w:val="Heading2"/>
      </w:pPr>
      <w:r>
        <w:t xml:space="preserve">10.3 Procedure for obtaining consent</w:t>
      </w:r>
    </w:p>
    <w:p>
      <w:pPr>
        <w:pStyle w:val="FirstParagraph"/>
      </w:pPr>
      <w:r>
        <w:t xml:space="preserve">In this trial, consent refers to consent for data collection. It is not possible for patients to opt out from being subjected to the intervention, as the intervention is delivered at the cluster level and involves training physicians in ATLS</w:t>
      </w:r>
      <w:r>
        <w:rPr>
          <w:vertAlign w:val="superscript"/>
        </w:rPr>
        <w:t xml:space="preserve">®</w:t>
      </w:r>
      <w:r>
        <w:t xml:space="preserve">, and these physicians cannot be expected to temporarily forget their training. Patient participants will be included in this trial under the following modes of informed consent:</w:t>
      </w:r>
    </w:p>
    <w:p>
      <w:pPr>
        <w:numPr>
          <w:ilvl w:val="0"/>
          <w:numId w:val="1010"/>
        </w:numPr>
        <w:pStyle w:val="Compact"/>
      </w:pPr>
      <w:r>
        <w:t xml:space="preserve">Opt out consent for</w:t>
      </w:r>
      <w:r>
        <w:t xml:space="preserve"> </w:t>
      </w:r>
      <w:r>
        <w:rPr>
          <w:bCs/>
          <w:b/>
        </w:rPr>
        <w:t xml:space="preserve">in-hospital data collection</w:t>
      </w:r>
      <w:r>
        <w:t xml:space="preserve">. Consent for in-hospital data collection by interview or extraction of routinely collected information from medical records will be presumed unless actively declined. This approach is justified because the trial can be considered minimal risk and because data collection will be non-invasive. The patients or their legally authorized representative will be provided with written information about the study on their arrival at the hospital.</w:t>
      </w:r>
    </w:p>
    <w:p>
      <w:pPr>
        <w:numPr>
          <w:ilvl w:val="0"/>
          <w:numId w:val="1010"/>
        </w:numPr>
        <w:pStyle w:val="Compact"/>
      </w:pPr>
      <w:r>
        <w:t xml:space="preserve">Opt in consent for</w:t>
      </w:r>
      <w:r>
        <w:t xml:space="preserve"> </w:t>
      </w:r>
      <w:r>
        <w:rPr>
          <w:bCs/>
          <w:b/>
        </w:rPr>
        <w:t xml:space="preserve">follow-up data collection</w:t>
      </w:r>
      <w:r>
        <w:t xml:space="preserve">. Informed consent for follow-up data collection by telephonic interviews will be actively sought from patient participants or their legally authorized representative. The clinical research coordinators will approach patients or patient representatives to obtain consent after admission. The consent will be written for patient participants who are admitted to the hospital and verbal for participants who are transferred or discharged before the clinical research coordinators have had an opportunity to approach them. The verbal consent will be audio recorded.</w:t>
      </w:r>
    </w:p>
    <w:p>
      <w:pPr>
        <w:numPr>
          <w:ilvl w:val="0"/>
          <w:numId w:val="1010"/>
        </w:numPr>
        <w:pStyle w:val="Compact"/>
      </w:pPr>
      <w:r>
        <w:t xml:space="preserve">Opt in assent for</w:t>
      </w:r>
      <w:r>
        <w:t xml:space="preserve"> </w:t>
      </w:r>
      <w:r>
        <w:rPr>
          <w:bCs/>
          <w:b/>
        </w:rPr>
        <w:t xml:space="preserve">follow-up data collection</w:t>
      </w:r>
      <w:r>
        <w:t xml:space="preserve"> </w:t>
      </w:r>
      <w:r>
        <w:t xml:space="preserve">for participants who are minors. Informed assent for follow-up data collection by telephonic interviews will be obtained from participants who are minors, in addition to consent from their guardian or legally authorized representative.</w:t>
      </w:r>
    </w:p>
    <w:p>
      <w:pPr>
        <w:numPr>
          <w:ilvl w:val="0"/>
          <w:numId w:val="1010"/>
        </w:numPr>
        <w:pStyle w:val="Compact"/>
      </w:pPr>
      <w:r>
        <w:t xml:space="preserve">Waiver of informed consent for patients who are unconscious or otherwise unable to provide consent and do not have a legally authorized representative. This group represents the most severly injured patients and they have to be included to make the trial representative of the entire population of trauma patients. Patients participants who regain consciousness will be informed about the study and asked for consent for follow-up data collection.</w:t>
      </w:r>
    </w:p>
    <w:bookmarkEnd w:id="95"/>
    <w:bookmarkStart w:id="96" w:name="data-protection"/>
    <w:p>
      <w:pPr>
        <w:pStyle w:val="Heading2"/>
      </w:pPr>
      <w:r>
        <w:t xml:space="preserve">10.4 Data protection</w:t>
      </w:r>
    </w:p>
    <w:p>
      <w:pPr>
        <w:pStyle w:val="FirstParagraph"/>
      </w:pPr>
      <w:r>
        <w:t xml:space="preserve">All data will be handled according to the Indian Council of Medical Research’s guidelines and standard operating procedures of the George Institute for Global Health India on data security and protection. Trial data will be 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 The participant information sheet provided to participants, will inform them how:</w:t>
      </w:r>
    </w:p>
    <w:p>
      <w:pPr>
        <w:numPr>
          <w:ilvl w:val="0"/>
          <w:numId w:val="1011"/>
        </w:numPr>
        <w:pStyle w:val="Compact"/>
      </w:pPr>
      <w:r>
        <w:t xml:space="preserve">the trial data will be collected, used and disclosed;</w:t>
      </w:r>
    </w:p>
    <w:p>
      <w:pPr>
        <w:numPr>
          <w:ilvl w:val="0"/>
          <w:numId w:val="1011"/>
        </w:numPr>
        <w:pStyle w:val="Compact"/>
      </w:pPr>
      <w:r>
        <w:t xml:space="preserve">how trial data are stored to maintain confidentiality in accordance with national data legislation; and</w:t>
      </w:r>
    </w:p>
    <w:p>
      <w:pPr>
        <w:numPr>
          <w:ilvl w:val="0"/>
          <w:numId w:val="1011"/>
        </w:numPr>
        <w:pStyle w:val="Compact"/>
      </w:pPr>
      <w:r>
        <w:t xml:space="preserve">for verification of the data, representatives delegated by the sponsor, as well as relevant authorities, may require access to parts of medical records or trial records that are relevant to the trial, including the patient participant’s medical history.</w:t>
      </w:r>
    </w:p>
    <w:bookmarkEnd w:id="96"/>
    <w:bookmarkEnd w:id="97"/>
    <w:bookmarkStart w:id="98" w:name="insurances"/>
    <w:p>
      <w:pPr>
        <w:pStyle w:val="Heading1"/>
      </w:pPr>
      <w:r>
        <w:t xml:space="preserve">11. Insurances</w:t>
      </w:r>
    </w:p>
    <w:p>
      <w:pPr>
        <w:pStyle w:val="FirstParagraph"/>
      </w:pPr>
      <w:r>
        <w:t xml:space="preserve">The George Institute for Global Health, India is responsible for ensuring that any insurance cover required to cover the set-up, management and conduct of the study in India has been obtained. The George Institute for Global Health, India is also responsible for ensuring that India Sites have been obtained and/or will obtain insurance prior to the opening of the study in India and shall be maintained for the duration of the study and for an appropriate period thereafter. This includes being responsible for ensuring that there is appropriate insurance for the duration of the study to cover against claims for compensation by participants arising out of their participation in the trial in India. Compensation in case of injury or death will be provided by the George Institute for Global Health, India according to the regulations outlined in rules 39, 40 and 42 of the New Drugs and Clinical Rules (2019). x</w:t>
      </w:r>
    </w:p>
    <w:bookmarkEnd w:id="98"/>
    <w:bookmarkStart w:id="99" w:name="substantial-changes-to-the-trial"/>
    <w:p>
      <w:pPr>
        <w:pStyle w:val="Heading1"/>
      </w:pPr>
      <w:r>
        <w:t xml:space="preserve">12.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9"/>
    <w:bookmarkStart w:id="110" w:name="Xc17b41b20b820bca94d2a36ea19933b641b018a"/>
    <w:p>
      <w:pPr>
        <w:pStyle w:val="Heading1"/>
      </w:pPr>
      <w:r>
        <w:t xml:space="preserve">13. Collection, handling, and archiving of data</w:t>
      </w:r>
    </w:p>
    <w:p>
      <w:pPr>
        <w:pStyle w:val="FirstParagraph"/>
      </w:pPr>
      <w:r>
        <w:t xml:space="preserve">Clinical research coordinators will collect data using a paper based CRF (see Appendix</w:t>
      </w:r>
      <w:r>
        <w:t xml:space="preserve"> </w:t>
      </w:r>
      <w:hyperlink w:anchor="sec-appendix-case-record-form">
        <w:r>
          <w:rPr>
            <w:rStyle w:val="Hyperlink"/>
          </w:rPr>
          <w:t xml:space="preserve">Section 19.3</w:t>
        </w:r>
      </w:hyperlink>
      <w:r>
        <w:t xml:space="preserve">), which is then transferred to an eCRF. All trial data in the CRF must be extracted from and be consistent with the relevant source documents. The eCRF will be accessible to trial coordinators, data managers, the Investigators, Clinical Trial Monitors, Auditors, and Inspectors as required. All data will be registered, managed, and stored in a manner that enables correct reporting, interpretation, and verification. The complete Trial Master File, as well as source documents, will be archived for at least 10 years after the trial is completed. Source data in the medical records system are stored and archived in accordance with national regulations. Metadata will be publicly accessible via a persistent DOI, and anonymised data will be released upon project completion. A detailed data management plan is available here</w:t>
      </w:r>
      <w:r>
        <w:t xml:space="preserve"> </w:t>
      </w:r>
      <w:hyperlink r:id="rId100">
        <w:r>
          <w:rPr>
            <w:rStyle w:val="Hyperlink"/>
          </w:rPr>
          <w:t xml:space="preserve">https://doi.org/10.5281/zenodo.7748764</w:t>
        </w:r>
      </w:hyperlink>
      <w:r>
        <w:t xml:space="preserve">.</w:t>
      </w:r>
    </w:p>
    <w:bookmarkStart w:id="101" w:name="source-data"/>
    <w:p>
      <w:pPr>
        <w:pStyle w:val="Heading2"/>
      </w:pPr>
      <w:r>
        <w:t xml:space="preserve">13.1 Source data</w:t>
      </w:r>
    </w:p>
    <w:p>
      <w:pPr>
        <w:pStyle w:val="FirstParagraph"/>
      </w:pPr>
      <w:r>
        <w:t xml:space="preserve">The source data for each variable is given in</w:t>
      </w:r>
      <w:r>
        <w:t xml:space="preserve"> </w:t>
      </w:r>
      <w:hyperlink w:anchor="sec-variables">
        <w:r>
          <w:rPr>
            <w:rStyle w:val="Hyperlink"/>
          </w:rPr>
          <w:t xml:space="preserve">Section 13.2</w:t>
        </w:r>
      </w:hyperlink>
      <w:r>
        <w:t xml:space="preserve">. Whenever medical records are the source data, this includes imaging and lab reports. Whenever an interview is given as the source, the CRF will constitute the source data, as this is where the responses to questions will be recorded. The local investigator must keep source documents for each patient participant in the trial. A document describing what has been classified as source data in the trial (source data reference document) will be included in the Investigator Site File (ISF). The investigator must ensure that all source documents are accessible for monitoring and other quality control activities. Source data is further defined before trial start at each individual site and can, in cases where source data is not registered in another document, consist of the CRF. This should be decided in consultation with the monitor and clearly stated in the source data reference document. Access to trial-related documentation, such as patient participants’ medical records, CRFs, other source data and other trial documentation will be provided for monitoring and auditing purposes. Access will also be granted in the context of regulatory inspections.</w:t>
      </w:r>
    </w:p>
    <w:bookmarkEnd w:id="101"/>
    <w:bookmarkStart w:id="109" w:name="sec-variables"/>
    <w:p>
      <w:pPr>
        <w:pStyle w:val="Heading2"/>
      </w:pPr>
      <w:r>
        <w:t xml:space="preserve">13.2 Variables</w:t>
      </w:r>
    </w:p>
    <w:bookmarkStart w:id="102" w:name="baseline"/>
    <w:p>
      <w:pPr>
        <w:pStyle w:val="Heading3"/>
      </w:pPr>
      <w:r>
        <w:t xml:space="preserve">13.2.1 Baseline</w:t>
      </w:r>
    </w:p>
    <w:p>
      <w:pPr>
        <w:numPr>
          <w:ilvl w:val="0"/>
          <w:numId w:val="1012"/>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2"/>
    <w:bookmarkStart w:id="103" w:name="pre-hospital-data"/>
    <w:p>
      <w:pPr>
        <w:pStyle w:val="Heading3"/>
      </w:pPr>
      <w:r>
        <w:t xml:space="preserve">13.2.2 Pre-Hospital Data</w:t>
      </w:r>
    </w:p>
    <w:p>
      <w:pPr>
        <w:numPr>
          <w:ilvl w:val="0"/>
          <w:numId w:val="1013"/>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3"/>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3"/>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3"/>
    <w:bookmarkStart w:id="104" w:name="emergency-department-data"/>
    <w:p>
      <w:pPr>
        <w:pStyle w:val="Heading3"/>
      </w:pPr>
      <w:r>
        <w:t xml:space="preserve">13.2.3 Emergency Department Data</w:t>
      </w:r>
    </w:p>
    <w:p>
      <w:pPr>
        <w:numPr>
          <w:ilvl w:val="0"/>
          <w:numId w:val="1014"/>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4"/>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4"/>
    <w:bookmarkStart w:id="105" w:name="hospital-data"/>
    <w:p>
      <w:pPr>
        <w:pStyle w:val="Heading3"/>
      </w:pPr>
      <w:r>
        <w:t xml:space="preserve">13.2.4 Hospital Data</w:t>
      </w:r>
    </w:p>
    <w:p>
      <w:pPr>
        <w:numPr>
          <w:ilvl w:val="0"/>
          <w:numId w:val="1015"/>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5"/>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5"/>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5"/>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5"/>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5"/>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5"/>
    <w:bookmarkStart w:id="106" w:name="injury-data"/>
    <w:p>
      <w:pPr>
        <w:pStyle w:val="Heading3"/>
      </w:pPr>
      <w:r>
        <w:t xml:space="preserve">13.2.5 Injury Data</w:t>
      </w:r>
    </w:p>
    <w:p>
      <w:pPr>
        <w:numPr>
          <w:ilvl w:val="0"/>
          <w:numId w:val="1016"/>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6"/>
    <w:bookmarkStart w:id="107" w:name="outcomes-1"/>
    <w:p>
      <w:pPr>
        <w:pStyle w:val="Heading3"/>
      </w:pPr>
      <w:r>
        <w:t xml:space="preserve">13.2.6 Outcomes</w:t>
      </w:r>
    </w:p>
    <w:p>
      <w:pPr>
        <w:numPr>
          <w:ilvl w:val="0"/>
          <w:numId w:val="1017"/>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7"/>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7"/>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7"/>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7"/>
    <w:bookmarkStart w:id="108" w:name="safety-events"/>
    <w:p>
      <w:pPr>
        <w:pStyle w:val="Heading3"/>
      </w:pPr>
      <w:r>
        <w:t xml:space="preserve">13.2.7 Safety Events</w:t>
      </w:r>
    </w:p>
    <w:p>
      <w:pPr>
        <w:numPr>
          <w:ilvl w:val="0"/>
          <w:numId w:val="1018"/>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8"/>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8"/>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08"/>
    <w:bookmarkEnd w:id="109"/>
    <w:bookmarkEnd w:id="110"/>
    <w:bookmarkStart w:id="119" w:name="trial-organisation"/>
    <w:p>
      <w:pPr>
        <w:pStyle w:val="Heading1"/>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114" w:name="fig-organisation-overview"/>
          <w:p>
            <w:pPr>
              <w:jc w:val="center"/>
            </w:pPr>
            <w:r>
              <w:drawing>
                <wp:inline>
                  <wp:extent cx="3200400" cy="3312348"/>
                  <wp:effectExtent b="0" l="0" r="0" t="0"/>
                  <wp:docPr descr="" title="" id="112" name="Picture"/>
                  <a:graphic>
                    <a:graphicData uri="http://schemas.openxmlformats.org/drawingml/2006/picture">
                      <pic:pic>
                        <pic:nvPicPr>
                          <pic:cNvPr descr="../shared-assets/trial-organisation-overview-figure.png" id="113" name="Picture"/>
                          <pic:cNvPicPr>
                            <a:picLocks noChangeArrowheads="1" noChangeAspect="1"/>
                          </pic:cNvPicPr>
                        </pic:nvPicPr>
                        <pic:blipFill>
                          <a:blip r:embed="rId111"/>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Trial organisation overview.</w:t>
            </w:r>
          </w:p>
          <w:bookmarkEnd w:id="114"/>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4</w:t>
        </w:r>
      </w:hyperlink>
      <w:r>
        <w:t xml:space="preserve">. Details about each committee and group are available in their respective charter.</w:t>
      </w:r>
    </w:p>
    <w:bookmarkStart w:id="115" w:name="trial-team"/>
    <w:p>
      <w:pPr>
        <w:pStyle w:val="Heading2"/>
      </w:pPr>
      <w:r>
        <w:t xml:space="preserve">14.1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115"/>
    <w:bookmarkStart w:id="116" w:name="trial-management-group-tmg"/>
    <w:p>
      <w:pPr>
        <w:pStyle w:val="Heading2"/>
      </w:pPr>
      <w:r>
        <w:t xml:space="preserve">14.2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116"/>
    <w:bookmarkStart w:id="117" w:name="trial-steering-committee-tsc"/>
    <w:p>
      <w:pPr>
        <w:pStyle w:val="Heading2"/>
      </w:pPr>
      <w:r>
        <w:t xml:space="preserve">14.3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117"/>
    <w:bookmarkStart w:id="118" w:name="data-monitoring-committee-dmc"/>
    <w:p>
      <w:pPr>
        <w:pStyle w:val="Heading2"/>
      </w:pPr>
      <w:r>
        <w:t xml:space="preserve">14.4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118"/>
    <w:bookmarkEnd w:id="119"/>
    <w:bookmarkStart w:id="120" w:name="funding"/>
    <w:p>
      <w:pPr>
        <w:pStyle w:val="Heading1"/>
      </w:pPr>
      <w:r>
        <w:t xml:space="preserve">15. Funding</w:t>
      </w:r>
    </w:p>
    <w:p>
      <w:pPr>
        <w:numPr>
          <w:ilvl w:val="0"/>
          <w:numId w:val="1019"/>
        </w:numPr>
        <w:pStyle w:val="Compact"/>
      </w:pPr>
      <w:r>
        <w:t xml:space="preserve">Swedish Research Council (reg. no. 2023-03128)</w:t>
      </w:r>
    </w:p>
    <w:p>
      <w:pPr>
        <w:numPr>
          <w:ilvl w:val="0"/>
          <w:numId w:val="1019"/>
        </w:numPr>
        <w:pStyle w:val="Compact"/>
      </w:pPr>
      <w:r>
        <w:t xml:space="preserve">Laerdal Foundation (reg. no. 2023-0297)</w:t>
      </w:r>
    </w:p>
    <w:bookmarkEnd w:id="120"/>
    <w:bookmarkStart w:id="123" w:name="special-considerations"/>
    <w:p>
      <w:pPr>
        <w:pStyle w:val="Heading1"/>
      </w:pPr>
      <w:r>
        <w:t xml:space="preserve">16. Special considerations</w:t>
      </w:r>
    </w:p>
    <w:bookmarkStart w:id="121" w:name="funding-1"/>
    <w:p>
      <w:pPr>
        <w:pStyle w:val="Heading2"/>
      </w:pPr>
      <w:r>
        <w:t xml:space="preserve">16.1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121"/>
    <w:bookmarkStart w:id="122" w:name="potential-amendments"/>
    <w:p>
      <w:pPr>
        <w:pStyle w:val="Heading2"/>
      </w:pPr>
      <w:r>
        <w:t xml:space="preserve">16.2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122"/>
    <w:bookmarkEnd w:id="123"/>
    <w:bookmarkStart w:id="124" w:name="Xa02c8ea30126bed8a88472fd16e8658d6d979bd"/>
    <w:p>
      <w:pPr>
        <w:pStyle w:val="Heading1"/>
      </w:pPr>
      <w:r>
        <w:t xml:space="preserve">17. Notification of trial completion, reporting, and publication</w:t>
      </w:r>
    </w:p>
    <w:p>
      <w:pPr>
        <w:pStyle w:val="FirstParagraph"/>
      </w:pPr>
      <w:r>
        <w:t xml:space="preserve">The trial will be reported to the Funders within a year of completion. The results of the trial will also be prepared as manuscripts for publication. Authorship on trial manuscripts will be based on the International Committee of Medical Journal Editors (ICMJE) criteria</w:t>
      </w:r>
      <w:r>
        <w:rPr>
          <w:vertAlign w:val="superscript"/>
        </w:rPr>
        <w:t xml:space="preserve">40</w:t>
      </w:r>
      <w:r>
        <w:t xml:space="preserve">:</w:t>
      </w:r>
    </w:p>
    <w:p>
      <w:pPr>
        <w:numPr>
          <w:ilvl w:val="0"/>
          <w:numId w:val="1020"/>
        </w:numPr>
        <w:pStyle w:val="Compact"/>
      </w:pPr>
      <w:r>
        <w:t xml:space="preserve">Substantial contributions to the conception or design of the work; or the acquisition, analysis, or interpretation of data for the work; AND</w:t>
      </w:r>
    </w:p>
    <w:p>
      <w:pPr>
        <w:numPr>
          <w:ilvl w:val="0"/>
          <w:numId w:val="1020"/>
        </w:numPr>
        <w:pStyle w:val="Compact"/>
      </w:pPr>
      <w:r>
        <w:t xml:space="preserve">Drafting the work or reviewing it critically for important intellectual content; AND</w:t>
      </w:r>
    </w:p>
    <w:p>
      <w:pPr>
        <w:numPr>
          <w:ilvl w:val="0"/>
          <w:numId w:val="1020"/>
        </w:numPr>
        <w:pStyle w:val="Compact"/>
      </w:pPr>
      <w:r>
        <w:t xml:space="preserve">Final approval of the version to be published; AND</w:t>
      </w:r>
    </w:p>
    <w:p>
      <w:pPr>
        <w:numPr>
          <w:ilvl w:val="0"/>
          <w:numId w:val="1020"/>
        </w:numPr>
        <w:pStyle w:val="Compact"/>
      </w:pPr>
      <w:r>
        <w:t xml:space="preserve">Agreement to be accountable for all aspects of the work in ensuring that questions related to the accuracy or integrity of any part of the work are appropriately investigated and resolved.</w:t>
      </w:r>
    </w:p>
    <w:p>
      <w:pPr>
        <w:pStyle w:val="BlockText"/>
      </w:pPr>
      <w:r>
        <w:t xml:space="preserve">In addition to being accountable for the parts of the work done, an author should be able to identify which co-authors are responsible for specific other parts of the work. In addition, authors should have confidence in the integrity of the contributions of their co-authors.</w:t>
      </w:r>
    </w:p>
    <w:p>
      <w:pPr>
        <w:pStyle w:val="FirstParagraph"/>
      </w:pPr>
      <w:r>
        <w:t xml:space="preserve">The most recent version of the ICMJE criteria will be adhered to. We will also use the ICMJE criteria for non-author contributorship.</w:t>
      </w:r>
    </w:p>
    <w:p>
      <w:pPr>
        <w:pStyle w:val="BodyText"/>
      </w:pPr>
      <w:r>
        <w:t xml:space="preserve">Before work on a trial manuscript is initiated, a writing group will be formed and first and last authors will be designated. This writing group will be formed by discussion in the Trial Management Group.</w:t>
      </w:r>
    </w:p>
    <w:bookmarkEnd w:id="124"/>
    <w:bookmarkStart w:id="166" w:name="references"/>
    <w:p>
      <w:pPr>
        <w:pStyle w:val="Heading1"/>
      </w:pPr>
      <w:r>
        <w:t xml:space="preserve">18. References</w:t>
      </w:r>
    </w:p>
    <w:bookmarkStart w:id="165" w:name="refs"/>
    <w:bookmarkStart w:id="125" w:name="ref-injuries2020"/>
    <w:p>
      <w:pPr>
        <w:pStyle w:val="Bibliography"/>
      </w:pPr>
      <w:r>
        <w:t xml:space="preserve">1.</w:t>
      </w:r>
      <w:r>
        <w:t xml:space="preserve"> </w:t>
      </w:r>
      <w:r>
        <w:t xml:space="preserve">	</w:t>
      </w:r>
      <w:r>
        <w:t xml:space="preserve">GBD 2019 Diseases and Injuries Collaborators. Injuries—level 1 cause.</w:t>
      </w:r>
      <w:r>
        <w:t xml:space="preserve"> </w:t>
      </w:r>
      <w:r>
        <w:rPr>
          <w:iCs/>
          <w:i/>
        </w:rPr>
        <w:t xml:space="preserve">The Lancet</w:t>
      </w:r>
      <w:r>
        <w:t xml:space="preserve"> </w:t>
      </w:r>
      <w:r>
        <w:rPr>
          <w:bCs/>
          <w:b/>
        </w:rPr>
        <w:t xml:space="preserve">396</w:t>
      </w:r>
      <w:r>
        <w:t xml:space="preserve">, (2020).</w:t>
      </w:r>
    </w:p>
    <w:bookmarkEnd w:id="125"/>
    <w:bookmarkStart w:id="126" w:name="ref-GBD2020"/>
    <w:p>
      <w:pPr>
        <w:pStyle w:val="Bibliography"/>
      </w:pPr>
      <w:r>
        <w:t xml:space="preserve">2.</w:t>
      </w:r>
      <w:r>
        <w:t xml:space="preserve"> </w:t>
      </w:r>
      <w:r>
        <w:t xml:space="preserve">	</w:t>
      </w:r>
      <w:r>
        <w:t xml:space="preserve">GBD 2019 Diseases and Injuries Collaborators. Global burden of 369 diseases and injuries in 204 countries and territories, 1990–2019: A systematic analysis for the global burden of disease study 2019.</w:t>
      </w:r>
      <w:r>
        <w:t xml:space="preserve"> </w:t>
      </w:r>
      <w:r>
        <w:rPr>
          <w:iCs/>
          <w:i/>
        </w:rPr>
        <w:t xml:space="preserve">The Lancet</w:t>
      </w:r>
      <w:r>
        <w:t xml:space="preserve"> </w:t>
      </w:r>
      <w:r>
        <w:rPr>
          <w:bCs/>
          <w:b/>
        </w:rPr>
        <w:t xml:space="preserve">396</w:t>
      </w:r>
      <w:r>
        <w:t xml:space="preserve">, 1204–1222 (2020).</w:t>
      </w:r>
    </w:p>
    <w:bookmarkEnd w:id="126"/>
    <w:bookmarkStart w:id="127"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Changes in the temporal distribution of in-hospital mortality in severely injured patients—an analysis of the TraumaRegister DGU.</w:t>
      </w:r>
      <w:r>
        <w:t xml:space="preserve"> </w:t>
      </w:r>
      <w:r>
        <w:rPr>
          <w:iCs/>
          <w:i/>
        </w:rPr>
        <w:t xml:space="preserve">PLOS ONE</w:t>
      </w:r>
      <w:r>
        <w:t xml:space="preserve"> </w:t>
      </w:r>
      <w:r>
        <w:rPr>
          <w:bCs/>
          <w:b/>
        </w:rPr>
        <w:t xml:space="preserve">14</w:t>
      </w:r>
      <w:r>
        <w:t xml:space="preserve">, e0212095 (2019).</w:t>
      </w:r>
    </w:p>
    <w:bookmarkEnd w:id="127"/>
    <w:bookmarkStart w:id="128" w:name="ref-Roy2017"/>
    <w:p>
      <w:pPr>
        <w:pStyle w:val="Bibliography"/>
      </w:pPr>
      <w:r>
        <w:t xml:space="preserve">4.</w:t>
      </w:r>
      <w:r>
        <w:t xml:space="preserve"> </w:t>
      </w:r>
      <w:r>
        <w:t xml:space="preserve">	</w:t>
      </w:r>
      <w:r>
        <w:t xml:space="preserve">Roy, N.</w:t>
      </w:r>
      <w:r>
        <w:t xml:space="preserve"> </w:t>
      </w:r>
      <w:r>
        <w:rPr>
          <w:iCs/>
          <w:i/>
        </w:rPr>
        <w:t xml:space="preserve">et al.</w:t>
      </w:r>
      <w:r>
        <w:t xml:space="preserve"> Learning from 2523 trauma deaths in india- opportunities to prevent in-hospital deaths.</w:t>
      </w:r>
      <w:r>
        <w:t xml:space="preserve"> </w:t>
      </w:r>
      <w:r>
        <w:rPr>
          <w:iCs/>
          <w:i/>
        </w:rPr>
        <w:t xml:space="preserve">BMC Health Serv Res</w:t>
      </w:r>
      <w:r>
        <w:t xml:space="preserve"> </w:t>
      </w:r>
      <w:r>
        <w:rPr>
          <w:bCs/>
          <w:b/>
        </w:rPr>
        <w:t xml:space="preserve">17</w:t>
      </w:r>
      <w:r>
        <w:t xml:space="preserve">, (2017).</w:t>
      </w:r>
    </w:p>
    <w:bookmarkEnd w:id="128"/>
    <w:bookmarkStart w:id="129"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The why and how our trauma patients die: A prospective multicenter western trauma association study.</w:t>
      </w:r>
      <w:r>
        <w:t xml:space="preserve"> </w:t>
      </w:r>
      <w:r>
        <w:rPr>
          <w:iCs/>
          <w:i/>
        </w:rPr>
        <w:t xml:space="preserve">J Trauma.</w:t>
      </w:r>
      <w:r>
        <w:t xml:space="preserve"> </w:t>
      </w:r>
      <w:r>
        <w:rPr>
          <w:bCs/>
          <w:b/>
        </w:rPr>
        <w:t xml:space="preserve">86</w:t>
      </w:r>
      <w:r>
        <w:t xml:space="preserve">, 864–870 (2019).</w:t>
      </w:r>
    </w:p>
    <w:bookmarkEnd w:id="129"/>
    <w:bookmarkStart w:id="130"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Analysis of preventable deaths and errors in trauma care in a scandinavian trauma level-i centre.</w:t>
      </w:r>
      <w:r>
        <w:t xml:space="preserve"> </w:t>
      </w:r>
      <w:r>
        <w:rPr>
          <w:iCs/>
          <w:i/>
        </w:rPr>
        <w:t xml:space="preserve">Acta Anaesthesiol Scand</w:t>
      </w:r>
      <w:r>
        <w:t xml:space="preserve"> </w:t>
      </w:r>
      <w:r>
        <w:rPr>
          <w:bCs/>
          <w:b/>
        </w:rPr>
        <w:t xml:space="preserve">62</w:t>
      </w:r>
      <w:r>
        <w:t xml:space="preserve">, 1146–1153 (2018).</w:t>
      </w:r>
    </w:p>
    <w:bookmarkEnd w:id="130"/>
    <w:bookmarkStart w:id="131"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Educational and clinical impact of advanced trauma life support (ATLS) courses: A systematic review.</w:t>
      </w:r>
      <w:r>
        <w:t xml:space="preserve"> </w:t>
      </w:r>
      <w:r>
        <w:rPr>
          <w:iCs/>
          <w:i/>
        </w:rPr>
        <w:t xml:space="preserve">World J. Surg.</w:t>
      </w:r>
      <w:r>
        <w:t xml:space="preserve"> </w:t>
      </w:r>
      <w:r>
        <w:rPr>
          <w:bCs/>
          <w:b/>
        </w:rPr>
        <w:t xml:space="preserve">38</w:t>
      </w:r>
      <w:r>
        <w:t xml:space="preserve">, 322–329 (2013).</w:t>
      </w:r>
    </w:p>
    <w:bookmarkEnd w:id="131"/>
    <w:bookmarkStart w:id="132"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Advanced trauma life support training for hospital staff.</w:t>
      </w:r>
      <w:r>
        <w:t xml:space="preserve"> </w:t>
      </w:r>
      <w:r>
        <w:rPr>
          <w:iCs/>
          <w:i/>
        </w:rPr>
        <w:t xml:space="preserve">Cochrane Database Syst Rev</w:t>
      </w:r>
      <w:r>
        <w:t xml:space="preserve"> </w:t>
      </w:r>
      <w:r>
        <w:t xml:space="preserve">(2014).</w:t>
      </w:r>
    </w:p>
    <w:bookmarkEnd w:id="132"/>
    <w:bookmarkStart w:id="133"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Are primary trauma care (PTC) courses beneficial in low- and middle-income countries - a systematic review.</w:t>
      </w:r>
      <w:r>
        <w:t xml:space="preserve"> </w:t>
      </w:r>
      <w:r>
        <w:rPr>
          <w:iCs/>
          <w:i/>
        </w:rPr>
        <w:t xml:space="preserve">Injury</w:t>
      </w:r>
      <w:r>
        <w:t xml:space="preserve"> </w:t>
      </w:r>
      <w:r>
        <w:rPr>
          <w:bCs/>
          <w:b/>
        </w:rPr>
        <w:t xml:space="preserve">51</w:t>
      </w:r>
      <w:r>
        <w:t xml:space="preserve">, 136–141 (2020).</w:t>
      </w:r>
    </w:p>
    <w:bookmarkEnd w:id="133"/>
    <w:bookmarkStart w:id="134" w:name="ref-Jin2021"/>
    <w:p>
      <w:pPr>
        <w:pStyle w:val="Bibliography"/>
      </w:pPr>
      <w:r>
        <w:t xml:space="preserve">10.</w:t>
      </w:r>
      <w:r>
        <w:t xml:space="preserve"> </w:t>
      </w:r>
      <w:r>
        <w:t xml:space="preserve">	</w:t>
      </w:r>
      <w:r>
        <w:t xml:space="preserve">Jin, J.</w:t>
      </w:r>
      <w:r>
        <w:t xml:space="preserve"> </w:t>
      </w:r>
      <w:r>
        <w:rPr>
          <w:iCs/>
          <w:i/>
        </w:rPr>
        <w:t xml:space="preserve">et al.</w:t>
      </w:r>
      <w:r>
        <w:t xml:space="preserve"> Effectiveness of quality improvement processes, interventions, and structure in trauma systems in low- and middle-income countries: A systematic review and meta-analysis.</w:t>
      </w:r>
      <w:r>
        <w:t xml:space="preserve"> </w:t>
      </w:r>
      <w:r>
        <w:rPr>
          <w:iCs/>
          <w:i/>
        </w:rPr>
        <w:t xml:space="preserve">World J. Surg.</w:t>
      </w:r>
      <w:r>
        <w:t xml:space="preserve"> </w:t>
      </w:r>
      <w:r>
        <w:rPr>
          <w:bCs/>
          <w:b/>
        </w:rPr>
        <w:t xml:space="preserve">45</w:t>
      </w:r>
      <w:r>
        <w:t xml:space="preserve">, 1982–1998 (2021).</w:t>
      </w:r>
    </w:p>
    <w:bookmarkEnd w:id="134"/>
    <w:bookmarkStart w:id="135"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5"/>
    <w:bookmarkStart w:id="136"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6"/>
    <w:bookmarkStart w:id="137" w:name="ref-Ali1995"/>
    <w:p>
      <w:pPr>
        <w:pStyle w:val="Bibliography"/>
      </w:pPr>
      <w:r>
        <w:t xml:space="preserve">13.</w:t>
      </w:r>
      <w:r>
        <w:t xml:space="preserve"> </w:t>
      </w:r>
      <w:r>
        <w:t xml:space="preserve">	</w:t>
      </w:r>
      <w:r>
        <w:t xml:space="preserve">Ali, J.</w:t>
      </w:r>
      <w:r>
        <w:t xml:space="preserve"> </w:t>
      </w:r>
      <w:r>
        <w:rPr>
          <w:iCs/>
          <w:i/>
        </w:rPr>
        <w:t xml:space="preserve">et al.</w:t>
      </w:r>
      <w:r>
        <w:t xml:space="preserve"> Demonstration of acquisition of trauma management skills by senior medical students completing the ATLS program.</w:t>
      </w:r>
      <w:r>
        <w:t xml:space="preserve"> </w:t>
      </w:r>
      <w:r>
        <w:rPr>
          <w:iCs/>
          <w:i/>
        </w:rPr>
        <w:t xml:space="preserve">J Trauma.</w:t>
      </w:r>
      <w:r>
        <w:t xml:space="preserve"> </w:t>
      </w:r>
      <w:r>
        <w:rPr>
          <w:bCs/>
          <w:b/>
        </w:rPr>
        <w:t xml:space="preserve">38</w:t>
      </w:r>
      <w:r>
        <w:t xml:space="preserve">, 687–691 (1995).</w:t>
      </w:r>
    </w:p>
    <w:bookmarkEnd w:id="137"/>
    <w:bookmarkStart w:id="138" w:name="ref-Ali1996"/>
    <w:p>
      <w:pPr>
        <w:pStyle w:val="Bibliography"/>
      </w:pPr>
      <w:r>
        <w:t xml:space="preserve">14.</w:t>
      </w:r>
      <w:r>
        <w:t xml:space="preserve"> </w:t>
      </w:r>
      <w:r>
        <w:t xml:space="preserve">	</w:t>
      </w:r>
      <w:r>
        <w:t xml:space="preserve">Ali, J.</w:t>
      </w:r>
      <w:r>
        <w:t xml:space="preserve"> </w:t>
      </w:r>
      <w:r>
        <w:rPr>
          <w:iCs/>
          <w:i/>
        </w:rPr>
        <w:t xml:space="preserve">et al.</w:t>
      </w:r>
      <w:r>
        <w:t xml:space="preserve"> Teaching effectiveness of the advanced trauma life support program as demonstrated by an objective structured clinical examination for practicing physicians.</w:t>
      </w:r>
      <w:r>
        <w:t xml:space="preserve"> </w:t>
      </w:r>
      <w:r>
        <w:rPr>
          <w:iCs/>
          <w:i/>
        </w:rPr>
        <w:t xml:space="preserve">World J. Surg.</w:t>
      </w:r>
      <w:r>
        <w:t xml:space="preserve"> </w:t>
      </w:r>
      <w:r>
        <w:rPr>
          <w:bCs/>
          <w:b/>
        </w:rPr>
        <w:t xml:space="preserve">20</w:t>
      </w:r>
      <w:r>
        <w:t xml:space="preserve">, 1121–1126 (1996).</w:t>
      </w:r>
    </w:p>
    <w:bookmarkEnd w:id="138"/>
    <w:bookmarkStart w:id="139" w:name="ref-Ali1999"/>
    <w:p>
      <w:pPr>
        <w:pStyle w:val="Bibliography"/>
      </w:pPr>
      <w:r>
        <w:t xml:space="preserve">15.</w:t>
      </w:r>
      <w:r>
        <w:t xml:space="preserve"> </w:t>
      </w:r>
      <w:r>
        <w:t xml:space="preserve">	</w:t>
      </w:r>
      <w:r>
        <w:t xml:space="preserve">Ali, J.</w:t>
      </w:r>
      <w:r>
        <w:t xml:space="preserve"> </w:t>
      </w:r>
      <w:r>
        <w:rPr>
          <w:iCs/>
          <w:i/>
        </w:rPr>
        <w:t xml:space="preserve">et al.</w:t>
      </w:r>
      <w:r>
        <w:t xml:space="preserve"> Comparison of performance of interns completing the old (1993) and new interactive (1997) advanced trauma life support courses.</w:t>
      </w:r>
      <w:r>
        <w:t xml:space="preserve"> </w:t>
      </w:r>
      <w:r>
        <w:rPr>
          <w:iCs/>
          <w:i/>
        </w:rPr>
        <w:t xml:space="preserve">J Trauma.</w:t>
      </w:r>
      <w:r>
        <w:t xml:space="preserve"> </w:t>
      </w:r>
      <w:r>
        <w:rPr>
          <w:bCs/>
          <w:b/>
        </w:rPr>
        <w:t xml:space="preserve">46</w:t>
      </w:r>
      <w:r>
        <w:t xml:space="preserve">, 80–86 (1999).</w:t>
      </w:r>
    </w:p>
    <w:bookmarkEnd w:id="139"/>
    <w:bookmarkStart w:id="140"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Impact of advanced trauma life support training on early trauma management.</w:t>
      </w:r>
      <w:r>
        <w:t xml:space="preserve"> </w:t>
      </w:r>
      <w:r>
        <w:rPr>
          <w:iCs/>
          <w:i/>
        </w:rPr>
        <w:t xml:space="preserve">Am J Surg</w:t>
      </w:r>
      <w:r>
        <w:t xml:space="preserve"> </w:t>
      </w:r>
      <w:r>
        <w:rPr>
          <w:bCs/>
          <w:b/>
        </w:rPr>
        <w:t xml:space="preserve">155</w:t>
      </w:r>
      <w:r>
        <w:t xml:space="preserve">, 704–707 (1988).</w:t>
      </w:r>
    </w:p>
    <w:bookmarkEnd w:id="140"/>
    <w:bookmarkStart w:id="141"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1"/>
    <w:bookmarkStart w:id="142" w:name="ref-Ali1993"/>
    <w:p>
      <w:pPr>
        <w:pStyle w:val="Bibliography"/>
      </w:pPr>
      <w:r>
        <w:t xml:space="preserve">18.</w:t>
      </w:r>
      <w:r>
        <w:t xml:space="preserve"> </w:t>
      </w:r>
      <w:r>
        <w:t xml:space="preserve">	</w:t>
      </w:r>
      <w:r>
        <w:t xml:space="preserve">Ali, J.</w:t>
      </w:r>
      <w:r>
        <w:t xml:space="preserve"> </w:t>
      </w:r>
      <w:r>
        <w:rPr>
          <w:iCs/>
          <w:i/>
        </w:rPr>
        <w:t xml:space="preserve">et al.</w:t>
      </w:r>
      <w:r>
        <w:t xml:space="preserve"> Trauma outcome improves following the advanced trauma life support program in a developing country.</w:t>
      </w:r>
      <w:r>
        <w:t xml:space="preserve"> </w:t>
      </w:r>
      <w:r>
        <w:rPr>
          <w:iCs/>
          <w:i/>
        </w:rPr>
        <w:t xml:space="preserve">J Trauma</w:t>
      </w:r>
      <w:r>
        <w:t xml:space="preserve"> </w:t>
      </w:r>
      <w:r>
        <w:rPr>
          <w:bCs/>
          <w:b/>
        </w:rPr>
        <w:t xml:space="preserve">34</w:t>
      </w:r>
      <w:r>
        <w:t xml:space="preserve">, 890–899 (1993).</w:t>
      </w:r>
    </w:p>
    <w:bookmarkEnd w:id="142"/>
    <w:bookmarkStart w:id="143"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Influence of trauma system implementation on process of care delivered to seriously injured patients in rural trauma centers.</w:t>
      </w:r>
      <w:r>
        <w:t xml:space="preserve"> </w:t>
      </w:r>
      <w:r>
        <w:rPr>
          <w:iCs/>
          <w:i/>
        </w:rPr>
        <w:t xml:space="preserve">Surgery</w:t>
      </w:r>
      <w:r>
        <w:t xml:space="preserve"> </w:t>
      </w:r>
      <w:r>
        <w:rPr>
          <w:bCs/>
          <w:b/>
        </w:rPr>
        <w:t xml:space="preserve">130</w:t>
      </w:r>
      <w:r>
        <w:t xml:space="preserve">, 273–279 (2001).</w:t>
      </w:r>
    </w:p>
    <w:bookmarkEnd w:id="143"/>
    <w:bookmarkStart w:id="144"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Clinical impact of advanced trauma life support.</w:t>
      </w:r>
      <w:r>
        <w:t xml:space="preserve"> </w:t>
      </w:r>
      <w:r>
        <w:rPr>
          <w:iCs/>
          <w:i/>
        </w:rPr>
        <w:t xml:space="preserve">Am J Emerg Med</w:t>
      </w:r>
      <w:r>
        <w:t xml:space="preserve"> </w:t>
      </w:r>
      <w:r>
        <w:rPr>
          <w:bCs/>
          <w:b/>
        </w:rPr>
        <w:t xml:space="preserve">22</w:t>
      </w:r>
      <w:r>
        <w:t xml:space="preserve">, 522–525 (2004).</w:t>
      </w:r>
    </w:p>
    <w:bookmarkEnd w:id="144"/>
    <w:bookmarkStart w:id="14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 J Traumatol</w:t>
      </w:r>
      <w:r>
        <w:t xml:space="preserve"> </w:t>
      </w:r>
      <w:r>
        <w:rPr>
          <w:bCs/>
          <w:b/>
        </w:rPr>
        <w:t xml:space="preserve">13</w:t>
      </w:r>
      <w:r>
        <w:t xml:space="preserve">, 341–344 (2010).</w:t>
      </w:r>
    </w:p>
    <w:bookmarkEnd w:id="145"/>
    <w:bookmarkStart w:id="146"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Advanced trauma life support certified physicians in a non trauma system setting: Is it enough?</w:t>
      </w:r>
      <w:r>
        <w:t xml:space="preserve"> </w:t>
      </w:r>
      <w:r>
        <w:rPr>
          <w:iCs/>
          <w:i/>
        </w:rPr>
        <w:t xml:space="preserve">Resuscitation</w:t>
      </w:r>
      <w:r>
        <w:t xml:space="preserve"> </w:t>
      </w:r>
      <w:r>
        <w:rPr>
          <w:bCs/>
          <w:b/>
        </w:rPr>
        <w:t xml:space="preserve">82</w:t>
      </w:r>
      <w:r>
        <w:t xml:space="preserve">, 180–184 (2011).</w:t>
      </w:r>
    </w:p>
    <w:bookmarkEnd w:id="146"/>
    <w:bookmarkStart w:id="147"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Hospital-based trauma quality improvement initiatives.</w:t>
      </w:r>
      <w:r>
        <w:t xml:space="preserve"> </w:t>
      </w:r>
      <w:r>
        <w:rPr>
          <w:iCs/>
          <w:i/>
        </w:rPr>
        <w:t xml:space="preserve">J Trauma</w:t>
      </w:r>
      <w:r>
        <w:t xml:space="preserve"> </w:t>
      </w:r>
      <w:r>
        <w:rPr>
          <w:bCs/>
          <w:b/>
        </w:rPr>
        <w:t xml:space="preserve">75</w:t>
      </w:r>
      <w:r>
        <w:t xml:space="preserve">, 60–68 (2013).</w:t>
      </w:r>
    </w:p>
    <w:bookmarkEnd w:id="147"/>
    <w:bookmarkStart w:id="148"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Can focused trauma education initiatives reduce mortality or improve resource utilization in a low-resource setting?</w:t>
      </w:r>
      <w:r>
        <w:t xml:space="preserve"> </w:t>
      </w:r>
      <w:r>
        <w:rPr>
          <w:iCs/>
          <w:i/>
        </w:rPr>
        <w:t xml:space="preserve">World J. Surg.</w:t>
      </w:r>
      <w:r>
        <w:t xml:space="preserve"> </w:t>
      </w:r>
      <w:r>
        <w:rPr>
          <w:bCs/>
          <w:b/>
        </w:rPr>
        <w:t xml:space="preserve">39</w:t>
      </w:r>
      <w:r>
        <w:t xml:space="preserve">, 926–933 (2014).</w:t>
      </w:r>
    </w:p>
    <w:bookmarkEnd w:id="148"/>
    <w:bookmarkStart w:id="149" w:name="ref-Bellanova2016"/>
    <w:p>
      <w:pPr>
        <w:pStyle w:val="Bibliography"/>
      </w:pPr>
      <w:r>
        <w:t xml:space="preserve">25.</w:t>
      </w:r>
      <w:r>
        <w:t xml:space="preserve"> </w:t>
      </w:r>
      <w:r>
        <w:t xml:space="preserve">	</w:t>
      </w:r>
      <w:r>
        <w:t xml:space="preserve">Giovanni Bellanova, R. B., Francesco Buccelletti. How formative courses about damage control surgery and non-operative management improved outcome and survival in unstable politrauma patients in a mountain trauma center.</w:t>
      </w:r>
      <w:r>
        <w:t xml:space="preserve"> </w:t>
      </w:r>
      <w:r>
        <w:rPr>
          <w:iCs/>
          <w:i/>
        </w:rPr>
        <w:t xml:space="preserve">Annali italiani di chirurgia</w:t>
      </w:r>
      <w:r>
        <w:t xml:space="preserve"> </w:t>
      </w:r>
      <w:r>
        <w:rPr>
          <w:bCs/>
          <w:b/>
        </w:rPr>
        <w:t xml:space="preserve">87</w:t>
      </w:r>
      <w:r>
        <w:t xml:space="preserve">, 68–74 (2016).</w:t>
      </w:r>
    </w:p>
    <w:bookmarkEnd w:id="149"/>
    <w:bookmarkStart w:id="150"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A pilot multicentre cluster randomised trial to compare the effect of trauma life support training programmes on patient and provider outcomes.</w:t>
      </w:r>
      <w:r>
        <w:t xml:space="preserve"> </w:t>
      </w:r>
      <w:r>
        <w:rPr>
          <w:iCs/>
          <w:i/>
        </w:rPr>
        <w:t xml:space="preserve">BMJ Open</w:t>
      </w:r>
      <w:r>
        <w:t xml:space="preserve"> </w:t>
      </w:r>
      <w:r>
        <w:rPr>
          <w:bCs/>
          <w:b/>
        </w:rPr>
        <w:t xml:space="preserve">12</w:t>
      </w:r>
      <w:r>
        <w:t xml:space="preserve">, e057504 (2022).</w:t>
      </w:r>
    </w:p>
    <w:bookmarkEnd w:id="150"/>
    <w:bookmarkStart w:id="151"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The stepped wedge cluster randomised trial: Rationale, design, analysis, and reporting.</w:t>
      </w:r>
      <w:r>
        <w:t xml:space="preserve"> </w:t>
      </w:r>
      <w:r>
        <w:rPr>
          <w:iCs/>
          <w:i/>
        </w:rPr>
        <w:t xml:space="preserve">BMJ</w:t>
      </w:r>
      <w:r>
        <w:t xml:space="preserve"> </w:t>
      </w:r>
      <w:r>
        <w:rPr>
          <w:bCs/>
          <w:b/>
        </w:rPr>
        <w:t xml:space="preserve">350</w:t>
      </w:r>
      <w:r>
        <w:t xml:space="preserve">, h391–h391 (2015).</w:t>
      </w:r>
    </w:p>
    <w:bookmarkEnd w:id="151"/>
    <w:bookmarkStart w:id="152"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Reflection on modern methods: When is a stepped-wedge cluster randomized trial a good study design choice?</w:t>
      </w:r>
      <w:r>
        <w:t xml:space="preserve"> </w:t>
      </w:r>
      <w:r>
        <w:rPr>
          <w:iCs/>
          <w:i/>
        </w:rPr>
        <w:t xml:space="preserve">Int J Epidemiol</w:t>
      </w:r>
      <w:r>
        <w:t xml:space="preserve"> </w:t>
      </w:r>
      <w:r>
        <w:rPr>
          <w:bCs/>
          <w:b/>
        </w:rPr>
        <w:t xml:space="preserve">49</w:t>
      </w:r>
      <w:r>
        <w:t xml:space="preserve">, 1043–1052 (2020).</w:t>
      </w:r>
    </w:p>
    <w:bookmarkEnd w:id="152"/>
    <w:bookmarkStart w:id="153"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53"/>
    <w:bookmarkStart w:id="154" w:name="ref-harris_research_2009"/>
    <w:p>
      <w:pPr>
        <w:pStyle w:val="Bibliography"/>
      </w:pPr>
      <w:r>
        <w:t xml:space="preserve">30.</w:t>
      </w:r>
      <w:r>
        <w:t xml:space="preserve"> </w:t>
      </w:r>
      <w:r>
        <w:t xml:space="preserve">	</w:t>
      </w:r>
      <w:r>
        <w:t xml:space="preserve">Harris, P. A.</w:t>
      </w:r>
      <w:r>
        <w:t xml:space="preserve"> </w:t>
      </w:r>
      <w:r>
        <w:rPr>
          <w:iCs/>
          <w:i/>
        </w:rPr>
        <w:t xml:space="preserve">et al.</w:t>
      </w:r>
      <w:r>
        <w:t xml:space="preserve"> Research electronic data capture (</w:t>
      </w:r>
      <w:r>
        <w:t xml:space="preserve">REDCap</w:t>
      </w:r>
      <w:r>
        <w:t xml:space="preserve">)–a metadata-driven methodology and workflow process for providing translational research informatics support.</w:t>
      </w:r>
      <w:r>
        <w:t xml:space="preserve"> </w:t>
      </w:r>
      <w:r>
        <w:rPr>
          <w:iCs/>
          <w:i/>
        </w:rPr>
        <w:t xml:space="preserve">Journal of Biomedical Informatics</w:t>
      </w:r>
      <w:r>
        <w:t xml:space="preserve"> </w:t>
      </w:r>
      <w:r>
        <w:rPr>
          <w:bCs/>
          <w:b/>
        </w:rPr>
        <w:t xml:space="preserve">42</w:t>
      </w:r>
      <w:r>
        <w:t xml:space="preserve">, 377–381 (2009).</w:t>
      </w:r>
    </w:p>
    <w:bookmarkEnd w:id="154"/>
    <w:bookmarkStart w:id="155" w:name="ref-harris_redcap_2019"/>
    <w:p>
      <w:pPr>
        <w:pStyle w:val="Bibliography"/>
      </w:pPr>
      <w:r>
        <w:t xml:space="preserve">31.</w:t>
      </w:r>
      <w:r>
        <w:t xml:space="preserve"> </w:t>
      </w:r>
      <w:r>
        <w:t xml:space="preserve">	</w:t>
      </w:r>
      <w:r>
        <w:t xml:space="preserve">Harris, P. A.</w:t>
      </w:r>
      <w:r>
        <w:t xml:space="preserve"> </w:t>
      </w:r>
      <w:r>
        <w:rPr>
          <w:iCs/>
          <w:i/>
        </w:rPr>
        <w:t xml:space="preserve">et al.</w:t>
      </w:r>
      <w:r>
        <w:t xml:space="preserve"> The</w:t>
      </w:r>
      <w:r>
        <w:t xml:space="preserve"> </w:t>
      </w:r>
      <w:r>
        <w:t xml:space="preserve">REDCap</w:t>
      </w:r>
      <w:r>
        <w:t xml:space="preserve"> </w:t>
      </w:r>
      <w:r>
        <w:t xml:space="preserve">consortium:</w:t>
      </w:r>
      <w:r>
        <w:t xml:space="preserve"> </w:t>
      </w:r>
      <w:r>
        <w:t xml:space="preserve">Building</w:t>
      </w:r>
      <w:r>
        <w:t xml:space="preserve"> </w:t>
      </w:r>
      <w:r>
        <w:t xml:space="preserve">an international community of software platform partners.</w:t>
      </w:r>
      <w:r>
        <w:t xml:space="preserve"> </w:t>
      </w:r>
      <w:r>
        <w:rPr>
          <w:iCs/>
          <w:i/>
        </w:rPr>
        <w:t xml:space="preserve">Journal of Biomedical Informatics</w:t>
      </w:r>
      <w:r>
        <w:t xml:space="preserve"> </w:t>
      </w:r>
      <w:r>
        <w:rPr>
          <w:bCs/>
          <w:b/>
        </w:rPr>
        <w:t xml:space="preserve">95</w:t>
      </w:r>
      <w:r>
        <w:t xml:space="preserve">, 103208 (2019).</w:t>
      </w:r>
    </w:p>
    <w:bookmarkEnd w:id="155"/>
    <w:bookmarkStart w:id="156" w:name="ref-STEPCARE2023"/>
    <w:p>
      <w:pPr>
        <w:pStyle w:val="Bibliography"/>
      </w:pPr>
      <w:r>
        <w:t xml:space="preserve">32.</w:t>
      </w:r>
      <w:r>
        <w:t xml:space="preserve"> </w:t>
      </w:r>
      <w:r>
        <w:t xml:space="preserve">	</w:t>
      </w:r>
      <w:r>
        <w:t xml:space="preserve">Nielsen, Niklas. Sedation,</w:t>
      </w:r>
      <w:r>
        <w:t xml:space="preserve"> </w:t>
      </w:r>
      <w:r>
        <w:t xml:space="preserve">Temperature</w:t>
      </w:r>
      <w:r>
        <w:t xml:space="preserve"> </w:t>
      </w:r>
      <w:r>
        <w:t xml:space="preserve">and</w:t>
      </w:r>
      <w:r>
        <w:t xml:space="preserve"> </w:t>
      </w:r>
      <w:r>
        <w:t xml:space="preserve">Pressure</w:t>
      </w:r>
      <w:r>
        <w:t xml:space="preserve"> </w:t>
      </w:r>
      <w:r>
        <w:t xml:space="preserve">after</w:t>
      </w:r>
      <w:r>
        <w:t xml:space="preserve"> </w:t>
      </w:r>
      <w:r>
        <w:t xml:space="preserve">Cardiac</w:t>
      </w:r>
      <w:r>
        <w:t xml:space="preserve"> </w:t>
      </w:r>
      <w:r>
        <w:t xml:space="preserve">Arrest</w:t>
      </w:r>
      <w:r>
        <w:t xml:space="preserve"> </w:t>
      </w:r>
      <w:r>
        <w:t xml:space="preserve">and</w:t>
      </w:r>
      <w:r>
        <w:t xml:space="preserve"> </w:t>
      </w:r>
      <w:r>
        <w:t xml:space="preserve">Resuscitation</w:t>
      </w:r>
      <w:r>
        <w:t xml:space="preserve"> </w:t>
      </w:r>
      <w:r>
        <w:t xml:space="preserve">– the</w:t>
      </w:r>
      <w:r>
        <w:t xml:space="preserve"> </w:t>
      </w:r>
      <w:r>
        <w:t xml:space="preserve">STEPCARE</w:t>
      </w:r>
      <w:r>
        <w:t xml:space="preserve"> </w:t>
      </w:r>
      <w:r>
        <w:t xml:space="preserve">trial. (2023).</w:t>
      </w:r>
    </w:p>
    <w:bookmarkEnd w:id="156"/>
    <w:bookmarkStart w:id="157" w:name="ref-Diaz2021"/>
    <w:p>
      <w:pPr>
        <w:pStyle w:val="Bibliography"/>
      </w:pPr>
      <w:r>
        <w:t xml:space="preserve">33.</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57"/>
    <w:bookmarkStart w:id="158" w:name="ref-Li2020"/>
    <w:p>
      <w:pPr>
        <w:pStyle w:val="Bibliography"/>
      </w:pPr>
      <w:r>
        <w:t xml:space="preserve">34.</w:t>
      </w:r>
      <w:r>
        <w:t xml:space="preserve"> </w:t>
      </w:r>
      <w:r>
        <w:t xml:space="preserve">	</w:t>
      </w:r>
      <w:r>
        <w:t xml:space="preserve">Li, F.</w:t>
      </w:r>
      <w:r>
        <w:t xml:space="preserve"> </w:t>
      </w:r>
      <w:r>
        <w:rPr>
          <w:iCs/>
          <w:i/>
        </w:rPr>
        <w:t xml:space="preserve">et al.</w:t>
      </w:r>
      <w:r>
        <w:t xml:space="preserve"> Mixed-effects models for the design and analysis of stepped wedge cluster randomized trials: An overview.</w:t>
      </w:r>
      <w:r>
        <w:t xml:space="preserve"> </w:t>
      </w:r>
      <w:r>
        <w:rPr>
          <w:iCs/>
          <w:i/>
        </w:rPr>
        <w:t xml:space="preserve">Stat Methods Med Res</w:t>
      </w:r>
      <w:r>
        <w:t xml:space="preserve"> </w:t>
      </w:r>
      <w:r>
        <w:rPr>
          <w:bCs/>
          <w:b/>
        </w:rPr>
        <w:t xml:space="preserve">30</w:t>
      </w:r>
      <w:r>
        <w:t xml:space="preserve">, 612–639 (2020).</w:t>
      </w:r>
    </w:p>
    <w:bookmarkEnd w:id="158"/>
    <w:bookmarkStart w:id="159" w:name="ref-Campbell2005"/>
    <w:p>
      <w:pPr>
        <w:pStyle w:val="Bibliography"/>
      </w:pPr>
      <w:r>
        <w:t xml:space="preserve">35.</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59"/>
    <w:bookmarkStart w:id="160" w:name="ref-Eldridge2015"/>
    <w:p>
      <w:pPr>
        <w:pStyle w:val="Bibliography"/>
      </w:pPr>
      <w:r>
        <w:t xml:space="preserve">36.</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60"/>
    <w:bookmarkStart w:id="161" w:name="ref-Hemming2020Feb"/>
    <w:p>
      <w:pPr>
        <w:pStyle w:val="Bibliography"/>
      </w:pPr>
      <w:r>
        <w:t xml:space="preserve">37.</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61"/>
    <w:bookmarkStart w:id="162" w:name="ref-Martin2016"/>
    <w:p>
      <w:pPr>
        <w:pStyle w:val="Bibliography"/>
      </w:pPr>
      <w:r>
        <w:t xml:space="preserve">38.</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62"/>
    <w:bookmarkStart w:id="163" w:name="ref-Korevaar2021"/>
    <w:p>
      <w:pPr>
        <w:pStyle w:val="Bibliography"/>
      </w:pPr>
      <w:r>
        <w:t xml:space="preserve">39.</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63"/>
    <w:bookmarkStart w:id="164" w:name="ref-icmje_2024"/>
    <w:p>
      <w:pPr>
        <w:pStyle w:val="Bibliography"/>
      </w:pPr>
      <w:r>
        <w:t xml:space="preserve">40.</w:t>
      </w:r>
      <w:r>
        <w:t xml:space="preserve"> </w:t>
      </w:r>
      <w:r>
        <w:t xml:space="preserve">	</w:t>
      </w:r>
      <w:r>
        <w:t xml:space="preserve">ICMJE</w:t>
      </w:r>
      <w:r>
        <w:t xml:space="preserve"> </w:t>
      </w:r>
      <w:r>
        <w:t xml:space="preserve"> </w:t>
      </w:r>
      <w:r>
        <w:t xml:space="preserve">Recommendations</w:t>
      </w:r>
      <w:r>
        <w:t xml:space="preserve"> </w:t>
      </w:r>
      <w:r>
        <w:t xml:space="preserve"> </w:t>
      </w:r>
      <w:r>
        <w:t xml:space="preserve">Defining</w:t>
      </w:r>
      <w:r>
        <w:t xml:space="preserve"> </w:t>
      </w:r>
      <w:r>
        <w:t xml:space="preserve">the</w:t>
      </w:r>
      <w:r>
        <w:t xml:space="preserve"> </w:t>
      </w:r>
      <w:r>
        <w:t xml:space="preserve">Role</w:t>
      </w:r>
      <w:r>
        <w:t xml:space="preserve"> </w:t>
      </w:r>
      <w:r>
        <w:t xml:space="preserve">of</w:t>
      </w:r>
      <w:r>
        <w:t xml:space="preserve"> </w:t>
      </w:r>
      <w:r>
        <w:t xml:space="preserve">Authors</w:t>
      </w:r>
      <w:r>
        <w:t xml:space="preserve"> </w:t>
      </w:r>
      <w:r>
        <w:t xml:space="preserve">and</w:t>
      </w:r>
      <w:r>
        <w:t xml:space="preserve"> </w:t>
      </w:r>
      <w:r>
        <w:t xml:space="preserve">Contributors</w:t>
      </w:r>
      <w:r>
        <w:t xml:space="preserve">.</w:t>
      </w:r>
    </w:p>
    <w:bookmarkEnd w:id="164"/>
    <w:bookmarkEnd w:id="165"/>
    <w:bookmarkEnd w:id="166"/>
    <w:bookmarkStart w:id="200" w:name="appendices"/>
    <w:p>
      <w:pPr>
        <w:pStyle w:val="Heading1"/>
      </w:pPr>
      <w:r>
        <w:t xml:space="preserve">19. Appendices</w:t>
      </w:r>
    </w:p>
    <w:bookmarkStart w:id="179" w:name="X6651722c1859312d91791f28b527f979d4c4c33"/>
    <w:p>
      <w:pPr>
        <w:pStyle w:val="Heading2"/>
      </w:pPr>
      <w:r>
        <w:t xml:space="preserve">19.1 Initial hospital screening instrument</w:t>
      </w:r>
    </w:p>
    <w:p>
      <w:pPr>
        <w:pStyle w:val="FirstParagraph"/>
      </w:pPr>
      <w:r>
        <w:drawing>
          <wp:inline>
            <wp:extent cx="5334000" cy="7539317"/>
            <wp:effectExtent b="0" l="0" r="0" t="0"/>
            <wp:docPr descr="" title="" id="168" name="Picture"/>
            <a:graphic>
              <a:graphicData uri="http://schemas.openxmlformats.org/drawingml/2006/picture">
                <pic:pic>
                  <pic:nvPicPr>
                    <pic:cNvPr descr="./appendices/hospital-screening-instrument/hospital-screening-instrument-1.pdf" id="169" name="Picture"/>
                    <pic:cNvPicPr>
                      <a:picLocks noChangeArrowheads="1" noChangeAspect="1"/>
                    </pic:cNvPicPr>
                  </pic:nvPicPr>
                  <pic:blipFill>
                    <a:blip r:embed="rId16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1" name="Picture"/>
            <a:graphic>
              <a:graphicData uri="http://schemas.openxmlformats.org/drawingml/2006/picture">
                <pic:pic>
                  <pic:nvPicPr>
                    <pic:cNvPr descr="./appendices/hospital-screening-instrument/hospital-screening-instrument-2.pdf" id="172" name="Picture"/>
                    <pic:cNvPicPr>
                      <a:picLocks noChangeArrowheads="1" noChangeAspect="1"/>
                    </pic:cNvPicPr>
                  </pic:nvPicPr>
                  <pic:blipFill>
                    <a:blip r:embed="rId17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4" name="Picture"/>
            <a:graphic>
              <a:graphicData uri="http://schemas.openxmlformats.org/drawingml/2006/picture">
                <pic:pic>
                  <pic:nvPicPr>
                    <pic:cNvPr descr="./appendices/hospital-screening-instrument/hospital-screening-instrument-3.pdf" id="175" name="Picture"/>
                    <pic:cNvPicPr>
                      <a:picLocks noChangeArrowheads="1" noChangeAspect="1"/>
                    </pic:cNvPicPr>
                  </pic:nvPicPr>
                  <pic:blipFill>
                    <a:blip r:embed="rId17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7" name="Picture"/>
            <a:graphic>
              <a:graphicData uri="http://schemas.openxmlformats.org/drawingml/2006/picture">
                <pic:pic>
                  <pic:nvPicPr>
                    <pic:cNvPr descr="./appendices/hospital-screening-instrument/hospital-screening-instrument-4.pdf" id="178" name="Picture"/>
                    <pic:cNvPicPr>
                      <a:picLocks noChangeArrowheads="1" noChangeAspect="1"/>
                    </pic:cNvPicPr>
                  </pic:nvPicPr>
                  <pic:blipFill>
                    <a:blip r:embed="rId176"/>
                    <a:stretch>
                      <a:fillRect/>
                    </a:stretch>
                  </pic:blipFill>
                  <pic:spPr bwMode="auto">
                    <a:xfrm>
                      <a:off x="0" y="0"/>
                      <a:ext cx="5334000" cy="7539317"/>
                    </a:xfrm>
                    <a:prstGeom prst="rect">
                      <a:avLst/>
                    </a:prstGeom>
                    <a:noFill/>
                    <a:ln w="9525">
                      <a:noFill/>
                      <a:headEnd/>
                      <a:tailEnd/>
                    </a:ln>
                  </pic:spPr>
                </pic:pic>
              </a:graphicData>
            </a:graphic>
          </wp:inline>
        </w:drawing>
      </w:r>
    </w:p>
    <w:bookmarkEnd w:id="179"/>
    <w:bookmarkStart w:id="198" w:name="X262d92c087f9db09afb96fa2e4272c0b9027027"/>
    <w:p>
      <w:pPr>
        <w:pStyle w:val="Heading2"/>
      </w:pPr>
      <w:r>
        <w:t xml:space="preserve">19.2 In-depth hospital screening interview instrument</w:t>
      </w:r>
    </w:p>
    <w:p>
      <w:pPr>
        <w:pStyle w:val="FirstParagraph"/>
      </w:pPr>
      <w:r>
        <w:drawing>
          <wp:inline>
            <wp:extent cx="5334000" cy="7539317"/>
            <wp:effectExtent b="0" l="0" r="0" t="0"/>
            <wp:docPr descr="" title="" id="181" name="Picture"/>
            <a:graphic>
              <a:graphicData uri="http://schemas.openxmlformats.org/drawingml/2006/picture">
                <pic:pic>
                  <pic:nvPicPr>
                    <pic:cNvPr descr="./appendices/hospital-screening-interview-instrument/hospital-screening-interview-1.pdf" id="182" name="Picture"/>
                    <pic:cNvPicPr>
                      <a:picLocks noChangeArrowheads="1" noChangeAspect="1"/>
                    </pic:cNvPicPr>
                  </pic:nvPicPr>
                  <pic:blipFill>
                    <a:blip r:embed="rId18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4" name="Picture"/>
            <a:graphic>
              <a:graphicData uri="http://schemas.openxmlformats.org/drawingml/2006/picture">
                <pic:pic>
                  <pic:nvPicPr>
                    <pic:cNvPr descr="./appendices/hospital-screening-interview-instrument/hospital-screening-interview-2.pdf" id="185" name="Picture"/>
                    <pic:cNvPicPr>
                      <a:picLocks noChangeArrowheads="1" noChangeAspect="1"/>
                    </pic:cNvPicPr>
                  </pic:nvPicPr>
                  <pic:blipFill>
                    <a:blip r:embed="rId18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7" name="Picture"/>
            <a:graphic>
              <a:graphicData uri="http://schemas.openxmlformats.org/drawingml/2006/picture">
                <pic:pic>
                  <pic:nvPicPr>
                    <pic:cNvPr descr="./appendices/hospital-screening-interview-instrument/hospital-screening-interview-3.pdf" id="188" name="Picture"/>
                    <pic:cNvPicPr>
                      <a:picLocks noChangeArrowheads="1" noChangeAspect="1"/>
                    </pic:cNvPicPr>
                  </pic:nvPicPr>
                  <pic:blipFill>
                    <a:blip r:embed="rId18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0" name="Picture"/>
            <a:graphic>
              <a:graphicData uri="http://schemas.openxmlformats.org/drawingml/2006/picture">
                <pic:pic>
                  <pic:nvPicPr>
                    <pic:cNvPr descr="./appendices/hospital-screening-interview-instrument/hospital-screening-interview-4.pdf" id="191" name="Picture"/>
                    <pic:cNvPicPr>
                      <a:picLocks noChangeArrowheads="1" noChangeAspect="1"/>
                    </pic:cNvPicPr>
                  </pic:nvPicPr>
                  <pic:blipFill>
                    <a:blip r:embed="rId189"/>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3" name="Picture"/>
            <a:graphic>
              <a:graphicData uri="http://schemas.openxmlformats.org/drawingml/2006/picture">
                <pic:pic>
                  <pic:nvPicPr>
                    <pic:cNvPr descr="./appendices/hospital-screening-interview-instrument/hospital-screening-interview-5.pdf" id="194" name="Picture"/>
                    <pic:cNvPicPr>
                      <a:picLocks noChangeArrowheads="1" noChangeAspect="1"/>
                    </pic:cNvPicPr>
                  </pic:nvPicPr>
                  <pic:blipFill>
                    <a:blip r:embed="rId192"/>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6" name="Picture"/>
            <a:graphic>
              <a:graphicData uri="http://schemas.openxmlformats.org/drawingml/2006/picture">
                <pic:pic>
                  <pic:nvPicPr>
                    <pic:cNvPr descr="./appendices/hospital-screening-interview-instrument/hospital-screening-interview-6.pdf" id="197" name="Picture"/>
                    <pic:cNvPicPr>
                      <a:picLocks noChangeArrowheads="1" noChangeAspect="1"/>
                    </pic:cNvPicPr>
                  </pic:nvPicPr>
                  <pic:blipFill>
                    <a:blip r:embed="rId195"/>
                    <a:stretch>
                      <a:fillRect/>
                    </a:stretch>
                  </pic:blipFill>
                  <pic:spPr bwMode="auto">
                    <a:xfrm>
                      <a:off x="0" y="0"/>
                      <a:ext cx="5334000" cy="7539317"/>
                    </a:xfrm>
                    <a:prstGeom prst="rect">
                      <a:avLst/>
                    </a:prstGeom>
                    <a:noFill/>
                    <a:ln w="9525">
                      <a:noFill/>
                      <a:headEnd/>
                      <a:tailEnd/>
                    </a:ln>
                  </pic:spPr>
                </pic:pic>
              </a:graphicData>
            </a:graphic>
          </wp:inline>
        </w:drawing>
      </w:r>
    </w:p>
    <w:bookmarkEnd w:id="198"/>
    <w:bookmarkStart w:id="199" w:name="sec-appendix-case-record-form"/>
    <w:p>
      <w:pPr>
        <w:pStyle w:val="Heading2"/>
      </w:pPr>
      <w:r>
        <w:t xml:space="preserve">19.3 Case Record Form</w:t>
      </w:r>
    </w:p>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41">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61">
    <w:p>
      <w:pPr>
        <w:pStyle w:val="FootnoteText"/>
      </w:pPr>
      <w:r>
        <w:rPr>
          <w:rStyle w:val="FootnoteReference"/>
        </w:rPr>
        <w:footnoteRef/>
      </w:r>
      <w:r>
        <w:t xml:space="preserve"> </w:t>
      </w:r>
      <w:r>
        <w:t xml:space="preserve">Randomization will be done using bespoke code from previous trials.</w:t>
      </w:r>
    </w:p>
  </w:footnote>
  <w:footnote w:id="75">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67" Target="media/rId167.pdf" /><Relationship Type="http://schemas.openxmlformats.org/officeDocument/2006/relationships/image" Id="rId170" Target="media/rId170.pdf" /><Relationship Type="http://schemas.openxmlformats.org/officeDocument/2006/relationships/image" Id="rId173" Target="media/rId173.pdf" /><Relationship Type="http://schemas.openxmlformats.org/officeDocument/2006/relationships/image" Id="rId176" Target="media/rId176.pdf" /><Relationship Type="http://schemas.openxmlformats.org/officeDocument/2006/relationships/image" Id="rId180" Target="media/rId180.pdf" /><Relationship Type="http://schemas.openxmlformats.org/officeDocument/2006/relationships/image" Id="rId183" Target="media/rId183.pdf" /><Relationship Type="http://schemas.openxmlformats.org/officeDocument/2006/relationships/image" Id="rId186" Target="media/rId186.pdf" /><Relationship Type="http://schemas.openxmlformats.org/officeDocument/2006/relationships/image" Id="rId189" Target="media/rId189.pdf" /><Relationship Type="http://schemas.openxmlformats.org/officeDocument/2006/relationships/image" Id="rId192" Target="media/rId192.pdf" /><Relationship Type="http://schemas.openxmlformats.org/officeDocument/2006/relationships/image" Id="rId195" Target="media/rId195.pdf" /><Relationship Type="http://schemas.openxmlformats.org/officeDocument/2006/relationships/image" Id="rId80" Target="media/rId80.pdf" /><Relationship Type="http://schemas.openxmlformats.org/officeDocument/2006/relationships/image" Id="rId23" Target="media/rId23.pdf" /><Relationship Type="http://schemas.openxmlformats.org/officeDocument/2006/relationships/image" Id="rId33" Target="media/rId33.pdf" /><Relationship Type="http://schemas.openxmlformats.org/officeDocument/2006/relationships/hyperlink" Id="rId100" Target="https://doi.org/10.5281/zenodo.7748764" TargetMode="External" /><Relationship Type="http://schemas.openxmlformats.org/officeDocument/2006/relationships/hyperlink" Id="rId20"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5281/zenodo.7748764" TargetMode="External" /><Relationship Type="http://schemas.openxmlformats.org/officeDocument/2006/relationships/hyperlink" Id="rId20"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2024-03-06T20:35:19Z</dcterms:created>
  <dcterms:modified xsi:type="dcterms:W3CDTF">2024-03-06T20:35:19Z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0.8.0 2024-03-06</vt:lpwstr>
  </property>
  <property fmtid="{D5CDD505-2E9C-101B-9397-08002B2CF9AE}" pid="13" name="toc-title">
    <vt:lpwstr>Table of contents</vt:lpwstr>
  </property>
</Properties>
</file>