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pdf" ContentType="application/pdf"/>
  <Override PartName="/word/media/rId193.pdf" ContentType="application/pdf"/>
  <Override PartName="/word/media/rId196.pdf" ContentType="application/pdf"/>
  <Override PartName="/word/media/rId199.pdf" ContentType="application/pdf"/>
  <Override PartName="/word/media/rId79.pdf" ContentType="application/pdf"/>
  <Override PartName="/word/media/rId21.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0.5.0</w:t>
      </w:r>
      <w:r>
        <w:br/>
      </w:r>
      <w:r>
        <w:t xml:space="preserve">2024-01-16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Coordinator:</w:t>
      </w:r>
    </w:p>
    <w:p>
      <w:pPr>
        <w:pStyle w:val="BodyText"/>
      </w:pPr>
      <w:r>
        <w:t xml:space="preserve">Sponsor:</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29" w:name="X00c24060cc0917b8d570def0c3baa97996a92f2"/>
    <w:p>
      <w:pPr>
        <w:pStyle w:val="Heading1"/>
      </w:pPr>
      <w:r>
        <w:t xml:space="preserve">5.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29"/>
    <w:bookmarkStart w:id="89" w:name="trial-design-and-procedures"/>
    <w:p>
      <w:pPr>
        <w:pStyle w:val="Heading1"/>
      </w:pPr>
      <w:r>
        <w:t xml:space="preserve">6. Trial design and procedures</w:t>
      </w:r>
    </w:p>
    <w:bookmarkStart w:id="30" w:name="overall-trial-design"/>
    <w:p>
      <w:pPr>
        <w:pStyle w:val="Heading2"/>
      </w:pPr>
      <w:r>
        <w:t xml:space="preserve">6.1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0"/>
    <w:bookmarkStart w:id="35"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4" w:name="fig-trial-design"/>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4"/>
        </w:tc>
      </w:tr>
    </w:tbl>
    <w:bookmarkEnd w:id="35"/>
    <w:bookmarkStart w:id="36" w:name="eligibility-criteria"/>
    <w:p>
      <w:pPr>
        <w:pStyle w:val="Heading2"/>
      </w:pPr>
      <w:r>
        <w:t xml:space="preserve">6.3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6"/>
    <w:bookmarkStart w:id="41" w:name="hospital-selection"/>
    <w:p>
      <w:pPr>
        <w:pStyle w:val="Heading2"/>
      </w:pPr>
      <w:r>
        <w:t xml:space="preserve">6.4 Hospital selection</w:t>
      </w:r>
    </w:p>
    <w:p>
      <w:pPr>
        <w:pStyle w:val="FirstParagraph"/>
      </w:pPr>
      <w:r>
        <w:t xml:space="preserve">Hospitals will be secondary or tertiary hospitals providing trauma care in India.</w:t>
      </w:r>
    </w:p>
    <w:bookmarkStart w:id="37" w:name="inclusions-criteria"/>
    <w:p>
      <w:pPr>
        <w:pStyle w:val="Heading3"/>
      </w:pPr>
      <w:r>
        <w:t xml:space="preserve">6.4.1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7"/>
    <w:bookmarkStart w:id="40" w:name="exclusion-criteria"/>
    <w:p>
      <w:pPr>
        <w:pStyle w:val="Heading3"/>
      </w:pPr>
      <w:r>
        <w:t xml:space="preserve">6.4.2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38"/>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39"/>
      </w:r>
      <w:r>
        <w:t xml:space="preserve"> </w:t>
      </w:r>
      <w:r>
        <w:t xml:space="preserve">that affects trauma care during the trial period.</w:t>
      </w:r>
    </w:p>
    <w:bookmarkEnd w:id="40"/>
    <w:bookmarkEnd w:id="41"/>
    <w:bookmarkStart w:id="44" w:name="cluster-selection"/>
    <w:p>
      <w:pPr>
        <w:pStyle w:val="Heading2"/>
      </w:pPr>
      <w:r>
        <w:t xml:space="preserve">6.5 Cluster selection</w:t>
      </w:r>
    </w:p>
    <w:p>
      <w:pPr>
        <w:pStyle w:val="FirstParagraph"/>
      </w:pPr>
      <w:r>
        <w:t xml:space="preserve">Clusters are one or more units of physicians providing initial trauma care in the emergency department of secondary or tertiary hospitals in India.</w:t>
      </w:r>
    </w:p>
    <w:bookmarkStart w:id="42" w:name="inclusion-criteria"/>
    <w:p>
      <w:pPr>
        <w:pStyle w:val="Heading3"/>
      </w:pPr>
      <w:r>
        <w:t xml:space="preserve">6.5.1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2"/>
    <w:bookmarkStart w:id="43" w:name="screening"/>
    <w:p>
      <w:pPr>
        <w:pStyle w:val="Heading3"/>
      </w:pPr>
      <w:r>
        <w:t xml:space="preserve">6.5.2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17.1</w:t>
        </w:r>
      </w:hyperlink>
      <w:r>
        <w:t xml:space="preserve">) in REDCap and logged in the associated REDCap database.</w:t>
      </w:r>
    </w:p>
    <w:p>
      <w:pPr>
        <w:pStyle w:val="BodyText"/>
      </w:pPr>
      <w:r>
        <w:t xml:space="preserve">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bookmarkEnd w:id="43"/>
    <w:bookmarkEnd w:id="44"/>
    <w:bookmarkStart w:id="49" w:name="patient-participants-selection"/>
    <w:p>
      <w:pPr>
        <w:pStyle w:val="Heading2"/>
      </w:pPr>
      <w:r>
        <w:t xml:space="preserve">6.6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5" w:name="inclusion-criteria-1"/>
    <w:p>
      <w:pPr>
        <w:pStyle w:val="Heading3"/>
      </w:pPr>
      <w:r>
        <w:t xml:space="preserve">6.6.1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5"/>
    <w:bookmarkStart w:id="46" w:name="exclusion-criteria-1"/>
    <w:p>
      <w:pPr>
        <w:pStyle w:val="Heading3"/>
      </w:pPr>
      <w:r>
        <w:t xml:space="preserve">6.6.2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6"/>
    <w:bookmarkStart w:id="47" w:name="screening-1"/>
    <w:p>
      <w:pPr>
        <w:pStyle w:val="Heading3"/>
      </w:pPr>
      <w:r>
        <w:t xml:space="preserve">6.6.3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47"/>
    <w:bookmarkStart w:id="48" w:name="withdrawal-criteria"/>
    <w:p>
      <w:pPr>
        <w:pStyle w:val="Heading3"/>
      </w:pPr>
      <w:r>
        <w:t xml:space="preserve">6.6.4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48"/>
    <w:bookmarkEnd w:id="49"/>
    <w:bookmarkStart w:id="51" w:name="procedures"/>
    <w:p>
      <w:pPr>
        <w:pStyle w:val="Heading2"/>
      </w:pPr>
      <w:r>
        <w:t xml:space="preserve">6.7 Procedures</w:t>
      </w:r>
    </w:p>
    <w:p>
      <w:pPr>
        <w:pStyle w:val="FirstParagraph"/>
      </w:pPr>
      <w:hyperlink w:anchor="tbl-procedures">
        <w:r>
          <w:rPr>
            <w:rStyle w:val="Hyperlink"/>
          </w:rPr>
          <w:t xml:space="preserve">Table 1</w:t>
        </w:r>
      </w:hyperlink>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0" w:name="tbl-procedures"/>
    <w:p>
      <w:pPr>
        <w:pStyle w:val="TableCaption"/>
      </w:pPr>
      <w:r>
        <w:t xml:space="preserve">Table 1: Overview of trial procedures</w:t>
      </w:r>
    </w:p>
    <w:tbl>
      <w:tblPr>
        <w:tblStyle w:val="Table"/>
        <w:tblW w:type="auto" w:w="0"/>
        <w:tblLook w:firstRow="0" w:lastRow="0" w:firstColumn="0" w:lastColumn="0" w:noHBand="0" w:noVBand="0" w:val="0000"/>
        <w:jc w:val="start"/>
        <w:tblCaption w:val="Table 1: Overview of trial procedures"/>
      </w:tblPr>
      <w:tblGrid>
        <w:gridCol w:w="7920"/>
      </w:tblGrid>
      <w:tr>
        <w:tc>
          <w:tcPr/>
          <w:p>
            <w:pPr>
              <w:pStyle w:val="Compact"/>
            </w:pPr>
          </w:p>
        </w:tc>
      </w:tr>
    </w:tbl>
    <w:bookmarkEnd w:id="50"/>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bookmarkEnd w:id="51"/>
    <w:bookmarkStart w:id="52" w:name="biological-sampling-procedures"/>
    <w:p>
      <w:pPr>
        <w:pStyle w:val="Heading2"/>
      </w:pPr>
      <w:r>
        <w:t xml:space="preserve">6.8 Biological sampling procedures</w:t>
      </w:r>
    </w:p>
    <w:p>
      <w:pPr>
        <w:pStyle w:val="FirstParagraph"/>
      </w:pPr>
      <w:r>
        <w:t xml:space="preserve">This trial does not include biological sampling.</w:t>
      </w:r>
    </w:p>
    <w:bookmarkEnd w:id="52"/>
    <w:bookmarkStart w:id="53" w:name="end-of-trial"/>
    <w:p>
      <w:pPr>
        <w:pStyle w:val="Heading2"/>
      </w:pPr>
      <w:r>
        <w:t xml:space="preserve">6.9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3"/>
    <w:bookmarkStart w:id="57" w:name="intervention-and-control-treatment"/>
    <w:p>
      <w:pPr>
        <w:pStyle w:val="Heading2"/>
      </w:pPr>
      <w:r>
        <w:t xml:space="preserve">6.10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4" w:name="Xf02b29e15f63d0cbcdfc4516a30aea727e4ce25"/>
    <w:p>
      <w:pPr>
        <w:pStyle w:val="Heading3"/>
      </w:pPr>
      <w:r>
        <w:t xml:space="preserve">6.10.1 Description of investigational medicinal products</w:t>
      </w:r>
    </w:p>
    <w:p>
      <w:pPr>
        <w:pStyle w:val="FirstParagraph"/>
      </w:pPr>
      <w:r>
        <w:t xml:space="preserve">This trial does not include any investigational medicinal products.</w:t>
      </w:r>
    </w:p>
    <w:bookmarkEnd w:id="54"/>
    <w:bookmarkStart w:id="55" w:name="auxiliary-medicinal-products"/>
    <w:p>
      <w:pPr>
        <w:pStyle w:val="Heading3"/>
      </w:pPr>
      <w:r>
        <w:t xml:space="preserve">6.10.2 Auxiliary medicinal products</w:t>
      </w:r>
    </w:p>
    <w:p>
      <w:pPr>
        <w:pStyle w:val="FirstParagraph"/>
      </w:pPr>
      <w:r>
        <w:t xml:space="preserve">This trial does not include any auxiliary medicinal products.</w:t>
      </w:r>
    </w:p>
    <w:bookmarkEnd w:id="55"/>
    <w:bookmarkStart w:id="56" w:name="Xc2d650b6c6acd0528e005be9fdded9065220778"/>
    <w:p>
      <w:pPr>
        <w:pStyle w:val="Heading3"/>
      </w:pPr>
      <w:r>
        <w:t xml:space="preserve">6.10.3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6"/>
    <w:bookmarkEnd w:id="57"/>
    <w:bookmarkStart w:id="59" w:name="randomization"/>
    <w:p>
      <w:pPr>
        <w:pStyle w:val="Heading2"/>
      </w:pPr>
      <w:r>
        <w:t xml:space="preserve">6.11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58"/>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59"/>
    <w:bookmarkStart w:id="60" w:name="blinding"/>
    <w:p>
      <w:pPr>
        <w:pStyle w:val="Heading2"/>
      </w:pPr>
      <w:r>
        <w:t xml:space="preserve">6.12 Blinding</w:t>
      </w:r>
    </w:p>
    <w:p>
      <w:pPr>
        <w:pStyle w:val="FirstParagraph"/>
      </w:pPr>
      <w:r>
        <w:t xml:space="preserve">It is not possible to blind a stepped-wedge trial, because all clusters receive the intervention.</w:t>
      </w:r>
    </w:p>
    <w:bookmarkEnd w:id="60"/>
    <w:bookmarkStart w:id="61" w:name="treatment-after-trial-end"/>
    <w:p>
      <w:pPr>
        <w:pStyle w:val="Heading2"/>
      </w:pPr>
      <w:r>
        <w:t xml:space="preserve">6.13 Treatment after trial end</w:t>
      </w:r>
    </w:p>
    <w:p>
      <w:pPr>
        <w:pStyle w:val="FirstParagraph"/>
      </w:pPr>
      <w:r>
        <w:t xml:space="preserve">When the trial ends, the intervention will have been implemented in all clusters.</w:t>
      </w:r>
    </w:p>
    <w:bookmarkEnd w:id="61"/>
    <w:bookmarkStart w:id="64" w:name="outcomes"/>
    <w:p>
      <w:pPr>
        <w:pStyle w:val="Heading2"/>
      </w:pPr>
      <w:r>
        <w:t xml:space="preserve">6.14 Outcomes</w:t>
      </w:r>
    </w:p>
    <w:bookmarkStart w:id="62" w:name="primary-outcome"/>
    <w:p>
      <w:pPr>
        <w:pStyle w:val="Heading3"/>
      </w:pPr>
      <w:r>
        <w:t xml:space="preserve">6.14.1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2"/>
    <w:bookmarkStart w:id="63" w:name="secondary-outcomes"/>
    <w:p>
      <w:pPr>
        <w:pStyle w:val="Heading3"/>
      </w:pPr>
      <w:r>
        <w:t xml:space="preserve">6.14.2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3"/>
    <w:bookmarkEnd w:id="64"/>
    <w:bookmarkStart w:id="71" w:name="handling-of-adverse-and-safety-events"/>
    <w:p>
      <w:pPr>
        <w:pStyle w:val="Heading2"/>
      </w:pPr>
      <w:r>
        <w:t xml:space="preserve">6.15 Handling of Adverse and Safety Events</w:t>
      </w:r>
    </w:p>
    <w:bookmarkStart w:id="68" w:name="definitions"/>
    <w:p>
      <w:pPr>
        <w:pStyle w:val="Heading3"/>
      </w:pPr>
      <w:r>
        <w:t xml:space="preserve">6.15.1 Definitions</w:t>
      </w:r>
    </w:p>
    <w:bookmarkStart w:id="65" w:name="adverse-event"/>
    <w:p>
      <w:pPr>
        <w:pStyle w:val="Heading4"/>
      </w:pPr>
      <w:r>
        <w:t xml:space="preserve">6.15.1.1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5"/>
    <w:bookmarkStart w:id="66" w:name="serious-adverse-event"/>
    <w:p>
      <w:pPr>
        <w:pStyle w:val="Heading4"/>
      </w:pPr>
      <w:r>
        <w:t xml:space="preserve">6.15.1.2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6"/>
    <w:bookmarkStart w:id="67" w:name="safety-event"/>
    <w:p>
      <w:pPr>
        <w:pStyle w:val="Heading4"/>
      </w:pPr>
      <w:r>
        <w:t xml:space="preserve">6.15.1.3 Safety Event</w:t>
      </w:r>
    </w:p>
    <w:p>
      <w:pPr>
        <w:pStyle w:val="FirstParagraph"/>
      </w:pPr>
      <w:r>
        <w:t xml:space="preserve">Any unexpected serious complication that might occur as a consequence of the trial and that are not part of the natural history of trauma.</w:t>
      </w:r>
    </w:p>
    <w:bookmarkEnd w:id="67"/>
    <w:bookmarkEnd w:id="68"/>
    <w:bookmarkStart w:id="69" w:name="Xe8021c2d0f171fd00b40703432ee87583bb2075"/>
    <w:p>
      <w:pPr>
        <w:pStyle w:val="Heading3"/>
      </w:pPr>
      <w:r>
        <w:t xml:space="preserve">6.15.2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9"/>
    <w:bookmarkStart w:id="70" w:name="follow-up-of-safety-events"/>
    <w:p>
      <w:pPr>
        <w:pStyle w:val="Heading3"/>
      </w:pPr>
      <w:r>
        <w:t xml:space="preserve">6.15.3 Follow up of Safety Events</w:t>
      </w:r>
    </w:p>
    <w:p>
      <w:pPr>
        <w:pStyle w:val="FirstParagraph"/>
      </w:pPr>
      <w:r>
        <w:t xml:space="preserve">All safety events should be followed up by the local investigator until they are fully evaluated.</w:t>
      </w:r>
    </w:p>
    <w:bookmarkEnd w:id="70"/>
    <w:bookmarkEnd w:id="71"/>
    <w:bookmarkStart w:id="73" w:name="Xa22bc42d15e6a967920815a76e3f87a417b33fc"/>
    <w:p>
      <w:pPr>
        <w:pStyle w:val="Heading2"/>
      </w:pPr>
      <w:r>
        <w:t xml:space="preserve">6.16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72"/>
      </w:r>
    </w:p>
    <w:bookmarkEnd w:id="73"/>
    <w:bookmarkStart w:id="85" w:name="statistics"/>
    <w:p>
      <w:pPr>
        <w:pStyle w:val="Heading2"/>
      </w:pPr>
      <w:r>
        <w:t xml:space="preserve">6.17 Statistics</w:t>
      </w:r>
    </w:p>
    <w:bookmarkStart w:id="75" w:name="general-principles"/>
    <w:p>
      <w:pPr>
        <w:pStyle w:val="Heading3"/>
      </w:pPr>
      <w:r>
        <w:t xml:space="preserve">6.17.1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4"/>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5"/>
    <w:bookmarkStart w:id="76" w:name="analysis-models"/>
    <w:p>
      <w:pPr>
        <w:pStyle w:val="Heading3"/>
      </w:pPr>
      <w:r>
        <w:t xml:space="preserve">6.17.2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6"/>
    <w:bookmarkStart w:id="77" w:name="additional-sensitivity-analyses"/>
    <w:p>
      <w:pPr>
        <w:pStyle w:val="Heading3"/>
      </w:pPr>
      <w:r>
        <w:t xml:space="preserve">6.17.3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7"/>
    <w:bookmarkStart w:id="78" w:name="X8ec26ac0c1a0fc3153cbf2da37e6e3209869316"/>
    <w:p>
      <w:pPr>
        <w:pStyle w:val="Heading3"/>
      </w:pPr>
      <w:r>
        <w:t xml:space="preserve">6.17.4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8"/>
    <w:bookmarkStart w:id="83" w:name="sample-size-calculations"/>
    <w:p>
      <w:pPr>
        <w:pStyle w:val="Heading3"/>
      </w:pPr>
      <w:r>
        <w:t xml:space="preserve">6.17.5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2" w:name="fig-power-curves"/>
          <w:p>
            <w:pPr>
              <w:jc w:val="center"/>
            </w:pPr>
            <w:r>
              <w:drawing>
                <wp:inline>
                  <wp:extent cx="5334000" cy="2363694"/>
                  <wp:effectExtent b="0" l="0" r="0" t="0"/>
                  <wp:docPr descr="" title="" id="80" name="Picture"/>
                  <a:graphic>
                    <a:graphicData uri="http://schemas.openxmlformats.org/drawingml/2006/picture">
                      <pic:pic>
                        <pic:nvPicPr>
                          <pic:cNvPr descr="./combined-power-curves.pdf" id="81" name="Picture"/>
                          <pic:cNvPicPr>
                            <a:picLocks noChangeArrowheads="1" noChangeAspect="1"/>
                          </pic:cNvPicPr>
                        </pic:nvPicPr>
                        <pic:blipFill>
                          <a:blip r:embed="rId79"/>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2"/>
        </w:tc>
      </w:tr>
    </w:tbl>
    <w:bookmarkEnd w:id="83"/>
    <w:bookmarkStart w:id="84" w:name="interim-analysis"/>
    <w:p>
      <w:pPr>
        <w:pStyle w:val="Heading3"/>
      </w:pPr>
      <w:r>
        <w:t xml:space="preserve">6.17.6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bookmarkEnd w:id="84"/>
    <w:bookmarkEnd w:id="85"/>
    <w:bookmarkStart w:id="86" w:name="quality-control-and-quality-assurance"/>
    <w:p>
      <w:pPr>
        <w:pStyle w:val="Heading2"/>
      </w:pPr>
      <w:r>
        <w:t xml:space="preserve">6.18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6"/>
    <w:bookmarkStart w:id="87" w:name="quality-assurance-and-sponsor-oversight"/>
    <w:p>
      <w:pPr>
        <w:pStyle w:val="Heading2"/>
      </w:pPr>
      <w:r>
        <w:t xml:space="preserve">6.19 Quality Assurance and Sponsor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7"/>
    <w:bookmarkStart w:id="88" w:name="monitoring"/>
    <w:p>
      <w:pPr>
        <w:pStyle w:val="Heading2"/>
      </w:pPr>
      <w:r>
        <w:t xml:space="preserve">6.20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8"/>
    <w:bookmarkEnd w:id="89"/>
    <w:bookmarkStart w:id="90"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0"/>
    <w:bookmarkStart w:id="91"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1"/>
    <w:bookmarkStart w:id="97" w:name="ethics"/>
    <w:p>
      <w:pPr>
        <w:pStyle w:val="Heading1"/>
      </w:pPr>
      <w:r>
        <w:t xml:space="preserve">9. Ethics</w:t>
      </w:r>
    </w:p>
    <w:bookmarkStart w:id="92"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2"/>
    <w:bookmarkStart w:id="93"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3"/>
    <w:bookmarkStart w:id="94" w:name="procedure-for-obtaining-consent"/>
    <w:p>
      <w:pPr>
        <w:pStyle w:val="Heading2"/>
      </w:pPr>
      <w:r>
        <w:t xml:space="preserve">9.3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4"/>
    <w:bookmarkStart w:id="96"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will explain how trial data are stored to maintain confidentiality in accordance with national data legislation</w:t>
      </w:r>
      <w:r>
        <w:rPr>
          <w:rStyle w:val="FootnoteReference"/>
        </w:rPr>
        <w:footnoteReference w:id="95"/>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6"/>
    <w:bookmarkEnd w:id="97"/>
    <w:bookmarkStart w:id="99"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8"/>
      </w:r>
    </w:p>
    <w:bookmarkEnd w:id="99"/>
    <w:bookmarkStart w:id="100"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0"/>
    <w:bookmarkStart w:id="114"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101"/>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2"/>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5"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3"/>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4"/>
      </w:r>
    </w:p>
    <w:bookmarkEnd w:id="105"/>
    <w:bookmarkStart w:id="113" w:name="sec-variables"/>
    <w:p>
      <w:pPr>
        <w:pStyle w:val="Heading2"/>
      </w:pPr>
      <w:r>
        <w:t xml:space="preserve">12.2 Variables</w:t>
      </w:r>
    </w:p>
    <w:p>
      <w:pPr>
        <w:pStyle w:val="FirstParagraph"/>
      </w:pPr>
      <w:r>
        <w:rPr>
          <w:bCs/>
          <w:b/>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bookmarkStart w:id="106" w:name="baseline"/>
    <w:p>
      <w:pPr>
        <w:pStyle w:val="Heading3"/>
      </w:pPr>
      <w:r>
        <w:t xml:space="preserve">12.2.1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6"/>
    <w:bookmarkStart w:id="107" w:name="pre-hospital-data"/>
    <w:p>
      <w:pPr>
        <w:pStyle w:val="Heading3"/>
      </w:pPr>
      <w:r>
        <w:t xml:space="preserve">12.2.2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7"/>
    <w:bookmarkStart w:id="108" w:name="emergency-department-data"/>
    <w:p>
      <w:pPr>
        <w:pStyle w:val="Heading3"/>
      </w:pPr>
      <w:r>
        <w:t xml:space="preserve">12.2.3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8"/>
    <w:bookmarkStart w:id="109" w:name="hospital-data"/>
    <w:p>
      <w:pPr>
        <w:pStyle w:val="Heading3"/>
      </w:pPr>
      <w:r>
        <w:t xml:space="preserve">12.2.4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9"/>
    <w:bookmarkStart w:id="110" w:name="injury-data"/>
    <w:p>
      <w:pPr>
        <w:pStyle w:val="Heading3"/>
      </w:pPr>
      <w:r>
        <w:t xml:space="preserve">12.2.5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10"/>
    <w:bookmarkStart w:id="111" w:name="outcomes-1"/>
    <w:p>
      <w:pPr>
        <w:pStyle w:val="Heading3"/>
      </w:pPr>
      <w:r>
        <w:t xml:space="preserve">12.2.6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1"/>
    <w:bookmarkStart w:id="112" w:name="safety-events"/>
    <w:p>
      <w:pPr>
        <w:pStyle w:val="Heading3"/>
      </w:pPr>
      <w:r>
        <w:t xml:space="preserve">12.2.7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2"/>
    <w:bookmarkEnd w:id="113"/>
    <w:bookmarkEnd w:id="114"/>
    <w:bookmarkStart w:id="115" w:name="trial-organization"/>
    <w:p>
      <w:pPr>
        <w:pStyle w:val="Heading1"/>
      </w:pPr>
      <w:r>
        <w:t xml:space="preserve">13. Trial Organization</w:t>
      </w:r>
    </w:p>
    <w:p>
      <w:pPr>
        <w:pStyle w:val="FirstParagraph"/>
      </w:pPr>
      <w:r>
        <w:rPr>
          <w:bCs/>
          <w:b/>
        </w:rPr>
        <w:t xml:space="preserve">More information will be added here</w:t>
      </w:r>
    </w:p>
    <w:bookmarkEnd w:id="115"/>
    <w:bookmarkStart w:id="116" w:name="funding"/>
    <w:p>
      <w:pPr>
        <w:pStyle w:val="Heading1"/>
      </w:pPr>
      <w:r>
        <w:t xml:space="preserve">14. Funding</w:t>
      </w:r>
    </w:p>
    <w:p>
      <w:pPr>
        <w:numPr>
          <w:ilvl w:val="0"/>
          <w:numId w:val="1016"/>
        </w:numPr>
        <w:pStyle w:val="Compact"/>
      </w:pPr>
      <w:r>
        <w:t xml:space="preserve">Swedish Research Council (reg. no. 2023-03128)</w:t>
      </w:r>
    </w:p>
    <w:bookmarkEnd w:id="116"/>
    <w:bookmarkStart w:id="117"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17"/>
    <w:bookmarkStart w:id="189" w:name="references"/>
    <w:p>
      <w:pPr>
        <w:pStyle w:val="Heading1"/>
      </w:pPr>
      <w:r>
        <w:t xml:space="preserve">16. References</w:t>
      </w:r>
    </w:p>
    <w:bookmarkStart w:id="188" w:name="refs"/>
    <w:bookmarkStart w:id="119" w:name="ref-injuries2020"/>
    <w:p>
      <w:pPr>
        <w:pStyle w:val="Bibliography"/>
      </w:pPr>
      <w:r>
        <w:t xml:space="preserve">1.</w:t>
      </w:r>
      <w:r>
        <w:t xml:space="preserve"> </w:t>
      </w:r>
      <w:r>
        <w:t xml:space="preserve">	</w:t>
      </w:r>
      <w:r>
        <w:t xml:space="preserve">GBD 2019 Diseases and Injuries Collaborators.</w:t>
      </w:r>
      <w:r>
        <w:t xml:space="preserve"> </w:t>
      </w:r>
      <w:hyperlink r:id="rId118">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9"/>
    <w:bookmarkStart w:id="121" w:name="ref-GBD2020"/>
    <w:p>
      <w:pPr>
        <w:pStyle w:val="Bibliography"/>
      </w:pPr>
      <w:r>
        <w:t xml:space="preserve">2.</w:t>
      </w:r>
      <w:r>
        <w:t xml:space="preserve"> </w:t>
      </w:r>
      <w:r>
        <w:t xml:space="preserve">	</w:t>
      </w:r>
      <w:r>
        <w:t xml:space="preserve">GBD 2019 Diseases and Injuries Collaborators.</w:t>
      </w:r>
      <w:r>
        <w:t xml:space="preserve"> </w:t>
      </w:r>
      <w:hyperlink r:id="rId120">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21"/>
    <w:bookmarkStart w:id="123"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w:t>
      </w:r>
      <w:hyperlink r:id="rId122">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3"/>
    <w:bookmarkStart w:id="125" w:name="ref-Roy2017"/>
    <w:p>
      <w:pPr>
        <w:pStyle w:val="Bibliography"/>
      </w:pPr>
      <w:r>
        <w:t xml:space="preserve">4.</w:t>
      </w:r>
      <w:r>
        <w:t xml:space="preserve"> </w:t>
      </w:r>
      <w:r>
        <w:t xml:space="preserve">	</w:t>
      </w:r>
      <w:r>
        <w:t xml:space="preserve">Roy, N.</w:t>
      </w:r>
      <w:r>
        <w:t xml:space="preserve"> </w:t>
      </w:r>
      <w:r>
        <w:rPr>
          <w:iCs/>
          <w:i/>
        </w:rPr>
        <w:t xml:space="preserve">et al.</w:t>
      </w:r>
      <w:r>
        <w:t xml:space="preserve"> </w:t>
      </w:r>
      <w:hyperlink r:id="rId124">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25"/>
    <w:bookmarkStart w:id="127"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w:t>
      </w:r>
      <w:hyperlink r:id="rId126">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27"/>
    <w:bookmarkStart w:id="129"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w:t>
      </w:r>
      <w:hyperlink r:id="rId128">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29"/>
    <w:bookmarkStart w:id="131"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w:t>
      </w:r>
      <w:hyperlink r:id="rId130">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31"/>
    <w:bookmarkStart w:id="133"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w:t>
      </w:r>
      <w:hyperlink r:id="rId132">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33"/>
    <w:bookmarkStart w:id="135"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w:t>
      </w:r>
      <w:hyperlink r:id="rId134">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5"/>
    <w:bookmarkStart w:id="137" w:name="ref-Jin2021"/>
    <w:p>
      <w:pPr>
        <w:pStyle w:val="Bibliography"/>
      </w:pPr>
      <w:r>
        <w:t xml:space="preserve">10.</w:t>
      </w:r>
      <w:r>
        <w:t xml:space="preserve"> </w:t>
      </w:r>
      <w:r>
        <w:t xml:space="preserve">	</w:t>
      </w:r>
      <w:r>
        <w:t xml:space="preserve">Jin, J.</w:t>
      </w:r>
      <w:r>
        <w:t xml:space="preserve"> </w:t>
      </w:r>
      <w:r>
        <w:rPr>
          <w:iCs/>
          <w:i/>
        </w:rPr>
        <w:t xml:space="preserve">et al.</w:t>
      </w:r>
      <w:r>
        <w:t xml:space="preserve"> </w:t>
      </w:r>
      <w:hyperlink r:id="rId136">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37"/>
    <w:bookmarkStart w:id="138"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8"/>
    <w:bookmarkStart w:id="139"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9"/>
    <w:bookmarkStart w:id="140"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40"/>
    <w:bookmarkStart w:id="14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41">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42"/>
    <w:bookmarkStart w:id="144"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43">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4"/>
    <w:bookmarkStart w:id="146"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5">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6"/>
    <w:bookmarkStart w:id="147"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7"/>
    <w:bookmarkStart w:id="14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8">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9"/>
    <w:bookmarkStart w:id="15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50">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51"/>
    <w:bookmarkStart w:id="153"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52">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53"/>
    <w:bookmarkStart w:id="15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4">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5"/>
    <w:bookmarkStart w:id="157"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6">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7"/>
    <w:bookmarkStart w:id="159"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8">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9"/>
    <w:bookmarkStart w:id="161"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60">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61"/>
    <w:bookmarkStart w:id="163" w:name="ref-Bellanova2016"/>
    <w:p>
      <w:pPr>
        <w:pStyle w:val="Bibliography"/>
      </w:pPr>
      <w:r>
        <w:t xml:space="preserve">25.</w:t>
      </w:r>
      <w:r>
        <w:t xml:space="preserve"> </w:t>
      </w:r>
      <w:r>
        <w:t xml:space="preserve">	</w:t>
      </w:r>
      <w:r>
        <w:t xml:space="preserve">Giovanni Bellanova, R. B., Francesco Buccelletti.</w:t>
      </w:r>
      <w:r>
        <w:t xml:space="preserve"> </w:t>
      </w:r>
      <w:hyperlink r:id="rId162">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63"/>
    <w:bookmarkStart w:id="165"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4">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5"/>
    <w:bookmarkStart w:id="167"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6">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7"/>
    <w:bookmarkStart w:id="16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8">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9"/>
    <w:bookmarkStart w:id="17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70">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71"/>
    <w:bookmarkStart w:id="173" w:name="ref-STEPCARE2023"/>
    <w:p>
      <w:pPr>
        <w:pStyle w:val="Bibliography"/>
      </w:pPr>
      <w:r>
        <w:t xml:space="preserve">30.</w:t>
      </w:r>
      <w:r>
        <w:t xml:space="preserve"> </w:t>
      </w:r>
      <w:r>
        <w:t xml:space="preserve">	</w:t>
      </w:r>
      <w:r>
        <w:t xml:space="preserve">Nielsen, Niklas.</w:t>
      </w:r>
      <w:r>
        <w:t xml:space="preserve"> </w:t>
      </w:r>
      <w:hyperlink r:id="rId172">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73"/>
    <w:bookmarkStart w:id="175"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w:t>
      </w:r>
      <w:hyperlink r:id="rId174">
        <w:r>
          <w:rPr>
            <w:rStyle w:val="Hyperlink"/>
          </w:rPr>
          <w:t xml:space="preserve">A call for standardised age-disaggregated health data</w:t>
        </w:r>
      </w:hyperlink>
      <w:r>
        <w:t xml:space="preserve">.</w:t>
      </w:r>
      <w:r>
        <w:t xml:space="preserve"> </w:t>
      </w:r>
      <w:r>
        <w:rPr>
          <w:iCs/>
          <w:i/>
        </w:rPr>
        <w:t xml:space="preserve">The Lancet Healthy Longevity</w:t>
      </w:r>
      <w:r>
        <w:t xml:space="preserve"> </w:t>
      </w:r>
      <w:r>
        <w:rPr>
          <w:bCs/>
          <w:b/>
        </w:rPr>
        <w:t xml:space="preserve">2</w:t>
      </w:r>
      <w:r>
        <w:t xml:space="preserve">, e436–e443 (2021).</w:t>
      </w:r>
    </w:p>
    <w:bookmarkEnd w:id="175"/>
    <w:bookmarkStart w:id="177" w:name="ref-Li2020"/>
    <w:p>
      <w:pPr>
        <w:pStyle w:val="Bibliography"/>
      </w:pPr>
      <w:r>
        <w:t xml:space="preserve">32.</w:t>
      </w:r>
      <w:r>
        <w:t xml:space="preserve"> </w:t>
      </w:r>
      <w:r>
        <w:t xml:space="preserve">	</w:t>
      </w:r>
      <w:r>
        <w:t xml:space="preserve">Li, F.</w:t>
      </w:r>
      <w:r>
        <w:t xml:space="preserve"> </w:t>
      </w:r>
      <w:r>
        <w:rPr>
          <w:iCs/>
          <w:i/>
        </w:rPr>
        <w:t xml:space="preserve">et al.</w:t>
      </w:r>
      <w:r>
        <w:t xml:space="preserve"> </w:t>
      </w:r>
      <w:hyperlink r:id="rId176">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7"/>
    <w:bookmarkStart w:id="179"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w:t>
      </w:r>
      <w:hyperlink r:id="rId178">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9"/>
    <w:bookmarkStart w:id="181"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w:t>
      </w:r>
      <w:hyperlink r:id="rId180">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81"/>
    <w:bookmarkStart w:id="183"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w:t>
      </w:r>
      <w:hyperlink r:id="rId182">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83"/>
    <w:bookmarkStart w:id="185"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w:t>
      </w:r>
      <w:hyperlink r:id="rId184">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85"/>
    <w:bookmarkStart w:id="187"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w:t>
      </w:r>
      <w:hyperlink r:id="rId186">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7"/>
    <w:bookmarkEnd w:id="188"/>
    <w:bookmarkEnd w:id="189"/>
    <w:bookmarkStart w:id="203" w:name="appendices"/>
    <w:p>
      <w:pPr>
        <w:pStyle w:val="Heading1"/>
      </w:pPr>
      <w:r>
        <w:t xml:space="preserve">17. Appendices</w:t>
      </w:r>
    </w:p>
    <w:bookmarkStart w:id="202" w:name="X3fa50696d6e2531d34d9a3ff77dc0a2ba8099c2"/>
    <w:p>
      <w:pPr>
        <w:pStyle w:val="Heading2"/>
      </w:pPr>
      <w:r>
        <w:t xml:space="preserve">17.1 Cluster screening instrument</w:t>
      </w:r>
    </w:p>
    <w:p>
      <w:pPr>
        <w:pStyle w:val="FirstParagraph"/>
      </w:pPr>
      <w:r>
        <w:drawing>
          <wp:inline>
            <wp:extent cx="5334000" cy="7539317"/>
            <wp:effectExtent b="0" l="0" r="0" t="0"/>
            <wp:docPr descr="" title="" id="191" name="Picture"/>
            <a:graphic>
              <a:graphicData uri="http://schemas.openxmlformats.org/drawingml/2006/picture">
                <pic:pic>
                  <pic:nvPicPr>
                    <pic:cNvPr descr="./appendices/cluster-screening-instrument/cluster-screening-instrument-1.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4" name="Picture"/>
            <a:graphic>
              <a:graphicData uri="http://schemas.openxmlformats.org/drawingml/2006/picture">
                <pic:pic>
                  <pic:nvPicPr>
                    <pic:cNvPr descr="./appendices/cluster-screening-instrument/cluster-screening-instrument-2.pdf" id="195" name="Picture"/>
                    <pic:cNvPicPr>
                      <a:picLocks noChangeArrowheads="1" noChangeAspect="1"/>
                    </pic:cNvPicPr>
                  </pic:nvPicPr>
                  <pic:blipFill>
                    <a:blip r:embed="rId19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7" name="Picture"/>
            <a:graphic>
              <a:graphicData uri="http://schemas.openxmlformats.org/drawingml/2006/picture">
                <pic:pic>
                  <pic:nvPicPr>
                    <pic:cNvPr descr="./appendices/cluster-screening-instrument/cluster-screening-instrument-3.pdf" id="198" name="Picture"/>
                    <pic:cNvPicPr>
                      <a:picLocks noChangeArrowheads="1" noChangeAspect="1"/>
                    </pic:cNvPicPr>
                  </pic:nvPicPr>
                  <pic:blipFill>
                    <a:blip r:embed="rId19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0" name="Picture"/>
            <a:graphic>
              <a:graphicData uri="http://schemas.openxmlformats.org/drawingml/2006/picture">
                <pic:pic>
                  <pic:nvPicPr>
                    <pic:cNvPr descr="./appendices/cluster-screening-instrument/cluster-screening-instrument-4.pdf" id="201" name="Picture"/>
                    <pic:cNvPicPr>
                      <a:picLocks noChangeArrowheads="1" noChangeAspect="1"/>
                    </pic:cNvPicPr>
                  </pic:nvPicPr>
                  <pic:blipFill>
                    <a:blip r:embed="rId199"/>
                    <a:stretch>
                      <a:fillRect/>
                    </a:stretch>
                  </pic:blipFill>
                  <pic:spPr bwMode="auto">
                    <a:xfrm>
                      <a:off x="0" y="0"/>
                      <a:ext cx="5334000" cy="7539317"/>
                    </a:xfrm>
                    <a:prstGeom prst="rect">
                      <a:avLst/>
                    </a:prstGeom>
                    <a:noFill/>
                    <a:ln w="9525">
                      <a:noFill/>
                      <a:headEnd/>
                      <a:tailEnd/>
                    </a:ln>
                  </pic:spPr>
                </pic:pic>
              </a:graphicData>
            </a:graphic>
          </wp:inline>
        </w:drawing>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39">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8">
    <w:p>
      <w:pPr>
        <w:pStyle w:val="FootnoteText"/>
      </w:pPr>
      <w:r>
        <w:rPr>
          <w:rStyle w:val="FootnoteReference"/>
        </w:rPr>
        <w:footnoteRef/>
      </w:r>
      <w:r>
        <w:t xml:space="preserve"> </w:t>
      </w:r>
      <w:r>
        <w:t xml:space="preserve">Randomization will be done using bespoke code from previous trials.</w:t>
      </w:r>
    </w:p>
  </w:footnote>
  <w:footnote w:id="72">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4">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95">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8">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1">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2">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3">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4">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pdf" /><Relationship Type="http://schemas.openxmlformats.org/officeDocument/2006/relationships/image" Id="rId193" Target="media/rId193.pdf" /><Relationship Type="http://schemas.openxmlformats.org/officeDocument/2006/relationships/image" Id="rId196" Target="media/rId196.pdf" /><Relationship Type="http://schemas.openxmlformats.org/officeDocument/2006/relationships/image" Id="rId199" Target="media/rId199.pdf" /><Relationship Type="http://schemas.openxmlformats.org/officeDocument/2006/relationships/image" Id="rId79" Target="media/rId79.pdf" /><Relationship Type="http://schemas.openxmlformats.org/officeDocument/2006/relationships/image" Id="rId21" Target="media/rId21.pdf" /><Relationship Type="http://schemas.openxmlformats.org/officeDocument/2006/relationships/image" Id="rId31" Target="media/rId31.pdf" /><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8" Target="" TargetMode="External" /><Relationship Type="http://schemas.openxmlformats.org/officeDocument/2006/relationships/hyperlink" Id="rId132"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30"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36"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34"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26"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28"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24"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22"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2024-01-16T14:33:03Z</dcterms:created>
  <dcterms:modified xsi:type="dcterms:W3CDTF">2024-01-16T14:33:03Z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0.5.0 2024-01-16</vt:lpwstr>
  </property>
  <property fmtid="{D5CDD505-2E9C-101B-9397-08002B2CF9AE}" pid="12" name="toc-title">
    <vt:lpwstr>Table of contents</vt:lpwstr>
  </property>
</Properties>
</file>