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trial-organization"/>
    <w:p>
      <w:pPr>
        <w:pStyle w:val="Heading1"/>
      </w:pPr>
      <w:r>
        <w:t xml:space="preserve">Trial Organization</w:t>
      </w:r>
    </w:p>
    <w:p>
      <w:pPr>
        <w:pStyle w:val="FirstParagraph"/>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zation-overview">
        <w:r>
          <w:rPr>
            <w:rStyle w:val="Hyperlink"/>
          </w:rPr>
          <w:t xml:space="preserve">Figure 1</w:t>
        </w:r>
      </w:hyperlink>
      <w:r>
        <w:t xml:space="preserve">. Details about each committee and group are available in their respective charter.</w:t>
      </w:r>
    </w:p>
    <w:tbl>
      <w:tblPr>
        <w:tblStyle w:val="Table"/>
        <w:tblW w:type="pct" w:w="5000"/>
        <w:tblLook w:firstRow="0" w:lastRow="0" w:firstColumn="0" w:lastColumn="0" w:noHBand="0" w:noVBand="0" w:val="0000"/>
        <w:jc w:val="start"/>
      </w:tblPr>
      <w:tblGrid>
        <w:gridCol w:w="7920"/>
      </w:tblGrid>
      <w:tr>
        <w:tc>
          <w:tcPr/>
          <w:bookmarkStart w:id="23" w:name="fig-organization-overview"/>
          <w:p>
            <w:pPr>
              <w:jc w:val="center"/>
            </w:pPr>
            <w:r>
              <w:drawing>
                <wp:inline>
                  <wp:extent cx="3922776" cy="4727448"/>
                  <wp:effectExtent b="0" l="0" r="0" t="0"/>
                  <wp:docPr descr="" title="" id="21" name="Picture"/>
                  <a:graphic>
                    <a:graphicData uri="http://schemas.openxmlformats.org/drawingml/2006/picture">
                      <pic:pic>
                        <pic:nvPicPr>
                          <pic:cNvPr descr="trial-organisation_files/figure-docx/mermaid-figure-1.png" id="22" name="Picture"/>
                          <pic:cNvPicPr>
                            <a:picLocks noChangeArrowheads="1" noChangeAspect="1"/>
                          </pic:cNvPicPr>
                        </pic:nvPicPr>
                        <pic:blipFill>
                          <a:blip r:embed="rId20"/>
                          <a:stretch>
                            <a:fillRect/>
                          </a:stretch>
                        </pic:blipFill>
                        <pic:spPr bwMode="auto">
                          <a:xfrm>
                            <a:off x="0" y="0"/>
                            <a:ext cx="3922776" cy="47274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organization overview</w:t>
            </w:r>
          </w:p>
          <w:bookmarkEnd w:id="23"/>
        </w:tc>
      </w:tr>
    </w:tbl>
    <w:bookmarkStart w:id="28" w:name="trial-team"/>
    <w:p>
      <w:pPr>
        <w:pStyle w:val="Heading2"/>
      </w:pPr>
      <w:r>
        <w:t xml:space="preserve">Trial team</w:t>
      </w:r>
    </w:p>
    <w:bookmarkStart w:id="24" w:name="responsibility"/>
    <w:p>
      <w:pPr>
        <w:pStyle w:val="Heading3"/>
      </w:pPr>
      <w:r>
        <w:t xml:space="preserve">Responsibility</w:t>
      </w:r>
    </w:p>
    <w:p>
      <w:pPr>
        <w:pStyle w:val="FirstParagraph"/>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bookmarkEnd w:id="24"/>
    <w:bookmarkStart w:id="25" w:name="composition"/>
    <w:p>
      <w:pPr>
        <w:pStyle w:val="Heading3"/>
      </w:pPr>
      <w:r>
        <w:t xml:space="preserve">Composition</w:t>
      </w:r>
    </w:p>
    <w:p>
      <w:pPr>
        <w:pStyle w:val="FirstParagraph"/>
      </w:pPr>
      <w:r>
        <w:t xml:space="preserve">Includes the project manager, clinical research associates, principal investigator and co-investigators as needed.</w:t>
      </w:r>
    </w:p>
    <w:bookmarkEnd w:id="25"/>
    <w:bookmarkStart w:id="26" w:name="relationships"/>
    <w:p>
      <w:pPr>
        <w:pStyle w:val="Heading3"/>
      </w:pPr>
      <w:r>
        <w:t xml:space="preserve">Relationships</w:t>
      </w:r>
    </w:p>
    <w:p>
      <w:pPr>
        <w:pStyle w:val="FirstParagraph"/>
      </w:pPr>
      <w:r>
        <w:t xml:space="preserve">Reports to the TMG, TSC and DMC. Operationalises decisions made by the TMG.</w:t>
      </w:r>
    </w:p>
    <w:bookmarkEnd w:id="26"/>
    <w:bookmarkStart w:id="27" w:name="meeting-frequencies"/>
    <w:p>
      <w:pPr>
        <w:pStyle w:val="Heading3"/>
      </w:pPr>
      <w:r>
        <w:t xml:space="preserve">Meeting frequencies</w:t>
      </w:r>
    </w:p>
    <w:p>
      <w:pPr>
        <w:pStyle w:val="FirstParagraph"/>
      </w:pPr>
      <w:r>
        <w:t xml:space="preserve">As often as needed, often weekly or bi-weekly.</w:t>
      </w:r>
    </w:p>
    <w:bookmarkEnd w:id="27"/>
    <w:bookmarkEnd w:id="28"/>
    <w:bookmarkStart w:id="33" w:name="trial-management-group-tmg"/>
    <w:p>
      <w:pPr>
        <w:pStyle w:val="Heading2"/>
      </w:pPr>
      <w:r>
        <w:t xml:space="preserve">Trial Management Group (TMG)</w:t>
      </w:r>
    </w:p>
    <w:bookmarkStart w:id="29" w:name="responsibility-1"/>
    <w:p>
      <w:pPr>
        <w:pStyle w:val="Heading3"/>
      </w:pPr>
      <w:r>
        <w:t xml:space="preserve">Responsibility</w:t>
      </w:r>
    </w:p>
    <w:p>
      <w:pPr>
        <w:pStyle w:val="FirstParagraph"/>
      </w:pPr>
      <w:r>
        <w:t xml:space="preserve">To manage the trial, including its clinical and practical aspects.</w:t>
      </w:r>
    </w:p>
    <w:bookmarkEnd w:id="29"/>
    <w:bookmarkStart w:id="30" w:name="composition-1"/>
    <w:p>
      <w:pPr>
        <w:pStyle w:val="Heading3"/>
      </w:pPr>
      <w:r>
        <w:t xml:space="preserve">Composition</w:t>
      </w:r>
    </w:p>
    <w:p>
      <w:pPr>
        <w:pStyle w:val="FirstParagraph"/>
      </w:pPr>
      <w:r>
        <w:t xml:space="preserve">Includes members with broad expertise appropriate to the trial. The TMG will be chaired by the Principal Investigator.</w:t>
      </w:r>
    </w:p>
    <w:bookmarkEnd w:id="30"/>
    <w:bookmarkStart w:id="31" w:name="relationships-1"/>
    <w:p>
      <w:pPr>
        <w:pStyle w:val="Heading3"/>
      </w:pPr>
      <w:r>
        <w:t xml:space="preserve">Relationships</w:t>
      </w:r>
    </w:p>
    <w:p>
      <w:pPr>
        <w:pStyle w:val="FirstParagraph"/>
      </w:pPr>
      <w:r>
        <w:t xml:space="preserve">Receives reports from TT. Provides input to the TSC and DMC. Implements decisions made by the TSC.</w:t>
      </w:r>
    </w:p>
    <w:bookmarkEnd w:id="31"/>
    <w:bookmarkStart w:id="32" w:name="meeting-frequencies-1"/>
    <w:p>
      <w:pPr>
        <w:pStyle w:val="Heading3"/>
      </w:pPr>
      <w:r>
        <w:t xml:space="preserve">Meeting frequencies</w:t>
      </w:r>
    </w:p>
    <w:p>
      <w:pPr>
        <w:pStyle w:val="FirstParagraph"/>
      </w:pPr>
      <w:r>
        <w:t xml:space="preserve">Monthly to every six months.</w:t>
      </w:r>
    </w:p>
    <w:bookmarkEnd w:id="32"/>
    <w:bookmarkEnd w:id="33"/>
    <w:bookmarkStart w:id="38" w:name="trial-steering-committee-tsc"/>
    <w:p>
      <w:pPr>
        <w:pStyle w:val="Heading2"/>
      </w:pPr>
      <w:r>
        <w:t xml:space="preserve">Trial Steering Committee (TSC)</w:t>
      </w:r>
    </w:p>
    <w:bookmarkStart w:id="34" w:name="responsibility-2"/>
    <w:p>
      <w:pPr>
        <w:pStyle w:val="Heading3"/>
      </w:pPr>
      <w:r>
        <w:t xml:space="preserve">Responsibility</w:t>
      </w:r>
    </w:p>
    <w:p>
      <w:pPr>
        <w:pStyle w:val="FirstParagraph"/>
      </w:pPr>
      <w:r>
        <w:t xml:space="preserve">The TSC’s responsibility is to oversee the trial and offer guidance to the TMG.</w:t>
      </w:r>
    </w:p>
    <w:bookmarkEnd w:id="34"/>
    <w:bookmarkStart w:id="35" w:name="composition-2"/>
    <w:p>
      <w:pPr>
        <w:pStyle w:val="Heading3"/>
      </w:pPr>
      <w:r>
        <w:t xml:space="preserve">Composition</w:t>
      </w:r>
    </w:p>
    <w:p>
      <w:pPr>
        <w:pStyle w:val="FirstParagraph"/>
      </w:pPr>
      <w:r>
        <w:t xml:space="preserve">A majority of independent members, including a chair, and a minority of members with a direct interest in the trial, including the principal investigator. The chair should be independent of the trial, the sponsor, and the coordinator.</w:t>
      </w:r>
    </w:p>
    <w:bookmarkEnd w:id="35"/>
    <w:bookmarkStart w:id="36" w:name="relationships-2"/>
    <w:p>
      <w:pPr>
        <w:pStyle w:val="Heading3"/>
      </w:pPr>
      <w:r>
        <w:t xml:space="preserve">Relationships</w:t>
      </w:r>
    </w:p>
    <w:p>
      <w:pPr>
        <w:pStyle w:val="FirstParagraph"/>
      </w:pPr>
      <w:r>
        <w:t xml:space="preserve">Receives reports from the trial team and DMC.</w:t>
      </w:r>
    </w:p>
    <w:bookmarkEnd w:id="36"/>
    <w:bookmarkStart w:id="37" w:name="meeting-frequencies-2"/>
    <w:p>
      <w:pPr>
        <w:pStyle w:val="Heading3"/>
      </w:pPr>
      <w:r>
        <w:t xml:space="preserve">Meeting frequencies</w:t>
      </w:r>
    </w:p>
    <w:p>
      <w:pPr>
        <w:pStyle w:val="FirstParagraph"/>
      </w:pPr>
      <w:r>
        <w:t xml:space="preserve">Yearly, but may be more frequent if needed.</w:t>
      </w:r>
    </w:p>
    <w:bookmarkEnd w:id="37"/>
    <w:bookmarkEnd w:id="38"/>
    <w:bookmarkStart w:id="43" w:name="data-monitoring-committee-dmc"/>
    <w:p>
      <w:pPr>
        <w:pStyle w:val="Heading2"/>
      </w:pPr>
      <w:r>
        <w:t xml:space="preserve">Data Monitoring Committee (DMC)</w:t>
      </w:r>
    </w:p>
    <w:bookmarkStart w:id="39" w:name="responsibility-3"/>
    <w:p>
      <w:pPr>
        <w:pStyle w:val="Heading3"/>
      </w:pPr>
      <w:r>
        <w:t xml:space="preserve">Responsibility</w:t>
      </w:r>
    </w:p>
    <w:p>
      <w:pPr>
        <w:pStyle w:val="FirstParagraph"/>
      </w:pPr>
      <w:r>
        <w:t xml:space="preserve">To continuously monitoring trial data to ensure participant safety, data integrity, and ethical conduct.</w:t>
      </w:r>
    </w:p>
    <w:bookmarkEnd w:id="39"/>
    <w:bookmarkStart w:id="40" w:name="composition-3"/>
    <w:p>
      <w:pPr>
        <w:pStyle w:val="Heading3"/>
      </w:pPr>
      <w:r>
        <w:t xml:space="preserve">Composition</w:t>
      </w:r>
    </w:p>
    <w:p>
      <w:pPr>
        <w:pStyle w:val="FirstParagraph"/>
      </w:pPr>
      <w:r>
        <w:t xml:space="preserve">Four external experts specializing in clinical trial management, biostatistics, medical ethics, and the pertinent clinical area.</w:t>
      </w:r>
    </w:p>
    <w:bookmarkEnd w:id="40"/>
    <w:bookmarkStart w:id="41" w:name="relationships-3"/>
    <w:p>
      <w:pPr>
        <w:pStyle w:val="Heading3"/>
      </w:pPr>
      <w:r>
        <w:t xml:space="preserve">Relationships</w:t>
      </w:r>
    </w:p>
    <w:p>
      <w:pPr>
        <w:pStyle w:val="FirstParagraph"/>
      </w:pPr>
      <w:r>
        <w:t xml:space="preserve">Reports to the TSC. Receives reports from the TT.</w:t>
      </w:r>
    </w:p>
    <w:bookmarkEnd w:id="41"/>
    <w:bookmarkStart w:id="42" w:name="meeting-frequencies-3"/>
    <w:p>
      <w:pPr>
        <w:pStyle w:val="Heading3"/>
      </w:pPr>
      <w:r>
        <w:t xml:space="preserve">Meeting frequencies</w:t>
      </w:r>
    </w:p>
    <w:p>
      <w:pPr>
        <w:pStyle w:val="FirstParagraph"/>
      </w:pPr>
      <w:r>
        <w:t xml:space="preserve">After the completion of each batch, but may be more frequent if needed.</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2024-02-08T07:23:21Z</dcterms:created>
  <dcterms:modified xsi:type="dcterms:W3CDTF">2024-02-08T07:23:21Z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