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p>
    <w:p>
      <w:pPr>
        <w:pStyle w:val="Author"/>
      </w:pPr>
      <w:r>
        <w:t xml:space="preserve">Version</w:t>
      </w:r>
      <w:r>
        <w:t xml:space="preserve"> </w:t>
      </w:r>
      <w:r>
        <w:t xml:space="preserve">0.4.0</w:t>
      </w:r>
      <w:r>
        <w:t xml:space="preserve">,</w:t>
      </w:r>
      <w:r>
        <w:t xml:space="preserve"> </w:t>
      </w:r>
      <w:r>
        <w:t xml:space="preserve">2024-10-21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37" w:name="administrative-information"/>
    <w:p>
      <w:pPr>
        <w:pStyle w:val="Heading1"/>
      </w:pPr>
      <w:r>
        <w:t xml:space="preserve">1. Administrative information</w:t>
      </w:r>
    </w:p>
    <w:bookmarkStart w:id="21" w:name="study-identifiers"/>
    <w:p>
      <w:pPr>
        <w:pStyle w:val="Heading2"/>
      </w:pPr>
      <w:r>
        <w:t xml:space="preserve">1.1 Study identifiers</w:t>
      </w:r>
    </w:p>
    <w:p>
      <w:pPr>
        <w:numPr>
          <w:ilvl w:val="0"/>
          <w:numId w:val="1001"/>
        </w:numPr>
      </w:pPr>
      <w:r>
        <w:t xml:space="preserve">Protocol version 1.2.0 dated 2024-08-26</w:t>
      </w:r>
    </w:p>
    <w:p>
      <w:pPr>
        <w:numPr>
          <w:ilvl w:val="0"/>
          <w:numId w:val="1001"/>
        </w:numPr>
      </w:pPr>
      <w:r>
        <w:t xml:space="preserve">ClinicalTrials.gov identifier:</w:t>
      </w:r>
      <w:r>
        <w:t xml:space="preserve"> </w:t>
      </w:r>
      <w:hyperlink r:id="rId20">
        <w:r>
          <w:rPr>
            <w:rStyle w:val="Hyperlink"/>
          </w:rPr>
          <w:t xml:space="preserve">NCT06321419</w:t>
        </w:r>
      </w:hyperlink>
    </w:p>
    <w:p>
      <w:pPr>
        <w:numPr>
          <w:ilvl w:val="0"/>
          <w:numId w:val="1001"/>
        </w:numPr>
      </w:pPr>
      <w:r>
        <w:t xml:space="preserve">Clinical Trials Registry - India identifier: CTRI/2024/07/071336</w:t>
      </w:r>
    </w:p>
    <w:bookmarkEnd w:id="21"/>
    <w:bookmarkStart w:id="22" w:name="changelog"/>
    <w:p>
      <w:pPr>
        <w:pStyle w:val="Heading2"/>
      </w:pPr>
      <w:r>
        <w:t xml:space="preserve">1.2 Changelog</w:t>
      </w:r>
    </w:p>
    <w:p>
      <w:pPr>
        <w:pStyle w:val="FirstParagraph"/>
      </w:pPr>
      <w:r>
        <w:t xml:space="preserve">Once version 1.0.0 is finalised, this section will be updated with a changelog.</w:t>
      </w:r>
    </w:p>
    <w:bookmarkEnd w:id="22"/>
    <w:bookmarkStart w:id="36" w:name="contributors"/>
    <w:p>
      <w:pPr>
        <w:pStyle w:val="Heading2"/>
      </w:pPr>
      <w:r>
        <w:t xml:space="preserve">1.3 Contributors</w:t>
      </w:r>
    </w:p>
    <w:tbl>
      <w:tblPr>
        <w:tblStyle w:val="Table"/>
        <w:tblW w:type="pct" w:w="5000"/>
        <w:tblLook w:firstRow="1" w:lastRow="0" w:firstColumn="0" w:lastColumn="0" w:noHBand="0" w:noVBand="0" w:val="0020"/>
        <w:jc w:val="start"/>
      </w:tblPr>
      <w:tblGrid>
        <w:gridCol w:w="4248"/>
        <w:gridCol w:w="2202"/>
        <w:gridCol w:w="1468"/>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 (MGW)</w:t>
            </w:r>
            <w:r>
              <w:t xml:space="preserve"> </w:t>
            </w:r>
            <w:hyperlink r:id="rId26">
              <w:r>
                <w:drawing>
                  <wp:inline>
                    <wp:extent cx="152400" cy="152400"/>
                    <wp:effectExtent b="0" l="0" r="0" t="0"/>
                    <wp:docPr descr="" title="" id="24" name="Picture"/>
                    <a:graphic>
                      <a:graphicData uri="http://schemas.openxmlformats.org/drawingml/2006/picture">
                        <pic:pic>
                          <pic:nvPicPr>
                            <pic:cNvPr descr="ORCIDiD_icon16x16.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w:t>
            </w:r>
          </w:p>
        </w:tc>
        <w:tc>
          <w:tcPr/>
          <w:p>
            <w:pPr>
              <w:pStyle w:val="Compact"/>
              <w:jc w:val="left"/>
            </w:pPr>
            <w:r>
              <w:t xml:space="preserve">Principal Investigator</w:t>
            </w:r>
          </w:p>
        </w:tc>
      </w:tr>
      <w:tr>
        <w:tc>
          <w:tcPr/>
          <w:p>
            <w:pPr>
              <w:pStyle w:val="Compact"/>
              <w:jc w:val="left"/>
            </w:pPr>
            <w:r>
              <w:t xml:space="preserve">Anna Olofsson (AO)</w:t>
            </w:r>
            <w:r>
              <w:t xml:space="preserve"> </w:t>
            </w:r>
            <w:hyperlink r:id="rId29">
              <w:r>
                <w:drawing>
                  <wp:inline>
                    <wp:extent cx="152400" cy="152400"/>
                    <wp:effectExtent b="0" l="0" r="0" t="0"/>
                    <wp:docPr descr="" title="" id="27" name="Picture"/>
                    <a:graphic>
                      <a:graphicData uri="http://schemas.openxmlformats.org/drawingml/2006/picture">
                        <pic:pic>
                          <pic:nvPicPr>
                            <pic:cNvPr descr="ORCIDiD_icon16x16.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w:t>
            </w:r>
          </w:p>
        </w:tc>
        <w:tc>
          <w:tcPr/>
          <w:p>
            <w:pPr>
              <w:pStyle w:val="Compact"/>
              <w:jc w:val="left"/>
            </w:pPr>
            <w:r>
              <w:t xml:space="preserve">Statistician, TMG member</w:t>
            </w:r>
          </w:p>
        </w:tc>
      </w:tr>
      <w:tr>
        <w:tc>
          <w:tcPr/>
          <w:p>
            <w:pPr>
              <w:pStyle w:val="Compact"/>
              <w:jc w:val="left"/>
            </w:pPr>
            <w:r>
              <w:t xml:space="preserve">Karla Hemming (KH)</w:t>
            </w:r>
            <w:r>
              <w:t xml:space="preserve"> </w:t>
            </w:r>
            <w:hyperlink r:id="rId32">
              <w:r>
                <w:drawing>
                  <wp:inline>
                    <wp:extent cx="152400" cy="152400"/>
                    <wp:effectExtent b="0" l="0" r="0" t="0"/>
                    <wp:docPr descr="" title="" id="30" name="Picture"/>
                    <a:graphic>
                      <a:graphicData uri="http://schemas.openxmlformats.org/drawingml/2006/picture">
                        <pic:pic>
                          <pic:nvPicPr>
                            <pic:cNvPr descr="ORCIDiD_icon16x16.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Statistician, TMG member</w:t>
            </w:r>
          </w:p>
        </w:tc>
      </w:tr>
      <w:tr>
        <w:tc>
          <w:tcPr/>
          <w:p>
            <w:pPr>
              <w:pStyle w:val="Compact"/>
              <w:jc w:val="left"/>
            </w:pPr>
            <w:r>
              <w:t xml:space="preserve">James Martin (JM)</w:t>
            </w:r>
            <w:r>
              <w:t xml:space="preserve"> </w:t>
            </w:r>
            <w:hyperlink r:id="rId35">
              <w:r>
                <w:drawing>
                  <wp:inline>
                    <wp:extent cx="152400" cy="152400"/>
                    <wp:effectExtent b="0" l="0" r="0" t="0"/>
                    <wp:docPr descr="" title="" id="33" name="Picture"/>
                    <a:graphic>
                      <a:graphicData uri="http://schemas.openxmlformats.org/drawingml/2006/picture">
                        <pic:pic>
                          <pic:nvPicPr>
                            <pic:cNvPr descr="ORCIDiD_icon16x16.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Statistician</w:t>
            </w:r>
          </w:p>
        </w:tc>
      </w:tr>
    </w:tbl>
    <w:p>
      <w:r>
        <w:br w:type="page"/>
      </w:r>
    </w:p>
    <w:bookmarkEnd w:id="36"/>
    <w:bookmarkEnd w:id="37"/>
    <w:bookmarkStart w:id="38" w:name="trial-synopsis"/>
    <w:p>
      <w:pPr>
        <w:pStyle w:val="Heading1"/>
      </w:pPr>
      <w:r>
        <w:t xml:space="preserve">2.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p>
      <w:r>
        <w:br w:type="page"/>
      </w:r>
    </w:p>
    <w:bookmarkEnd w:id="38"/>
    <w:bookmarkStart w:id="41" w:name="special-considerations"/>
    <w:p>
      <w:pPr>
        <w:pStyle w:val="Heading1"/>
      </w:pPr>
      <w:r>
        <w:t xml:space="preserve">3. Special considerations</w:t>
      </w:r>
    </w:p>
    <w:bookmarkStart w:id="39" w:name="funding"/>
    <w:p>
      <w:pPr>
        <w:pStyle w:val="Heading2"/>
      </w:pPr>
      <w:r>
        <w:t xml:space="preserve">3.1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39"/>
    <w:bookmarkStart w:id="40" w:name="potential-amendments"/>
    <w:p>
      <w:pPr>
        <w:pStyle w:val="Heading2"/>
      </w:pPr>
      <w:r>
        <w:t xml:space="preserve">3.2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r>
        <w:br w:type="page"/>
      </w:r>
    </w:p>
    <w:bookmarkEnd w:id="40"/>
    <w:bookmarkEnd w:id="41"/>
    <w:bookmarkStart w:id="42" w:name="statistical-analysis"/>
    <w:p>
      <w:pPr>
        <w:pStyle w:val="Heading1"/>
      </w:pPr>
      <w:r>
        <w:t xml:space="preserve">4. Statistical analysis</w:t>
      </w:r>
    </w:p>
    <w:bookmarkEnd w:id="42"/>
    <w:bookmarkStart w:id="107" w:name="aim-and-objectives"/>
    <w:p>
      <w:pPr>
        <w:pStyle w:val="Heading1"/>
      </w:pPr>
      <w:r>
        <w:t xml:space="preserve">5. Aim and objectives</w:t>
      </w:r>
    </w:p>
    <w:bookmarkStart w:id="43" w:name="aim"/>
    <w:p>
      <w:pPr>
        <w:pStyle w:val="Heading2"/>
      </w:pPr>
      <w:r>
        <w:t xml:space="preserve">5.1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43"/>
    <w:bookmarkStart w:id="44" w:name="objectives"/>
    <w:p>
      <w:pPr>
        <w:pStyle w:val="Heading2"/>
      </w:pPr>
      <w:r>
        <w:t xml:space="preserve">5.2 Objectives</w:t>
      </w:r>
    </w:p>
    <w:p>
      <w:pPr>
        <w:numPr>
          <w:ilvl w:val="0"/>
          <w:numId w:val="1002"/>
        </w:numPr>
        <w:pStyle w:val="Compact"/>
      </w:pPr>
      <w:r>
        <w:t xml:space="preserve">To estimate the effects of ATLS</w:t>
      </w:r>
      <w:r>
        <w:rPr>
          <w:vertAlign w:val="superscript"/>
        </w:rPr>
        <w:t xml:space="preserve">®</w:t>
      </w:r>
      <w:r>
        <w:t xml:space="preserve"> </w:t>
      </w:r>
      <w:r>
        <w:t xml:space="preserve">training on 30-day in-hospital mortality compared to standard care.</w:t>
      </w:r>
    </w:p>
    <w:p>
      <w:pPr>
        <w:numPr>
          <w:ilvl w:val="0"/>
          <w:numId w:val="1002"/>
        </w:numPr>
        <w:pStyle w:val="Compact"/>
      </w:pPr>
      <w:r>
        <w:t xml:space="preserve">To assess the robustness of the main analysis results to different model specifications through sensitivity analyses.</w:t>
      </w:r>
    </w:p>
    <w:p>
      <w:pPr>
        <w:numPr>
          <w:ilvl w:val="0"/>
          <w:numId w:val="1002"/>
        </w:numPr>
        <w:pStyle w:val="Compact"/>
      </w:pPr>
      <w:r>
        <w:t xml:space="preserve">To estimate the effects of ATLS</w:t>
      </w:r>
      <w:r>
        <w:rPr>
          <w:vertAlign w:val="superscript"/>
        </w:rPr>
        <w:t xml:space="preserve">®</w:t>
      </w:r>
      <w:r>
        <w:t xml:space="preserve"> </w:t>
      </w:r>
      <w:r>
        <w:t xml:space="preserve">training on secondary outcomes compared to standard care.</w:t>
      </w:r>
    </w:p>
    <w:p>
      <w:pPr>
        <w:numPr>
          <w:ilvl w:val="0"/>
          <w:numId w:val="1002"/>
        </w:numPr>
        <w:pStyle w:val="Compact"/>
      </w:pPr>
      <w:r>
        <w:t xml:space="preserve">To explore the effects of ATLS</w:t>
      </w:r>
      <w:r>
        <w:rPr>
          <w:vertAlign w:val="superscript"/>
        </w:rPr>
        <w:t xml:space="preserve">®</w:t>
      </w:r>
      <w:r>
        <w:t xml:space="preserve"> </w:t>
      </w:r>
      <w:r>
        <w:t xml:space="preserve">training on subgroups of patients compared to standard care.</w:t>
      </w:r>
    </w:p>
    <w:bookmarkEnd w:id="44"/>
    <w:bookmarkStart w:id="49" w:name="design"/>
    <w:p>
      <w:pPr>
        <w:pStyle w:val="Heading2"/>
      </w:pPr>
      <w:r>
        <w:t xml:space="preserve">5.3 Design</w:t>
      </w:r>
    </w:p>
    <w:p>
      <w:pPr>
        <w:pStyle w:val="FirstParagraph"/>
      </w:pPr>
      <w:r>
        <w:t xml:space="preserve">This is a batched stepped-wedge cluster randomised trial, including a total of 30 (see</w:t>
      </w:r>
      <w:r>
        <w:t xml:space="preserve"> </w:t>
      </w:r>
      <w:hyperlink w:anchor="fig-trial-design">
        <w:r>
          <w:rPr>
            <w:rStyle w:val="Hyperlink"/>
          </w:rPr>
          <w:t xml:space="preserve">Figure 1</w:t>
        </w:r>
      </w:hyperlink>
      <w:r>
        <w:t xml:space="preserve">). The trial will be composed of 6 batches of identical 12-period 5-sequence design, with one cluster being assigned to each sequence of each batch</w:t>
      </w:r>
      <w:r>
        <w:rPr>
          <w:vertAlign w:val="superscript"/>
        </w:rPr>
        <w:t xml:space="preserve">1</w:t>
      </w:r>
      <w:r>
        <w:t xml:space="preserve">. Each period is one month, and each cluster will be in the trial for a total of 13 months. The intervention will be implemented during a one-month transition period, which will be excluded from the analysis. There will be an overlap of 6 months between successive batches.</w:t>
      </w:r>
    </w:p>
    <w:tbl>
      <w:tblPr>
        <w:tblStyle w:val="Table"/>
        <w:tblW w:type="pct" w:w="5000"/>
        <w:tblLook w:firstRow="0" w:lastRow="0" w:firstColumn="0" w:lastColumn="0" w:noHBand="0" w:noVBand="0" w:val="0000"/>
        <w:jc w:val="start"/>
      </w:tblPr>
      <w:tblGrid>
        <w:gridCol w:w="7920"/>
      </w:tblGrid>
      <w:tr>
        <w:tc>
          <w:tcPr/>
          <w:bookmarkStart w:id="48" w:name="fig-trial-design"/>
          <w:p>
            <w:pPr>
              <w:jc w:val="center"/>
            </w:pPr>
            <w:r>
              <w:drawing>
                <wp:inline>
                  <wp:extent cx="5334000" cy="2665744"/>
                  <wp:effectExtent b="0" l="0" r="0" t="0"/>
                  <wp:docPr descr="" title="" id="46" name="Picture"/>
                  <a:graphic>
                    <a:graphicData uri="http://schemas.openxmlformats.org/drawingml/2006/picture">
                      <pic:pic>
                        <pic:nvPicPr>
                          <pic:cNvPr descr="trial-design-figure-30-clusters-5-sequences-6-batches-6-batches-overlap-4-min-standard-care-4-min-intervention-1-transition-months-0-transition-overlap.png" id="47" name="Picture"/>
                          <pic:cNvPicPr>
                            <a:picLocks noChangeArrowheads="1" noChangeAspect="1"/>
                          </pic:cNvPicPr>
                        </pic:nvPicPr>
                        <pic:blipFill>
                          <a:blip r:embed="rId45"/>
                          <a:stretch>
                            <a:fillRect/>
                          </a:stretch>
                        </pic:blipFill>
                        <pic:spPr bwMode="auto">
                          <a:xfrm>
                            <a:off x="0" y="0"/>
                            <a:ext cx="5334000" cy="26657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48"/>
        </w:tc>
      </w:tr>
    </w:tbl>
    <w:bookmarkEnd w:id="49"/>
    <w:bookmarkStart w:id="51" w:name="randomisation-of-clusters"/>
    <w:p>
      <w:pPr>
        <w:pStyle w:val="Heading2"/>
      </w:pPr>
      <w:r>
        <w:t xml:space="preserve">5.4 Randomisation of clusters</w:t>
      </w:r>
    </w:p>
    <w:p>
      <w:pPr>
        <w:pStyle w:val="FirstParagraph"/>
      </w:pPr>
      <w:r>
        <w:t xml:space="preserve">We will assign clusters to batches as they are found to be eligible and receive ethical approval. Batches will include clusters from hospitals in different regions to optimize trial logistics. We will randomise the clusters alloted to each batch to the different intervention implementation sequences within that batch</w:t>
      </w:r>
      <w:r>
        <w:rPr>
          <w:rStyle w:val="FootnoteReference"/>
        </w:rPr>
        <w:footnoteReference w:id="50"/>
      </w:r>
      <w:r>
        <w:t xml:space="preserve">. We will balance the randomisation within each batch on cluster size, defined as monthly volume of eligible patient participants, using covariate constrained randomisation. The random allocation sequence will be generated by JM who will send the results to the trial team, to allow the logistics of securing seats in upcoming courses to be initiated. We will conceal the randomisation order to the sites for as long as it is logistically possible, considering that arrangements at the site level for sending physicians to ATLS</w:t>
      </w:r>
      <w:r>
        <w:rPr>
          <w:vertAlign w:val="superscript"/>
        </w:rPr>
        <w:t xml:space="preserve">®</w:t>
      </w:r>
      <w:r>
        <w:t xml:space="preserve"> </w:t>
      </w:r>
      <w:r>
        <w:t xml:space="preserve">training need to be made in advance.</w:t>
      </w:r>
    </w:p>
    <w:bookmarkEnd w:id="51"/>
    <w:bookmarkStart w:id="54" w:name="outcomes"/>
    <w:p>
      <w:pPr>
        <w:pStyle w:val="Heading2"/>
      </w:pPr>
      <w:r>
        <w:t xml:space="preserve">5.5 Outcomes</w:t>
      </w:r>
    </w:p>
    <w:bookmarkStart w:id="52" w:name="primary-outcome"/>
    <w:p>
      <w:pPr>
        <w:pStyle w:val="Heading3"/>
      </w:pPr>
      <w:r>
        <w:t xml:space="preserve">5.5.1 Primary outcome</w:t>
      </w:r>
    </w:p>
    <w:p>
      <w:pPr>
        <w:pStyle w:val="FirstParagraph"/>
      </w:pPr>
      <w:r>
        <w:t xml:space="preserve">The primary outcome will be in-hospital mortality within 30 days of arrival at the emergency department. Clinical research coordinators will extract information on death from 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bookmarkEnd w:id="52"/>
    <w:bookmarkStart w:id="53" w:name="secondary-outcomes"/>
    <w:p>
      <w:pPr>
        <w:pStyle w:val="Heading3"/>
      </w:pPr>
      <w:r>
        <w:t xml:space="preserve">5.5.2 Secondary outcomes</w:t>
      </w:r>
    </w:p>
    <w:p>
      <w:pPr>
        <w:numPr>
          <w:ilvl w:val="0"/>
          <w:numId w:val="1003"/>
        </w:numPr>
        <w:pStyle w:val="Compact"/>
      </w:pPr>
      <w:r>
        <w:t xml:space="preserve">All cause mortality within 24 hours, 30 days and three months of arrival at the emergency department. Data on this outcome will be collected in the same way as for the primary outcome.</w:t>
      </w:r>
    </w:p>
    <w:p>
      <w:pPr>
        <w:numPr>
          <w:ilvl w:val="0"/>
          <w:numId w:val="1003"/>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3"/>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3"/>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3"/>
        </w:numPr>
        <w:pStyle w:val="Compact"/>
      </w:pPr>
      <w:r>
        <w:t xml:space="preserve">Length of emergency department stay. Data on this outcome will be collected from patient hospital records.</w:t>
      </w:r>
    </w:p>
    <w:p>
      <w:pPr>
        <w:numPr>
          <w:ilvl w:val="0"/>
          <w:numId w:val="1003"/>
        </w:numPr>
        <w:pStyle w:val="Compact"/>
      </w:pPr>
      <w:r>
        <w:t xml:space="preserve">Length of hospital stay. Data on this outcome will be collected from patient hospital records.</w:t>
      </w:r>
    </w:p>
    <w:p>
      <w:pPr>
        <w:numPr>
          <w:ilvl w:val="0"/>
          <w:numId w:val="1003"/>
        </w:numPr>
        <w:pStyle w:val="Compact"/>
      </w:pPr>
      <w:r>
        <w:t xml:space="preserve">Intensive care unit admission. Data on this outcome will be collected from patient hospital records.</w:t>
      </w:r>
    </w:p>
    <w:p>
      <w:pPr>
        <w:numPr>
          <w:ilvl w:val="0"/>
          <w:numId w:val="1003"/>
        </w:numPr>
        <w:pStyle w:val="Compact"/>
      </w:pPr>
      <w:r>
        <w:t xml:space="preserve">Length of intensive care unit stay. Data on this outcome will be collected from patient hospital records.</w:t>
      </w:r>
    </w:p>
    <w:p>
      <w:pPr>
        <w:numPr>
          <w:ilvl w:val="0"/>
          <w:numId w:val="1003"/>
        </w:numPr>
        <w:pStyle w:val="Compact"/>
      </w:pPr>
      <w:r>
        <w:t xml:space="preserve">Adherence to ATLS</w:t>
      </w:r>
      <w:r>
        <w:rPr>
          <w:vertAlign w:val="superscript"/>
        </w:rPr>
        <w:t xml:space="preserve">®</w:t>
      </w:r>
      <w:r>
        <w:t xml:space="preserve"> </w:t>
      </w:r>
      <w:r>
        <w:t xml:space="preserve">principles during initial patient resuscitation, up to one hour after the physician has first seen the patient. This assessment will be done using a 14 item checklist covering the key steps of the ATLS</w:t>
      </w:r>
      <w:r>
        <w:rPr>
          <w:vertAlign w:val="superscript"/>
        </w:rPr>
        <w:t xml:space="preserve">®</w:t>
      </w:r>
      <w:r>
        <w:t xml:space="preserve"> </w:t>
      </w:r>
      <w:r>
        <w:t xml:space="preserve">primary survey,which was modelled based on previous work on ATLS</w:t>
      </w:r>
      <w:r>
        <w:rPr>
          <w:vertAlign w:val="superscript"/>
        </w:rPr>
        <w:t xml:space="preserve">®</w:t>
      </w:r>
      <w:r>
        <w:t xml:space="preserve"> </w:t>
      </w:r>
      <w:r>
        <w:t xml:space="preserve">adherence</w:t>
      </w:r>
      <w:r>
        <w:rPr>
          <w:vertAlign w:val="superscript"/>
        </w:rPr>
        <w:t xml:space="preserve">2</w:t>
      </w:r>
      <w:r>
        <w:t xml:space="preserve">. We will consider completion of all 14 steps as 100% adherence. We will collect this data by observing the care of a random sample of patients. The sampling will be designed so that is maximises statistical efficiency. The clinical research coordinators collecting the data will be trained by participating in an ATLS</w:t>
      </w:r>
      <w:r>
        <w:rPr>
          <w:vertAlign w:val="superscript"/>
        </w:rPr>
        <w:t xml:space="preserve">®</w:t>
      </w:r>
      <w:r>
        <w:t xml:space="preserve"> </w:t>
      </w:r>
      <w:r>
        <w:t xml:space="preserve">course as observers, prior to the start of the trial.</w:t>
      </w:r>
    </w:p>
    <w:bookmarkEnd w:id="53"/>
    <w:bookmarkEnd w:id="54"/>
    <w:bookmarkStart w:id="55" w:name="statistical-hypotheses"/>
    <w:p>
      <w:pPr>
        <w:pStyle w:val="Heading2"/>
      </w:pPr>
      <w:r>
        <w:t xml:space="preserve">5.6 Statistical hypotheses</w:t>
      </w:r>
    </w:p>
    <w:p>
      <w:pPr>
        <w:pStyle w:val="FirstParagraph"/>
      </w:pPr>
      <w:r>
        <w:t xml:space="preserve">Our primary statistical hypotheses are:</w:t>
      </w:r>
    </w:p>
    <w:p>
      <w:pPr>
        <w:numPr>
          <w:ilvl w:val="0"/>
          <w:numId w:val="1004"/>
        </w:numPr>
        <w:pStyle w:val="Compact"/>
      </w:pPr>
      <w:r>
        <w:rPr>
          <w:bCs/>
          <w:b/>
        </w:rPr>
        <w:t xml:space="preserve">Null hypothesis</w:t>
      </w:r>
      <w:r>
        <w:t xml:space="preserve">: There is no difference in the primary outcome of 30-day in-hospital mortality between those randomised to ATLS</w:t>
      </w:r>
      <w:r>
        <w:rPr>
          <w:vertAlign w:val="superscript"/>
        </w:rPr>
        <w:t xml:space="preserve">®</w:t>
      </w:r>
      <w:r>
        <w:t xml:space="preserve"> </w:t>
      </w:r>
      <w:r>
        <w:t xml:space="preserve">and standard care, meaning that the odds ratio (OR) for ATLS</w:t>
      </w:r>
      <w:r>
        <w:rPr>
          <w:vertAlign w:val="superscript"/>
        </w:rPr>
        <w:t xml:space="preserve">®</w:t>
      </w:r>
      <w:r>
        <w:t xml:space="preserve"> </w:t>
      </w:r>
      <w:r>
        <w:t xml:space="preserve">vs standard care would be 1.</w:t>
      </w:r>
    </w:p>
    <w:p>
      <w:pPr>
        <w:numPr>
          <w:ilvl w:val="0"/>
          <w:numId w:val="1004"/>
        </w:numPr>
        <w:pStyle w:val="Compact"/>
      </w:pPr>
      <w:r>
        <w:rPr>
          <w:bCs/>
          <w:b/>
        </w:rPr>
        <w:t xml:space="preserve">Alternative hypothesis</w:t>
      </w:r>
      <w:r>
        <w:t xml:space="preserve">: There is an absolute difference in the primary outcome of 30-day in-hospital mortality between those randomised to ATLS</w:t>
      </w:r>
      <w:r>
        <w:rPr>
          <w:vertAlign w:val="superscript"/>
        </w:rPr>
        <w:t xml:space="preserve">®</w:t>
      </w:r>
      <w:r>
        <w:t xml:space="preserve"> </w:t>
      </w:r>
      <w:r>
        <w:t xml:space="preserve">and standard care of at least 5% units, meaning that the OR for ATLS</w:t>
      </w:r>
      <w:r>
        <w:rPr>
          <w:vertAlign w:val="superscript"/>
        </w:rPr>
        <w:t xml:space="preserve">®</w:t>
      </w:r>
      <w:r>
        <w:t xml:space="preserve"> </w:t>
      </w:r>
      <w:r>
        <w:t xml:space="preserve">vs standard care would be different from 1. Our expectation, based on our pilot study and review of the literature, is that the OR will be less than 1, indicating lower odds of 30-day in-hospital mortality among those randomised to ATLS</w:t>
      </w:r>
      <w:r>
        <w:rPr>
          <w:vertAlign w:val="superscript"/>
        </w:rPr>
        <w:t xml:space="preserve">®</w:t>
      </w:r>
      <w:r>
        <w:t xml:space="preserve"> </w:t>
      </w:r>
      <w:r>
        <w:t xml:space="preserve">group compared to those randomised to the standard care group.</w:t>
      </w:r>
    </w:p>
    <w:bookmarkEnd w:id="55"/>
    <w:bookmarkStart w:id="60" w:name="sample-size-calculations"/>
    <w:p>
      <w:pPr>
        <w:pStyle w:val="Heading2"/>
      </w:pPr>
      <w:r>
        <w:t xml:space="preserve">5.7 Sample size calculations</w:t>
      </w:r>
    </w:p>
    <w:p>
      <w:pPr>
        <w:pStyle w:val="FirstParagraph"/>
      </w:pPr>
      <w:r>
        <w:t xml:space="preserve">With 30 clusters across 6 batches and a total sample size of 4320 our study has ~90% power across different combinations of cluster autocorrelations (CAC) and intra-cluster correlations (ICC) to detect a reduction in the primary outcome of in-hospital mortality within 30 days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2</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3,4</w:t>
      </w:r>
      <w:r>
        <w:t xml:space="preserve">, and a CAC of 0.9 but considered sensitivity across the range 0.8-1.0, based on our pilot study and current guidance</w:t>
      </w:r>
      <w:r>
        <w:rPr>
          <w:vertAlign w:val="superscript"/>
        </w:rPr>
        <w:t xml:space="preserve">5–7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59" w:name="fig-power-curves"/>
          <w:p>
            <w:pPr>
              <w:jc w:val="center"/>
            </w:pPr>
            <w:r>
              <w:drawing>
                <wp:inline>
                  <wp:extent cx="5334000" cy="2369551"/>
                  <wp:effectExtent b="0" l="0" r="0" t="0"/>
                  <wp:docPr descr="" title="" id="57" name="Picture"/>
                  <a:graphic>
                    <a:graphicData uri="http://schemas.openxmlformats.org/drawingml/2006/picture">
                      <pic:pic>
                        <pic:nvPicPr>
                          <pic:cNvPr descr="./combined-power-curves.png" id="58" name="Picture"/>
                          <pic:cNvPicPr>
                            <a:picLocks noChangeArrowheads="1" noChangeAspect="1"/>
                          </pic:cNvPicPr>
                        </pic:nvPicPr>
                        <pic:blipFill>
                          <a:blip r:embed="rId56"/>
                          <a:stretch>
                            <a:fillRect/>
                          </a:stretch>
                        </pic:blipFill>
                        <pic:spPr bwMode="auto">
                          <a:xfrm>
                            <a:off x="0" y="0"/>
                            <a:ext cx="5334000" cy="23695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of in-hospital mortality within 30 days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59"/>
        </w:tc>
      </w:tr>
    </w:tbl>
    <w:bookmarkEnd w:id="60"/>
    <w:bookmarkStart w:id="63" w:name="statistical-principles"/>
    <w:p>
      <w:pPr>
        <w:pStyle w:val="Heading2"/>
      </w:pPr>
      <w:r>
        <w:t xml:space="preserve">5.8 Statistical principles</w:t>
      </w:r>
    </w:p>
    <w:bookmarkStart w:id="61" w:name="statistical-software"/>
    <w:p>
      <w:pPr>
        <w:pStyle w:val="Heading3"/>
      </w:pPr>
      <w:r>
        <w:t xml:space="preserve">5.8.1 Statistical software</w:t>
      </w:r>
    </w:p>
    <w:p>
      <w:pPr>
        <w:pStyle w:val="FirstParagraph"/>
      </w:pPr>
      <w:r>
        <w:t xml:space="preserve">We will use the R Statistical Software for all analyses</w:t>
      </w:r>
      <w:r>
        <w:rPr>
          <w:vertAlign w:val="superscript"/>
        </w:rPr>
        <w:t xml:space="preserve">8</w:t>
      </w:r>
      <w:r>
        <w:t xml:space="preserve">.</w:t>
      </w:r>
    </w:p>
    <w:bookmarkEnd w:id="61"/>
    <w:bookmarkStart w:id="62" w:name="Xb3701c3e4f516f3436ab2f14fbfd68958c11744"/>
    <w:p>
      <w:pPr>
        <w:pStyle w:val="Heading3"/>
      </w:pPr>
      <w:r>
        <w:t xml:space="preserve">5.8.2 Levels of statistical significance and confidence</w:t>
      </w:r>
    </w:p>
    <w:p>
      <w:pPr>
        <w:pStyle w:val="FirstParagraph"/>
      </w:pPr>
      <w:r>
        <w:t xml:space="preserve">We will use a two-sided significance level of 0.05 for all analyses, and we will report 95% confidence intervals (CI) for all estimates. We will not adjust for multiple testing because no secondary outcome is regarded as singularly more important.</w:t>
      </w:r>
    </w:p>
    <w:bookmarkEnd w:id="62"/>
    <w:bookmarkEnd w:id="63"/>
    <w:bookmarkStart w:id="64" w:name="analysis-populations"/>
    <w:p>
      <w:pPr>
        <w:pStyle w:val="Heading2"/>
      </w:pPr>
      <w:r>
        <w:t xml:space="preserve">5.9 Analysis populations</w:t>
      </w:r>
    </w:p>
    <w:p>
      <w:pPr>
        <w:pStyle w:val="FirstParagraph"/>
      </w:pPr>
      <w:r>
        <w:t xml:space="preserve">The unit of randomisation is the hospital, because all units trained in the same hospital will be treated as one cluster,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We will use an intention-to-treat approach for all analyses, according to the planned date of transition from standard care. We might consider a per protocol analysis if cluster deviate considerably from the planned date of transition, using the actual date of transition as the cut-off point. We will report the results of the per protocol analysis as a sensitivity analysis. We will use a CONSORT diagram to display the flow of hospitals, clusters and patients through the trial. We will present cluster level summaries of the intervention effect. We will report the study according to the CONSORT guidelines for stepped-wedge randomised trials</w:t>
      </w:r>
      <w:r>
        <w:rPr>
          <w:vertAlign w:val="superscript"/>
        </w:rPr>
        <w:t xml:space="preserve">9</w:t>
      </w:r>
      <w:r>
        <w:t xml:space="preserve">.</w:t>
      </w:r>
    </w:p>
    <w:bookmarkEnd w:id="64"/>
    <w:bookmarkStart w:id="67" w:name="baseline-analyses"/>
    <w:p>
      <w:pPr>
        <w:pStyle w:val="Heading2"/>
      </w:pPr>
      <w:r>
        <w:t xml:space="preserve">5.10 Baseline analyses</w:t>
      </w:r>
    </w:p>
    <w:bookmarkStart w:id="65" w:name="cluster-characteristics"/>
    <w:p>
      <w:pPr>
        <w:pStyle w:val="Heading3"/>
      </w:pPr>
      <w:r>
        <w:t xml:space="preserve">5.10.1 Cluster characteristics</w:t>
      </w:r>
    </w:p>
    <w:p>
      <w:pPr>
        <w:pStyle w:val="FirstParagraph"/>
      </w:pPr>
      <w:r>
        <w:t xml:space="preserve">We will describe cluster characteristics including location and size using frequencies and percentages for discrete variables and means, standard deviations, medians and interquartile ranges (Q1-Q3) for continuous variables.</w:t>
      </w:r>
    </w:p>
    <w:bookmarkEnd w:id="65"/>
    <w:bookmarkStart w:id="66" w:name="patient-characteristics"/>
    <w:p>
      <w:pPr>
        <w:pStyle w:val="Heading3"/>
      </w:pPr>
      <w:r>
        <w:t xml:space="preserve">5.10.2 Patient characteristics</w:t>
      </w:r>
    </w:p>
    <w:p>
      <w:pPr>
        <w:pStyle w:val="FirstParagraph"/>
      </w:pPr>
      <w:r>
        <w:t xml:space="preserve">We will describe patient characteristics at baseline, meaning all pre-training periods, per treatment group and overall using frequencies and percentages for discrete variables and means, standard deviations, medians and interquartile ranges (Q1-Q3) for continuous variables. We will not adjust for clustering when presenting baseline characteristics.</w:t>
      </w:r>
    </w:p>
    <w:bookmarkEnd w:id="66"/>
    <w:bookmarkEnd w:id="67"/>
    <w:bookmarkStart w:id="68" w:name="interim-analysis"/>
    <w:p>
      <w:pPr>
        <w:pStyle w:val="Heading2"/>
      </w:pPr>
      <w:r>
        <w:t xml:space="preserve">5.11 Interim analysis</w:t>
      </w:r>
    </w:p>
    <w:p>
      <w:pPr>
        <w:pStyle w:val="FirstParagraph"/>
      </w:pPr>
      <w:r>
        <w:t xml:space="preserve">There will be one interim analyses after half of the batches have completed the trial. The interim analyses will be assessed by the joint Trial Steering and Data Monitoring Committee. The interim analysis will include the baseline analyses including the frequencies and proportions of the primary outcome in the intervention and control arms. We will not perform any formal hypothesis testing as part of our planned interim analyses.</w:t>
      </w:r>
    </w:p>
    <w:bookmarkEnd w:id="68"/>
    <w:bookmarkStart w:id="93" w:name="analysis-of-the-primary-outcome"/>
    <w:p>
      <w:pPr>
        <w:pStyle w:val="Heading2"/>
      </w:pPr>
      <w:r>
        <w:t xml:space="preserve">5.12 Analysis of the primary outcome</w:t>
      </w:r>
    </w:p>
    <w:p>
      <w:pPr>
        <w:pStyle w:val="FirstParagraph"/>
      </w:pPr>
      <w:r>
        <w:t xml:space="preserve">The primary outcomes is in-hospital mortality within 30 days of arrival at the emergency department and will be analysed as a dichotomous variable. We will estimate the primary intervention effect as the OR of death between the ATLS</w:t>
      </w:r>
      <w:r>
        <w:rPr>
          <w:vertAlign w:val="superscript"/>
        </w:rPr>
        <w:t xml:space="preserve">®</w:t>
      </w:r>
      <w:r>
        <w:t xml:space="preserve"> </w:t>
      </w:r>
      <w:r>
        <w:t xml:space="preserve">and standard care arms, with an OR &lt; 1 indicating lower odds of death in the ATLS</w:t>
      </w:r>
      <w:r>
        <w:rPr>
          <w:vertAlign w:val="superscript"/>
        </w:rPr>
        <w:t xml:space="preserve">®</w:t>
      </w:r>
      <w:r>
        <w:t xml:space="preserve"> </w:t>
      </w:r>
      <w:r>
        <w:t xml:space="preserve">arm compared to the standard care arm and vice versa.</w:t>
      </w:r>
    </w:p>
    <w:bookmarkStart w:id="77" w:name="main-analyses"/>
    <w:p>
      <w:pPr>
        <w:pStyle w:val="Heading3"/>
      </w:pPr>
      <w:r>
        <w:t xml:space="preserve">5.12.1 Main analyses</w:t>
      </w:r>
    </w:p>
    <w:bookmarkStart w:id="74" w:name="Xdc460f49967aff9b7dad1a3addeafc33b74ab95"/>
    <w:p>
      <w:pPr>
        <w:pStyle w:val="Heading4"/>
      </w:pPr>
      <w:r>
        <w:t xml:space="preserve">Mixed effects binomial model with logit link</w:t>
      </w:r>
    </w:p>
    <w:p>
      <w:pPr>
        <w:pStyle w:val="FirstParagraph"/>
      </w:pPr>
      <w:r>
        <w:t xml:space="preserve">We will use a mixed effects binomial model with a logit link to estimate the OR. We will include fixed effects for period as a categorical variable and a fixed effect for intervention exposure</w:t>
      </w:r>
      <w:r>
        <w:rPr>
          <w:rStyle w:val="FootnoteReference"/>
        </w:rPr>
        <w:footnoteReference w:id="69"/>
      </w:r>
      <w:r>
        <w:t xml:space="preserve">. The primary analysis will allow for clustering as a random cluster and random cluster by period effect</w:t>
      </w:r>
      <w:r>
        <w:rPr>
          <w:rStyle w:val="FootnoteReference"/>
        </w:rPr>
        <w:footnoteReference w:id="70"/>
      </w:r>
      <w:r>
        <w:t xml:space="preserve">, both assumed to follow a normal distribution. The full model is specified in</w:t>
      </w:r>
      <w:r>
        <w:t xml:space="preserve"> </w:t>
      </w:r>
      <w:hyperlink w:anchor="eq-logit-model">
        <w:r>
          <w:rPr>
            <w:rStyle w:val="Hyperlink"/>
          </w:rPr>
          <w:t xml:space="preserve">Equation 1</w:t>
        </w:r>
      </w:hyperlink>
      <w:r>
        <w:t xml:space="preserve">. To correct the potential inflation of the type I error rate due to small number of clusters, the Kenward and Roger small sample correction will be used [</w:t>
      </w:r>
      <w:r>
        <w:rPr>
          <w:vertAlign w:val="superscript"/>
        </w:rPr>
        <w:t xml:space="preserve">10</w:t>
      </w:r>
      <w:r>
        <w:t xml:space="preserve">]</w:t>
      </w:r>
      <w:r>
        <w:rPr>
          <w:rStyle w:val="FootnoteReference"/>
        </w:rPr>
        <w:footnoteReference w:id="71"/>
      </w:r>
      <w:r>
        <w:t xml:space="preserve">. This model will be fitted using residual pseudo-likelihood estimation based on linearization with subject-specific expansion (RSPL).</w:t>
      </w:r>
    </w:p>
    <w:p>
      <w:pPr>
        <w:pStyle w:val="BodyText"/>
      </w:pPr>
      <w:bookmarkStart w:id="72" w:name="eq-logit-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1</m:t>
              </m:r>
            </m:e>
          </m:d>
        </m:oMath>
      </m:oMathPara>
      <w:bookmarkEnd w:id="72"/>
    </w:p>
    <w:p>
      <w:pPr>
        <w:pStyle w:val="FirstParagraph"/>
      </w:pPr>
      <w:r>
        <w:t xml:space="preserve">Where:</w:t>
      </w:r>
    </w:p>
    <w:p>
      <w:pPr>
        <w:numPr>
          <w:ilvl w:val="0"/>
          <w:numId w:val="1005"/>
        </w:numPr>
        <w:pStyle w:val="Compact"/>
      </w:pPr>
      <m:oMath>
        <m:r>
          <m:rPr>
            <m:nor/>
            <m:sty m:val="p"/>
          </m:rPr>
          <m:t>Pr</m:t>
        </m:r>
        <m:d>
          <m:dPr>
            <m:begChr m:val="("/>
            <m:endChr m:val=")"/>
            <m:sepChr m:val=""/>
            <m:grow/>
          </m:dPr>
          <m:e>
            <m:sSub>
              <m:e>
                <m:r>
                  <m:t>Y</m:t>
                </m:r>
              </m:e>
              <m:sub>
                <m:r>
                  <m:t>b</m:t>
                </m:r>
                <m:r>
                  <m:t>k</m:t>
                </m:r>
                <m:r>
                  <m:t>t</m:t>
                </m:r>
                <m:r>
                  <m:t>i</m:t>
                </m:r>
              </m:sub>
            </m:sSub>
            <m:r>
              <m:rPr>
                <m:sty m:val="p"/>
              </m:rPr>
              <m:t>=</m:t>
            </m:r>
            <m:r>
              <m:t>1</m:t>
            </m:r>
          </m:e>
        </m:d>
      </m:oMath>
      <w:r>
        <w:t xml:space="preserve">: the probability of death for patient</w:t>
      </w:r>
      <w:r>
        <w:t xml:space="preserve"> </w:t>
      </w:r>
      <m:oMath>
        <m:r>
          <m:t>i</m:t>
        </m:r>
        <m:r>
          <m:rPr>
            <m:sty m:val="p"/>
          </m:rPr>
          <m:t>=</m:t>
        </m:r>
        <m:r>
          <m:t>1</m:t>
        </m:r>
        <m:r>
          <m:rPr>
            <m:sty m:val="p"/>
          </m:rPr>
          <m:t>,</m:t>
        </m:r>
        <m:r>
          <m:rPr>
            <m:sty m:val="p"/>
          </m:rPr>
          <m:t>…</m:t>
        </m:r>
        <m:r>
          <m:rPr>
            <m:sty m:val="p"/>
          </m:rPr>
          <m:t>,</m:t>
        </m:r>
        <m:r>
          <m:t>m</m:t>
        </m:r>
      </m:oMath>
      <w:r>
        <w:t xml:space="preserve"> </w:t>
      </w:r>
      <w:r>
        <w:t xml:space="preserve">in cluster</w:t>
      </w:r>
      <w:r>
        <w:t xml:space="preserve"> </w:t>
      </w:r>
      <m:oMath>
        <m:r>
          <m:t>k</m:t>
        </m:r>
        <m:r>
          <m:rPr>
            <m:sty m:val="p"/>
          </m:rPr>
          <m:t>=</m:t>
        </m:r>
        <m:r>
          <m:t>1</m:t>
        </m:r>
        <m:r>
          <m:rPr>
            <m:sty m:val="p"/>
          </m:rPr>
          <m:t>,</m:t>
        </m:r>
        <m:r>
          <m:rPr>
            <m:sty m:val="p"/>
          </m:rPr>
          <m:t>…</m:t>
        </m:r>
        <m:r>
          <m:rPr>
            <m:sty m:val="p"/>
          </m:rPr>
          <m:t>,</m:t>
        </m:r>
        <m:r>
          <m:t>30</m:t>
        </m:r>
      </m:oMath>
      <w:r>
        <w:t xml:space="preserve"> </w:t>
      </w:r>
      <w:r>
        <w:t xml:space="preserve">during period</w:t>
      </w:r>
      <w:r>
        <w:t xml:space="preserve"> </w:t>
      </w:r>
      <m:oMath>
        <m:r>
          <m:t>t</m:t>
        </m:r>
        <m:r>
          <m:rPr>
            <m:sty m:val="p"/>
          </m:rPr>
          <m:t>=</m:t>
        </m:r>
        <m:r>
          <m:t>1</m:t>
        </m:r>
        <m:r>
          <m:rPr>
            <m:sty m:val="p"/>
          </m:rPr>
          <m:t>,</m:t>
        </m:r>
        <m:r>
          <m:rPr>
            <m:sty m:val="p"/>
          </m:rPr>
          <m:t>…</m:t>
        </m:r>
        <m:r>
          <m:rPr>
            <m:sty m:val="p"/>
          </m:rPr>
          <m:t>,</m:t>
        </m:r>
        <m:r>
          <m:t>12</m:t>
        </m:r>
      </m:oMath>
      <w:r>
        <w:t xml:space="preserve"> </w:t>
      </w:r>
      <w:r>
        <w:t xml:space="preserve">in batch</w:t>
      </w:r>
      <w:r>
        <w:t xml:space="preserve"> </w:t>
      </w:r>
      <m:oMath>
        <m:r>
          <m:t>b</m:t>
        </m:r>
        <m:r>
          <m:rPr>
            <m:sty m:val="p"/>
          </m:rPr>
          <m:t>=</m:t>
        </m:r>
        <m:r>
          <m:t>1</m:t>
        </m:r>
        <m:r>
          <m:rPr>
            <m:sty m:val="p"/>
          </m:rPr>
          <m:t>,</m:t>
        </m:r>
        <m:r>
          <m:rPr>
            <m:sty m:val="p"/>
          </m:rPr>
          <m:t>…</m:t>
        </m:r>
        <m:r>
          <m:rPr>
            <m:sty m:val="p"/>
          </m:rPr>
          <m:t>,</m:t>
        </m:r>
        <m:r>
          <m:t>6</m:t>
        </m:r>
      </m:oMath>
      <w:r>
        <w:t xml:space="preserve">.</w:t>
      </w:r>
    </w:p>
    <w:p>
      <w:pPr>
        <w:numPr>
          <w:ilvl w:val="0"/>
          <w:numId w:val="1005"/>
        </w:numPr>
        <w:pStyle w:val="Compact"/>
      </w:pPr>
      <m:oMath>
        <m:r>
          <m:t>μ</m:t>
        </m:r>
      </m:oMath>
      <w:r>
        <w:t xml:space="preserve">: the intercept, representing the baseline log-odds of the outcome when all predictors are set to 1.</w:t>
      </w:r>
    </w:p>
    <w:p>
      <w:pPr>
        <w:numPr>
          <w:ilvl w:val="0"/>
          <w:numId w:val="1005"/>
        </w:numPr>
        <w:pStyle w:val="Compact"/>
      </w:pPr>
      <m:oMath>
        <m:sSub>
          <m:e>
            <m:r>
              <m:t>β</m:t>
            </m:r>
          </m:e>
          <m:sub>
            <m:r>
              <m:t>b</m:t>
            </m:r>
            <m:r>
              <m:t>t</m:t>
            </m:r>
          </m:sub>
        </m:sSub>
      </m:oMath>
      <w:r>
        <w:t xml:space="preserve">: the fixed effect of period</w:t>
      </w:r>
      <w:r>
        <w:t xml:space="preserve"> </w:t>
      </w:r>
      <m:oMath>
        <m:r>
          <m:t>t</m:t>
        </m:r>
      </m:oMath>
      <w:r>
        <w:t xml:space="preserve"> </w:t>
      </w:r>
      <w:r>
        <w:t xml:space="preserve">in batch</w:t>
      </w:r>
      <w:r>
        <w:t xml:space="preserve"> </w:t>
      </w:r>
      <m:oMath>
        <m:r>
          <m:t>b</m:t>
        </m:r>
      </m:oMath>
      <w:r>
        <w:t xml:space="preserve">, accounting for a separate period effect for each batch, so that there is a total of 72 period effects.</w:t>
      </w:r>
      <w:r>
        <w:rPr>
          <w:rStyle w:val="FootnoteReference"/>
        </w:rPr>
        <w:footnoteReference w:id="73"/>
      </w:r>
    </w:p>
    <w:p>
      <w:pPr>
        <w:numPr>
          <w:ilvl w:val="0"/>
          <w:numId w:val="1005"/>
        </w:numPr>
        <w:pStyle w:val="Compact"/>
      </w:pPr>
      <m:oMath>
        <m:r>
          <m:t>θ</m:t>
        </m:r>
      </m:oMath>
      <w:r>
        <w:t xml:space="preserve">: the fixed effect of intervention exposure, representing the effect of ATLS® exposure on the probability of death.</w:t>
      </w:r>
    </w:p>
    <w:p>
      <w:pPr>
        <w:numPr>
          <w:ilvl w:val="0"/>
          <w:numId w:val="1005"/>
        </w:numPr>
        <w:pStyle w:val="Compact"/>
      </w:pPr>
      <m:oMath>
        <m:sSub>
          <m:e>
            <m:r>
              <m:t>X</m:t>
            </m:r>
          </m:e>
          <m:sub>
            <m:r>
              <m:t>b</m:t>
            </m:r>
            <m:r>
              <m:t>k</m:t>
            </m:r>
            <m:r>
              <m:t>t</m:t>
            </m:r>
          </m:sub>
        </m:sSub>
      </m:oMath>
      <w:r>
        <w:t xml:space="preserve">: the treatment arm indicator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 </w:t>
      </w:r>
      <w:r>
        <w:t xml:space="preserve">in batch</w:t>
      </w:r>
      <w:r>
        <w:t xml:space="preserve"> </w:t>
      </w:r>
      <m:oMath>
        <m:r>
          <m:t>b</m:t>
        </m:r>
      </m:oMath>
      <w:r>
        <w:t xml:space="preserve">, with</w:t>
      </w:r>
      <w:r>
        <w:t xml:space="preserve"> </w:t>
      </w:r>
      <m:oMath>
        <m:sSub>
          <m:e>
            <m:r>
              <m:t>X</m:t>
            </m:r>
          </m:e>
          <m:sub>
            <m:r>
              <m:t>b</m:t>
            </m:r>
            <m:r>
              <m:t>k</m:t>
            </m:r>
            <m:r>
              <m:t>t</m:t>
            </m:r>
          </m:sub>
        </m:sSub>
        <m:r>
          <m:rPr>
            <m:sty m:val="p"/>
          </m:rPr>
          <m:t>=</m:t>
        </m:r>
        <m:r>
          <m:t>1</m:t>
        </m:r>
      </m:oMath>
      <w:r>
        <w:t xml:space="preserve"> </w:t>
      </w:r>
      <w:r>
        <w:t xml:space="preserve">for ATLS</w:t>
      </w:r>
      <w:r>
        <w:rPr>
          <w:vertAlign w:val="superscript"/>
        </w:rPr>
        <w:t xml:space="preserve">®</w:t>
      </w:r>
      <w:r>
        <w:t xml:space="preserve"> </w:t>
      </w:r>
      <w:r>
        <w:t xml:space="preserve">and</w:t>
      </w:r>
      <w:r>
        <w:t xml:space="preserve"> </w:t>
      </w:r>
      <m:oMath>
        <m:sSub>
          <m:e>
            <m:r>
              <m:t>X</m:t>
            </m:r>
          </m:e>
          <m:sub>
            <m:r>
              <m:t>b</m:t>
            </m:r>
            <m:r>
              <m:t>k</m:t>
            </m:r>
            <m:r>
              <m:t>t</m:t>
            </m:r>
          </m:sub>
        </m:sSub>
        <m:r>
          <m:rPr>
            <m:sty m:val="p"/>
          </m:rPr>
          <m:t>=</m:t>
        </m:r>
        <m:r>
          <m:t>0</m:t>
        </m:r>
      </m:oMath>
      <w:r>
        <w:t xml:space="preserve"> </w:t>
      </w:r>
      <w:r>
        <w:t xml:space="preserve">for standard care.</w:t>
      </w:r>
    </w:p>
    <w:p>
      <w:pPr>
        <w:numPr>
          <w:ilvl w:val="0"/>
          <w:numId w:val="1005"/>
        </w:numPr>
        <w:pStyle w:val="Compact"/>
      </w:pPr>
      <m:oMath>
        <m:sSub>
          <m:e>
            <m:r>
              <m:t>α</m:t>
            </m:r>
          </m:e>
          <m:sub>
            <m:r>
              <m:t>b</m:t>
            </m:r>
            <m:r>
              <m:t>k</m:t>
            </m:r>
          </m:sub>
        </m:sSub>
      </m:oMath>
      <w:r>
        <w:t xml:space="preserve">: the random effect of cluster</w:t>
      </w:r>
      <w:r>
        <w:t xml:space="preserve"> </w:t>
      </w:r>
      <m:oMath>
        <m:r>
          <m:t>k</m:t>
        </m:r>
      </m:oMath>
      <w:r>
        <w:t xml:space="preserve"> </w:t>
      </w:r>
      <w:r>
        <w:t xml:space="preserve">in batch</w:t>
      </w:r>
      <w:r>
        <w:t xml:space="preserve"> </w:t>
      </w:r>
      <m:oMath>
        <m:r>
          <m:t>b</m:t>
        </m:r>
      </m:oMath>
      <w:r>
        <w:t xml:space="preserve">, representing the variability in outcomes between different clusters (hospitals) across batches.</w:t>
      </w:r>
    </w:p>
    <w:p>
      <w:pPr>
        <w:numPr>
          <w:ilvl w:val="0"/>
          <w:numId w:val="1005"/>
        </w:numPr>
        <w:pStyle w:val="Compact"/>
      </w:pPr>
      <m:oMath>
        <m:sSub>
          <m:e>
            <m:r>
              <m:t>γ</m:t>
            </m:r>
          </m:e>
          <m:sub>
            <m:r>
              <m:t>b</m:t>
            </m:r>
            <m:r>
              <m:t>k</m:t>
            </m:r>
            <m:r>
              <m:t>t</m:t>
            </m:r>
          </m:sub>
        </m:sSub>
      </m:oMath>
      <w:r>
        <w:t xml:space="preserve">: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accounting for the random variation within clusters across periods and batches, including potential interaction effects between clusters and time.</w:t>
      </w:r>
    </w:p>
    <w:p>
      <w:pPr>
        <w:pStyle w:val="FirstParagraph"/>
      </w:pPr>
      <w:r>
        <w:t xml:space="preserve">We will present the effect of ATLS</w:t>
      </w:r>
      <w:r>
        <w:rPr>
          <w:vertAlign w:val="superscript"/>
        </w:rPr>
        <w:t xml:space="preserve">®</w:t>
      </w:r>
      <w:r>
        <w:t xml:space="preserve"> </w:t>
      </w:r>
      <w:r>
        <w:t xml:space="preserve">exposure as an odds ratio (OR) for mortality with an associated 95% CI, using the standard care arm as the reference. Additionally, we will present the risk difference with a 95% CI. The randomization within each batch will be balanced based on cluster size, defined as the expected monthly volume of eligible patient participants. Therefore, no further adjustment for cluster size will be made in the main analysis.</w:t>
      </w:r>
    </w:p>
    <w:bookmarkEnd w:id="74"/>
    <w:bookmarkStart w:id="76" w:name="model-with-identify-link"/>
    <w:p>
      <w:pPr>
        <w:pStyle w:val="Heading4"/>
      </w:pPr>
      <w:r>
        <w:t xml:space="preserve">Model with identify link</w:t>
      </w:r>
    </w:p>
    <w:p>
      <w:pPr>
        <w:pStyle w:val="FirstParagraph"/>
      </w:pPr>
      <w:r>
        <w:t xml:space="preserve">We will use an identity link used to estimate the risk difference, meaning that the coefficient will be interpreted as the difference in the probability of death between the ATLS</w:t>
      </w:r>
      <w:r>
        <w:rPr>
          <w:vertAlign w:val="superscript"/>
        </w:rPr>
        <w:t xml:space="preserve">®</w:t>
      </w:r>
      <w:r>
        <w:t xml:space="preserve"> </w:t>
      </w:r>
      <w:r>
        <w:t xml:space="preserve">and standard care arms, as an alternative to the OR. We will present the risk difference with a 95% CI. This model is specified in</w:t>
      </w:r>
      <w:r>
        <w:t xml:space="preserve"> </w:t>
      </w:r>
      <w:hyperlink w:anchor="eq-identity-model">
        <w:r>
          <w:rPr>
            <w:rStyle w:val="Hyperlink"/>
          </w:rPr>
          <w:t xml:space="preserve">Equation 2</w:t>
        </w:r>
      </w:hyperlink>
      <w:r>
        <w:t xml:space="preserve"> </w:t>
      </w:r>
      <w:r>
        <w:t xml:space="preserve">and will also be fitted using RSPL. If the binomial model with the identity link does not converge then only a odds ratio will be reported.</w:t>
      </w:r>
    </w:p>
    <w:p>
      <w:pPr>
        <w:pStyle w:val="BodyText"/>
      </w:pPr>
      <w:bookmarkStart w:id="75" w:name="eq-identity-model"/>
      <m:oMathPara>
        <m:oMathParaPr>
          <m:jc m:val="center"/>
        </m:oMathParaPr>
        <m:oMath>
          <m:r>
            <m:rPr>
              <m:nor/>
              <m:sty m:val="p"/>
            </m:rPr>
            <m:t>Pr</m:t>
          </m:r>
          <m:d>
            <m:dPr>
              <m:begChr m:val="("/>
              <m:endChr m:val=")"/>
              <m:sepChr m:val=""/>
              <m:grow/>
            </m:dPr>
            <m:e>
              <m:sSub>
                <m:e>
                  <m:r>
                    <m:t>Y</m:t>
                  </m:r>
                </m:e>
                <m:sub>
                  <m:r>
                    <m:t>b</m:t>
                  </m:r>
                  <m:r>
                    <m:t>k</m:t>
                  </m:r>
                  <m:r>
                    <m:t>t</m:t>
                  </m:r>
                  <m:r>
                    <m:t>i</m:t>
                  </m:r>
                </m:sub>
              </m:sSub>
              <m:r>
                <m:rPr>
                  <m:sty m:val="p"/>
                </m:rPr>
                <m:t>=</m:t>
              </m:r>
              <m:r>
                <m:t>1</m:t>
              </m:r>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2</m:t>
              </m:r>
            </m:e>
          </m:d>
        </m:oMath>
      </m:oMathPara>
      <w:bookmarkEnd w:id="75"/>
    </w:p>
    <w:p>
      <w:pPr>
        <w:pStyle w:val="FirstParagraph"/>
      </w:pPr>
      <w:r>
        <w:t xml:space="preserve">Where:</w:t>
      </w:r>
    </w:p>
    <w:p>
      <w:pPr>
        <w:numPr>
          <w:ilvl w:val="0"/>
          <w:numId w:val="1006"/>
        </w:numPr>
        <w:pStyle w:val="Compact"/>
      </w:pPr>
      <m:oMath>
        <m:r>
          <m:t>μ</m:t>
        </m:r>
      </m:oMath>
      <w:r>
        <w:t xml:space="preserve">: the intercept, representing the baseline probability of the outcome when all predictors are zero.</w:t>
      </w:r>
    </w:p>
    <w:bookmarkEnd w:id="76"/>
    <w:bookmarkEnd w:id="77"/>
    <w:bookmarkStart w:id="87" w:name="sensitivity-analyses"/>
    <w:p>
      <w:pPr>
        <w:pStyle w:val="Heading3"/>
      </w:pPr>
      <w:r>
        <w:t xml:space="preserve">5.12.2 Sensitivity analyses</w:t>
      </w:r>
    </w:p>
    <w:p>
      <w:pPr>
        <w:pStyle w:val="FirstParagraph"/>
      </w:pPr>
      <w:r>
        <w:t xml:space="preserve">The sensitivity analyses 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operationalised using two separate models, one with the logit link and one with the identity link. We will first explore more complex correlation structures. We will then model time using a spline function. Finally, we will conduct a fully adjusted covariate analysis.</w:t>
      </w:r>
    </w:p>
    <w:bookmarkStart w:id="80" w:name="X34badd1093e9e7c7bfe97980565489a18ac7362"/>
    <w:p>
      <w:pPr>
        <w:pStyle w:val="Heading4"/>
      </w:pPr>
      <w:r>
        <w:t xml:space="preserve">Models with different correlation structure</w:t>
      </w:r>
    </w:p>
    <w:p>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 First, we will include a discrete time decay correlation structure including a random cluster effect with auto-regressive structure (AR(1)), described in</w:t>
      </w:r>
      <w:r>
        <w:t xml:space="preserve"> </w:t>
      </w:r>
      <w:hyperlink w:anchor="eq-ar1">
        <w:r>
          <w:rPr>
            <w:rStyle w:val="Hyperlink"/>
          </w:rPr>
          <w:t xml:space="preserve">Equation 3</w:t>
        </w:r>
      </w:hyperlink>
      <w:r>
        <w:t xml:space="preserve">.</w:t>
      </w:r>
    </w:p>
    <w:p>
      <w:pPr>
        <w:pStyle w:val="BodyText"/>
      </w:pPr>
      <w:bookmarkStart w:id="78" w:name="eq-ar1"/>
      <m:oMathPara>
        <m:oMathParaPr>
          <m:jc m:val="center"/>
        </m:oMathParaPr>
        <m:oMath>
          <m:sSub>
            <m:e>
              <m:r>
                <m:t>α</m:t>
              </m:r>
            </m:e>
            <m:sub>
              <m:r>
                <m:t>b</m:t>
              </m:r>
              <m:r>
                <m:t>k</m:t>
              </m:r>
              <m:r>
                <m:rPr>
                  <m:sty m:val="p"/>
                </m:rPr>
                <m:t>,</m:t>
              </m:r>
              <m:r>
                <m:t>t</m:t>
              </m:r>
            </m:sub>
          </m:sSub>
          <m:r>
            <m:rPr>
              <m:sty m:val="p"/>
            </m:rPr>
            <m:t>=</m:t>
          </m:r>
          <m:r>
            <m:t>ρ</m:t>
          </m:r>
          <m:sSub>
            <m:e>
              <m:r>
                <m:t>α</m:t>
              </m:r>
            </m:e>
            <m:sub>
              <m:r>
                <m:t>b</m:t>
              </m:r>
              <m:r>
                <m:t>k</m:t>
              </m:r>
              <m:r>
                <m:rPr>
                  <m:sty m:val="p"/>
                </m:rPr>
                <m:t>,</m:t>
              </m:r>
              <m:r>
                <m:t>t</m:t>
              </m:r>
              <m:r>
                <m:rPr>
                  <m:sty m:val="p"/>
                </m:rPr>
                <m:t>−</m:t>
              </m:r>
              <m:r>
                <m:t>1</m:t>
              </m:r>
            </m:sub>
          </m:sSub>
          <m:r>
            <m:rPr>
              <m:sty m:val="p"/>
            </m:rPr>
            <m:t>+</m:t>
          </m:r>
          <m:sSub>
            <m:e>
              <m:r>
                <m:t>ϵ</m:t>
              </m:r>
            </m:e>
            <m:sub>
              <m:r>
                <m:t>t</m:t>
              </m:r>
            </m:sub>
          </m:sSub>
          <m:r>
            <m:rPr>
              <m:sty m:val="p"/>
            </m:rPr>
            <m:t>,</m:t>
          </m:r>
          <m:r>
            <m:t> </m:t>
          </m:r>
          <m:sSub>
            <m:e>
              <m:r>
                <m:t>ϵ</m:t>
              </m:r>
            </m:e>
            <m:sub>
              <m:r>
                <m:t>t</m:t>
              </m:r>
            </m:sub>
          </m:sSub>
          <m:r>
            <m:rPr>
              <m:sty m:val="p"/>
            </m:rPr>
            <m:t>∼</m:t>
          </m:r>
          <m:r>
            <m:t>N</m:t>
          </m:r>
          <m:d>
            <m:dPr>
              <m:begChr m:val="("/>
              <m:endChr m:val=")"/>
              <m:sepChr m:val=""/>
              <m:grow/>
            </m:dPr>
            <m:e>
              <m:r>
                <m:t>0</m:t>
              </m:r>
              <m:r>
                <m:rPr>
                  <m:sty m:val="p"/>
                </m:rPr>
                <m:t>,</m:t>
              </m:r>
              <m:sSubSup>
                <m:e>
                  <m:r>
                    <m:t>σ</m:t>
                  </m:r>
                </m:e>
                <m:sub>
                  <m:r>
                    <m:t>α</m:t>
                  </m:r>
                </m:sub>
                <m:sup>
                  <m:r>
                    <m:t>2</m:t>
                  </m:r>
                </m:sup>
              </m:sSubSup>
            </m:e>
          </m:d>
          <m:r>
            <m:t>  </m:t>
          </m:r>
          <m:d>
            <m:dPr>
              <m:begChr m:val="("/>
              <m:endChr m:val=")"/>
              <m:sepChr m:val=""/>
              <m:grow/>
            </m:dPr>
            <m:e>
              <m:r>
                <m:t>3</m:t>
              </m:r>
            </m:e>
          </m:d>
        </m:oMath>
      </m:oMathPara>
      <w:bookmarkEnd w:id="78"/>
    </w:p>
    <w:p>
      <w:pPr>
        <w:pStyle w:val="FirstParagraph"/>
      </w:pPr>
      <w:r>
        <w:t xml:space="preserve">Where:</w:t>
      </w:r>
    </w:p>
    <w:p>
      <w:pPr>
        <w:numPr>
          <w:ilvl w:val="0"/>
          <w:numId w:val="1007"/>
        </w:numPr>
        <w:pStyle w:val="Compact"/>
      </w:pPr>
      <m:oMath>
        <m:r>
          <m:t>ρ</m:t>
        </m:r>
      </m:oMath>
      <w:r>
        <w:t xml:space="preserve">: the correlation between the random effects of two consecutive periods, the period</w:t>
      </w:r>
      <w:r>
        <w:t xml:space="preserve"> </w:t>
      </w:r>
      <m:oMath>
        <m:r>
          <m:t>t</m:t>
        </m:r>
      </m:oMath>
      <w:r>
        <w:t xml:space="preserve"> </w:t>
      </w:r>
      <w:r>
        <w:t xml:space="preserve">and the period</w:t>
      </w:r>
      <w:r>
        <w:t xml:space="preserve"> </w:t>
      </w:r>
      <m:oMath>
        <m:r>
          <m:t>t</m:t>
        </m:r>
        <m:r>
          <m:rPr>
            <m:sty m:val="p"/>
          </m:rPr>
          <m:t>−</m:t>
        </m:r>
        <m:r>
          <m:t>1</m:t>
        </m:r>
      </m:oMath>
      <w:r>
        <w:t xml:space="preserve">, reflecting how outcomes in one period are correlated with outcomes in the previous period within the same cluster.</w:t>
      </w:r>
    </w:p>
    <w:p>
      <w:pPr>
        <w:numPr>
          <w:ilvl w:val="0"/>
          <w:numId w:val="1007"/>
        </w:numPr>
        <w:pStyle w:val="Compact"/>
      </w:pPr>
      <m:oMath>
        <m:sSub>
          <m:e>
            <m:r>
              <m:t>α</m:t>
            </m:r>
          </m:e>
          <m:sub>
            <m:r>
              <m:t>b</m:t>
            </m:r>
            <m:r>
              <m:t>k</m:t>
            </m:r>
            <m:r>
              <m:rPr>
                <m:sty m:val="p"/>
              </m:rPr>
              <m:t>,</m:t>
            </m:r>
            <m:r>
              <m:t>t</m:t>
            </m:r>
          </m:sub>
        </m:sSub>
      </m:oMath>
      <w:r>
        <w:t xml:space="preserve">: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This represents the variation in the outcome that is specific to each cluster and period, accounting for time-related effects.</w:t>
      </w:r>
    </w:p>
    <w:p>
      <w:pPr>
        <w:numPr>
          <w:ilvl w:val="0"/>
          <w:numId w:val="1007"/>
        </w:numPr>
        <w:pStyle w:val="Compact"/>
      </w:pPr>
      <m:oMath>
        <m:sSub>
          <m:e>
            <m:r>
              <m:t>ϵ</m:t>
            </m:r>
          </m:e>
          <m:sub>
            <m:r>
              <m:t>t</m:t>
            </m:r>
          </m:sub>
        </m:sSub>
      </m:oMath>
      <w:r>
        <w:t xml:space="preserve"> </w:t>
      </w:r>
      <w:r>
        <w:t xml:space="preserve">is the error term for period</w:t>
      </w:r>
      <w:r>
        <w:t xml:space="preserve"> </w:t>
      </w:r>
      <m:oMath>
        <m:r>
          <m:t>t</m:t>
        </m:r>
      </m:oMath>
      <w:r>
        <w:t xml:space="preserve">, which is assumed to be normally distributed with mean 0 and variance</w:t>
      </w:r>
      <w:r>
        <w:t xml:space="preserve"> </w:t>
      </w:r>
      <m:oMath>
        <m:sSubSup>
          <m:e>
            <m:r>
              <m:t>σ</m:t>
            </m:r>
          </m:e>
          <m:sub>
            <m:r>
              <m:t>α</m:t>
            </m:r>
          </m:sub>
          <m:sup>
            <m:r>
              <m:t>2</m:t>
            </m:r>
          </m:sup>
        </m:sSubSup>
      </m:oMath>
      <w:r>
        <w:t xml:space="preserve">.</w:t>
      </w:r>
    </w:p>
    <w:p>
      <w:pPr>
        <w:pStyle w:val="FirstParagraph"/>
      </w:pPr>
      <w:r>
        <w:t xml:space="preserve">To allow for the randomisation by batches, we will also include a different secular trend for each batch as a random effect interaction term between batch and period. The full model is specified in</w:t>
      </w:r>
      <w:r>
        <w:t xml:space="preserve"> </w:t>
      </w:r>
      <w:hyperlink w:anchor="eq-logit-ar1">
        <w:r>
          <w:rPr>
            <w:rStyle w:val="Hyperlink"/>
          </w:rPr>
          <w:t xml:space="preserve">Equation 4</w:t>
        </w:r>
      </w:hyperlink>
      <w:r>
        <w:t xml:space="preserve">.</w:t>
      </w:r>
    </w:p>
    <w:p>
      <w:pPr>
        <w:pStyle w:val="BodyText"/>
      </w:pPr>
      <w:bookmarkStart w:id="79" w:name="eq-logit-ar1"/>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r>
                <m:rPr>
                  <m:sty m:val="p"/>
                </m:rPr>
                <m:t>,</m:t>
              </m:r>
              <m:r>
                <m:t>t</m:t>
              </m:r>
            </m:sub>
          </m:sSub>
          <m:r>
            <m:rPr>
              <m:sty m:val="p"/>
            </m:rPr>
            <m:t>+</m:t>
          </m:r>
          <m:sSub>
            <m:e>
              <m:r>
                <m:t>γ</m:t>
              </m:r>
            </m:e>
            <m:sub>
              <m:r>
                <m:t>b</m:t>
              </m:r>
              <m:r>
                <m:t>k</m:t>
              </m:r>
              <m:r>
                <m:t>t</m:t>
              </m:r>
            </m:sub>
          </m:sSub>
          <m:r>
            <m:rPr>
              <m:sty m:val="p"/>
            </m:rPr>
            <m:t>+</m:t>
          </m:r>
          <m:sSub>
            <m:e>
              <m:r>
                <m:t>δ</m:t>
              </m:r>
            </m:e>
            <m:sub>
              <m:r>
                <m:t>b</m:t>
              </m:r>
              <m:r>
                <m:t>t</m:t>
              </m:r>
            </m:sub>
          </m:sSub>
          <m:r>
            <m:t>  </m:t>
          </m:r>
          <m:d>
            <m:dPr>
              <m:begChr m:val="("/>
              <m:endChr m:val=")"/>
              <m:sepChr m:val=""/>
              <m:grow/>
            </m:dPr>
            <m:e>
              <m:r>
                <m:t>4</m:t>
              </m:r>
            </m:e>
          </m:d>
        </m:oMath>
      </m:oMathPara>
      <w:bookmarkEnd w:id="79"/>
    </w:p>
    <w:p>
      <w:pPr>
        <w:pStyle w:val="FirstParagraph"/>
      </w:pPr>
      <w:r>
        <w:t xml:space="preserve">Where:</w:t>
      </w:r>
    </w:p>
    <w:p>
      <w:pPr>
        <w:numPr>
          <w:ilvl w:val="0"/>
          <w:numId w:val="1008"/>
        </w:numPr>
        <w:pStyle w:val="Compact"/>
      </w:pPr>
      <m:oMath>
        <m:r>
          <m:t>g</m:t>
        </m:r>
        <m:d>
          <m:dPr>
            <m:begChr m:val="("/>
            <m:endChr m:val=")"/>
            <m:sepChr m:val=""/>
            <m:grow/>
          </m:dPr>
          <m:e>
            <m:r>
              <m:rPr>
                <m:sty m:val="p"/>
              </m:rPr>
              <m:t>⋅</m:t>
            </m:r>
          </m:e>
        </m:d>
      </m:oMath>
      <w:r>
        <w:t xml:space="preserve">: the link function.</w:t>
      </w:r>
    </w:p>
    <w:p>
      <w:pPr>
        <w:numPr>
          <w:ilvl w:val="0"/>
          <w:numId w:val="1008"/>
        </w:numPr>
        <w:pStyle w:val="Compact"/>
      </w:pPr>
      <m:oMath>
        <m:sSub>
          <m:e>
            <m:r>
              <m:t>α</m:t>
            </m:r>
          </m:e>
          <m:sub>
            <m:r>
              <m:t>b</m:t>
            </m:r>
            <m:r>
              <m:t>k</m:t>
            </m:r>
            <m:r>
              <m:rPr>
                <m:sty m:val="p"/>
              </m:rPr>
              <m:t>,</m:t>
            </m:r>
            <m:r>
              <m:t>t</m:t>
            </m:r>
          </m:sub>
        </m:sSub>
      </m:oMath>
      <w:r>
        <w:t xml:space="preserve">: the updated random effect of cluster</w:t>
      </w:r>
      <w:r>
        <w:t xml:space="preserve"> </w:t>
      </w:r>
      <m:oMath>
        <m:r>
          <m:t>k</m:t>
        </m:r>
      </m:oMath>
      <w:r>
        <w:t xml:space="preserve"> </w:t>
      </w:r>
      <w:r>
        <w:t xml:space="preserve">in batch</w:t>
      </w:r>
      <w:r>
        <w:t xml:space="preserve"> </w:t>
      </w:r>
      <m:oMath>
        <m:r>
          <m:t>b</m:t>
        </m:r>
      </m:oMath>
      <w:r>
        <w:t xml:space="preserve"> </w:t>
      </w:r>
      <w:r>
        <w:t xml:space="preserve">during period</w:t>
      </w:r>
      <w:r>
        <w:t xml:space="preserve"> </w:t>
      </w:r>
      <m:oMath>
        <m:r>
          <m:t>t</m:t>
        </m:r>
      </m:oMath>
      <w:r>
        <w:t xml:space="preserve"> </w:t>
      </w:r>
      <w:r>
        <w:t xml:space="preserve">with the AR(1) correlation structure. This accounts for correlation between adjacent periods in the same cluster.</w:t>
      </w:r>
    </w:p>
    <w:p>
      <w:pPr>
        <w:numPr>
          <w:ilvl w:val="0"/>
          <w:numId w:val="1008"/>
        </w:numPr>
        <w:pStyle w:val="Compact"/>
      </w:pPr>
      <m:oMath>
        <m:sSub>
          <m:e>
            <m:r>
              <m:t>δ</m:t>
            </m:r>
          </m:e>
          <m:sub>
            <m:r>
              <m:t>b</m:t>
            </m:r>
            <m:r>
              <m:t>t</m:t>
            </m:r>
          </m:sub>
        </m:sSub>
      </m:oMath>
      <w:r>
        <w:t xml:space="preserve">: the random effect of batch</w:t>
      </w:r>
      <w:r>
        <w:t xml:space="preserve"> </w:t>
      </w:r>
      <m:oMath>
        <m:r>
          <m:t>b</m:t>
        </m:r>
      </m:oMath>
      <w:r>
        <w:t xml:space="preserve"> </w:t>
      </w:r>
      <w:r>
        <w:t xml:space="preserve">during period</w:t>
      </w:r>
      <w:r>
        <w:t xml:space="preserve"> </w:t>
      </w:r>
      <m:oMath>
        <m:r>
          <m:t>t</m:t>
        </m:r>
      </m:oMath>
      <w:r>
        <w:t xml:space="preserve">, which captures any variability across different batches over time.</w:t>
      </w:r>
    </w:p>
    <w:bookmarkEnd w:id="80"/>
    <w:bookmarkStart w:id="82" w:name="X831bc7e780a434f5c3512e5d33d43284b7d37ce"/>
    <w:p>
      <w:pPr>
        <w:pStyle w:val="Heading4"/>
      </w:pPr>
      <w:r>
        <w:t xml:space="preserve">Models with random cluster by intervention effects</w:t>
      </w:r>
    </w:p>
    <w:p>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w:t>
      </w:r>
      <w:r>
        <w:t xml:space="preserve"> </w:t>
      </w:r>
      <w:hyperlink w:anchor="eq-logit-random-cluster-intervention">
        <w:r>
          <w:rPr>
            <w:rStyle w:val="Hyperlink"/>
          </w:rPr>
          <w:t xml:space="preserve">Equation 5</w:t>
        </w:r>
      </w:hyperlink>
      <w:r>
        <w:t xml:space="preserve">.</w:t>
      </w:r>
    </w:p>
    <w:p>
      <w:pPr>
        <w:pStyle w:val="BodyText"/>
      </w:pPr>
      <w:bookmarkStart w:id="81" w:name="eq-logit-random-cluster-intervention"/>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u</m:t>
              </m:r>
            </m:e>
            <m:sub>
              <m:r>
                <m:t>b</m:t>
              </m:r>
              <m:r>
                <m:t>k</m:t>
              </m:r>
            </m:sub>
          </m:sSub>
          <m:r>
            <m:rPr>
              <m:sty m:val="p"/>
            </m:rPr>
            <m:t>×</m:t>
          </m:r>
          <m:sSub>
            <m:e>
              <m:r>
                <m:t>X</m:t>
              </m:r>
            </m:e>
            <m:sub>
              <m:r>
                <m:t>b</m:t>
              </m:r>
              <m:r>
                <m:t>k</m:t>
              </m:r>
              <m:r>
                <m:t>t</m:t>
              </m:r>
            </m:sub>
          </m:sSub>
          <m:r>
            <m:t>  </m:t>
          </m:r>
          <m:d>
            <m:dPr>
              <m:begChr m:val="("/>
              <m:endChr m:val=")"/>
              <m:sepChr m:val=""/>
              <m:grow/>
            </m:dPr>
            <m:e>
              <m:r>
                <m:t>5</m:t>
              </m:r>
            </m:e>
          </m:d>
        </m:oMath>
      </m:oMathPara>
      <w:bookmarkEnd w:id="81"/>
    </w:p>
    <w:p>
      <w:pPr>
        <w:pStyle w:val="FirstParagraph"/>
      </w:pPr>
      <w:r>
        <w:t xml:space="preserve">Where:</w:t>
      </w:r>
    </w:p>
    <w:p>
      <w:pPr>
        <w:numPr>
          <w:ilvl w:val="0"/>
          <w:numId w:val="1009"/>
        </w:numPr>
        <w:pStyle w:val="Compact"/>
      </w:pPr>
      <m:oMath>
        <m:sSub>
          <m:e>
            <m:r>
              <m:t>u</m:t>
            </m:r>
          </m:e>
          <m:sub>
            <m:r>
              <m:t>b</m:t>
            </m:r>
            <m:r>
              <m:t>k</m:t>
            </m:r>
          </m:sub>
        </m:sSub>
      </m:oMath>
      <w:r>
        <w:t xml:space="preserve">: the random effect of cluster</w:t>
      </w:r>
      <w:r>
        <w:t xml:space="preserve"> </w:t>
      </w:r>
      <m:oMath>
        <m:r>
          <m:t>k</m:t>
        </m:r>
      </m:oMath>
      <w:r>
        <w:t xml:space="preserve"> </w:t>
      </w:r>
      <w:r>
        <w:t xml:space="preserve">by intervention interaction.</w:t>
      </w:r>
    </w:p>
    <w:p>
      <w:pPr>
        <w:numPr>
          <w:ilvl w:val="0"/>
          <w:numId w:val="1009"/>
        </w:numPr>
        <w:pStyle w:val="Compact"/>
      </w:pPr>
      <m:oMath>
        <m:sSub>
          <m:e>
            <m:r>
              <m:t>X</m:t>
            </m:r>
          </m:e>
          <m:sub>
            <m:r>
              <m:t>b</m:t>
            </m:r>
            <m:r>
              <m:t>k</m:t>
            </m:r>
            <m:r>
              <m:t>t</m:t>
            </m:r>
          </m:sub>
        </m:sSub>
      </m:oMath>
      <w:r>
        <w:t xml:space="preserve">: the treatment arm indicator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w:t>
      </w:r>
    </w:p>
    <w:p>
      <w:pPr>
        <w:numPr>
          <w:ilvl w:val="0"/>
          <w:numId w:val="1009"/>
        </w:numPr>
        <w:pStyle w:val="Compact"/>
      </w:pPr>
      <w:r>
        <w:t xml:space="preserve">$u_{bk} \times X_{bkt} $: the random interaction effect between the intervention and cluster</w:t>
      </w:r>
      <w:r>
        <w:t xml:space="preserve"> </w:t>
      </w:r>
      <m:oMath>
        <m:r>
          <m:t>k</m:t>
        </m:r>
      </m:oMath>
      <w:r>
        <w:t xml:space="preserve">.</w:t>
      </w:r>
    </w:p>
    <w:bookmarkEnd w:id="82"/>
    <w:bookmarkStart w:id="84" w:name="Xb7b1d3ff7c24f0b8dca2081a41dd1947ef59e07"/>
    <w:p>
      <w:pPr>
        <w:pStyle w:val="Heading4"/>
      </w:pPr>
      <w:r>
        <w:t xml:space="preserve">Models with time modelled with a spline function</w:t>
      </w:r>
    </w:p>
    <w:p>
      <w:pPr>
        <w:pStyle w:val="FirstParagraph"/>
      </w:pPr>
      <w:r>
        <w:t xml:space="preserve">We will further explore the potential for a time-varying treatment effect</w:t>
      </w:r>
      <w:r>
        <w:rPr>
          <w:vertAlign w:val="superscript"/>
        </w:rPr>
        <w:t xml:space="preserve">11</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w:t>
      </w:r>
      <w:r>
        <w:t xml:space="preserve"> </w:t>
      </w:r>
      <w:hyperlink w:anchor="eq-spline-model">
        <w:r>
          <w:rPr>
            <w:rStyle w:val="Hyperlink"/>
          </w:rPr>
          <w:t xml:space="preserve">Equation 6</w:t>
        </w:r>
      </w:hyperlink>
      <w:r>
        <w:t xml:space="preserve">.</w:t>
      </w:r>
    </w:p>
    <w:p>
      <w:pPr>
        <w:pStyle w:val="BodyText"/>
      </w:pPr>
      <w:bookmarkStart w:id="83" w:name="eq-spline-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nary>
            <m:naryPr>
              <m:chr m:val="∑"/>
              <m:limLoc m:val="undOvr"/>
              <m:subHide m:val="0"/>
              <m:supHide m:val="0"/>
            </m:naryPr>
            <m:sub>
              <m:r>
                <m:t>j</m:t>
              </m:r>
              <m:r>
                <m:rPr>
                  <m:sty m:val="p"/>
                </m:rPr>
                <m:t>=</m:t>
              </m:r>
              <m:r>
                <m:t>1</m:t>
              </m:r>
            </m:sub>
            <m:sup>
              <m:r>
                <m:t>5</m:t>
              </m:r>
            </m:sup>
            <m:e>
              <m:sSub>
                <m:e>
                  <m:r>
                    <m:t>β</m:t>
                  </m:r>
                </m:e>
                <m:sub>
                  <m:r>
                    <m:t>j</m:t>
                  </m:r>
                </m:sub>
              </m:sSub>
            </m:e>
          </m:nary>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6</m:t>
              </m:r>
            </m:e>
          </m:d>
        </m:oMath>
      </m:oMathPara>
      <w:bookmarkEnd w:id="83"/>
    </w:p>
    <w:p>
      <w:pPr>
        <w:pStyle w:val="FirstParagraph"/>
      </w:pPr>
      <w:r>
        <w:t xml:space="preserve">Where:</w:t>
      </w:r>
    </w:p>
    <w:p>
      <w:pPr>
        <w:numPr>
          <w:ilvl w:val="0"/>
          <w:numId w:val="1010"/>
        </w:numPr>
        <w:pStyle w:val="Compact"/>
      </w:pPr>
      <m:oMath>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oMath>
      <w:r>
        <w:t xml:space="preserve">: the natural cubic spline basis functions with knots placed at times 3, 6 and 9.</w:t>
      </w:r>
    </w:p>
    <w:p>
      <w:pPr>
        <w:numPr>
          <w:ilvl w:val="0"/>
          <w:numId w:val="1010"/>
        </w:numPr>
        <w:pStyle w:val="Compact"/>
      </w:pPr>
      <m:oMath>
        <m:sSub>
          <m:e>
            <m:r>
              <m:t>β</m:t>
            </m:r>
          </m:e>
          <m:sub>
            <m:r>
              <m:t>j</m:t>
            </m:r>
          </m:sub>
        </m:sSub>
      </m:oMath>
      <w:r>
        <w:t xml:space="preserve">: the coefficient for the</w:t>
      </w:r>
      <w:r>
        <w:t xml:space="preserve"> </w:t>
      </w:r>
      <m:oMath>
        <m:r>
          <m:t>j</m:t>
        </m:r>
      </m:oMath>
      <w:r>
        <w:t xml:space="preserve">-th spline basis function.</w:t>
      </w:r>
    </w:p>
    <w:bookmarkEnd w:id="84"/>
    <w:bookmarkStart w:id="86" w:name="models-exploring-lag-and-weaning-effects"/>
    <w:p>
      <w:pPr>
        <w:pStyle w:val="Heading4"/>
      </w:pPr>
      <w:r>
        <w:t xml:space="preserve">Models exploring lag and weaning effects</w:t>
      </w:r>
    </w:p>
    <w:p>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The model is specified in</w:t>
      </w:r>
      <w:r>
        <w:t xml:space="preserve"> </w:t>
      </w:r>
      <w:hyperlink w:anchor="eq-lag-weaning-model">
        <w:r>
          <w:rPr>
            <w:rStyle w:val="Hyperlink"/>
          </w:rPr>
          <w:t xml:space="preserve">Equation 7</w:t>
        </w:r>
      </w:hyperlink>
      <w:r>
        <w:t xml:space="preserve">.</w:t>
      </w:r>
    </w:p>
    <w:p>
      <w:pPr>
        <w:pStyle w:val="BodyText"/>
      </w:pPr>
      <w:bookmarkStart w:id="85" w:name="eq-lag-weaning-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θ</m:t>
              </m:r>
            </m:e>
            <m:sub>
              <m:r>
                <m:rPr>
                  <m:nor/>
                  <m:sty m:val="p"/>
                </m:rPr>
                <m:t>int</m:t>
              </m:r>
            </m:sub>
          </m:sSub>
          <m:sSub>
            <m:e>
              <m:r>
                <m:t>X</m:t>
              </m:r>
            </m:e>
            <m:sub>
              <m:r>
                <m:t>b</m:t>
              </m:r>
              <m:r>
                <m:t>k</m:t>
              </m:r>
              <m:r>
                <m:t>t</m:t>
              </m:r>
            </m:sub>
          </m:sSub>
          <m:r>
            <m:rPr>
              <m:sty m:val="p"/>
            </m:rPr>
            <m:t>×</m:t>
          </m:r>
          <m:sSub>
            <m:e>
              <m:r>
                <m:t>T</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7</m:t>
              </m:r>
            </m:e>
          </m:d>
        </m:oMath>
      </m:oMathPara>
      <w:bookmarkEnd w:id="85"/>
    </w:p>
    <w:p>
      <w:pPr>
        <w:pStyle w:val="FirstParagraph"/>
      </w:pPr>
      <w:r>
        <w:t xml:space="preserve">Where:</w:t>
      </w:r>
    </w:p>
    <w:p>
      <w:pPr>
        <w:numPr>
          <w:ilvl w:val="0"/>
          <w:numId w:val="1011"/>
        </w:numPr>
        <w:pStyle w:val="Compact"/>
      </w:pPr>
      <m:oMath>
        <m:sSub>
          <m:e>
            <m:r>
              <m:t>θ</m:t>
            </m:r>
          </m:e>
          <m:sub>
            <m:r>
              <m:rPr>
                <m:nor/>
                <m:sty m:val="p"/>
              </m:rPr>
              <m:t>int</m:t>
            </m:r>
          </m:sub>
        </m:sSub>
      </m:oMath>
      <w:r>
        <w:t xml:space="preserve"> </w:t>
      </w:r>
      <w:r>
        <w:t xml:space="preserve">is the coefficient for the interaction between treatment and time since first treated.</w:t>
      </w:r>
    </w:p>
    <w:p>
      <w:pPr>
        <w:numPr>
          <w:ilvl w:val="0"/>
          <w:numId w:val="1011"/>
        </w:numPr>
        <w:pStyle w:val="Compact"/>
      </w:pPr>
      <m:oMath>
        <m:sSub>
          <m:e>
            <m:r>
              <m:t>T</m:t>
            </m:r>
          </m:e>
          <m:sub>
            <m:r>
              <m:t>b</m:t>
            </m:r>
            <m:r>
              <m:t>k</m:t>
            </m:r>
            <m:r>
              <m:t>t</m:t>
            </m:r>
          </m:sub>
        </m:sSub>
      </m:oMath>
      <w:r>
        <w:t xml:space="preserve"> </w:t>
      </w:r>
      <w:r>
        <w:t xml:space="preserve">is the number of periods since first treated.</w:t>
      </w:r>
    </w:p>
    <w:bookmarkEnd w:id="86"/>
    <w:bookmarkEnd w:id="87"/>
    <w:bookmarkStart w:id="89" w:name="adjusted-analyses"/>
    <w:p>
      <w:pPr>
        <w:pStyle w:val="Heading3"/>
      </w:pPr>
      <w:r>
        <w:t xml:space="preserve">5.12.3 Adjusted analyses</w:t>
      </w:r>
    </w:p>
    <w:p>
      <w:pPr>
        <w:pStyle w:val="FirstParagraph"/>
      </w:pPr>
      <w:r>
        <w:t xml:space="preserve">Fully adjusted covariate analysis will additionally adjust for</w:t>
      </w:r>
      <w:r>
        <w:rPr>
          <w:rStyle w:val="FootnoteReference"/>
        </w:rPr>
        <w:footnoteReference w:id="88"/>
      </w:r>
      <w:r>
        <w:t xml:space="preserve"> </w:t>
      </w:r>
      <w:r>
        <w:t xml:space="preserve">(expected % missing data in parentheses):</w:t>
      </w:r>
    </w:p>
    <w:p>
      <w:pPr>
        <w:numPr>
          <w:ilvl w:val="0"/>
          <w:numId w:val="1012"/>
        </w:numPr>
        <w:pStyle w:val="Compact"/>
      </w:pPr>
      <w:r>
        <w:t xml:space="preserve">Age (&lt;5%)</w:t>
      </w:r>
    </w:p>
    <w:p>
      <w:pPr>
        <w:numPr>
          <w:ilvl w:val="0"/>
          <w:numId w:val="1012"/>
        </w:numPr>
        <w:pStyle w:val="Compact"/>
      </w:pPr>
      <w:r>
        <w:t xml:space="preserve">Sex (&lt;5%)</w:t>
      </w:r>
    </w:p>
    <w:p>
      <w:pPr>
        <w:numPr>
          <w:ilvl w:val="0"/>
          <w:numId w:val="1012"/>
        </w:numPr>
        <w:pStyle w:val="Compact"/>
      </w:pPr>
      <w:r>
        <w:t xml:space="preserve">Systolic blood pressure (25%)</w:t>
      </w:r>
    </w:p>
    <w:p>
      <w:pPr>
        <w:numPr>
          <w:ilvl w:val="0"/>
          <w:numId w:val="1012"/>
        </w:numPr>
        <w:pStyle w:val="Compact"/>
      </w:pPr>
      <w:r>
        <w:t xml:space="preserve">Glasgow Coma Scale (25%)</w:t>
      </w:r>
    </w:p>
    <w:p>
      <w:pPr>
        <w:numPr>
          <w:ilvl w:val="0"/>
          <w:numId w:val="1012"/>
        </w:numPr>
        <w:pStyle w:val="Compact"/>
      </w:pPr>
      <w:r>
        <w:t xml:space="preserve">Injury Severity Score (10%)</w:t>
      </w:r>
    </w:p>
    <w:p>
      <w:pPr>
        <w:numPr>
          <w:ilvl w:val="0"/>
          <w:numId w:val="1012"/>
        </w:numPr>
        <w:pStyle w:val="Compact"/>
      </w:pPr>
      <w:r>
        <w:t xml:space="preserve">Mechanism of injury (10%)</w:t>
      </w:r>
    </w:p>
    <w:p>
      <w:pPr>
        <w:pStyle w:val="FirstParagraph"/>
      </w:pPr>
      <w:r>
        <w:t xml:space="preserve">These are known individual-level prognostic factors for the primary outcome. These covariates will be included in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 </w:t>
      </w:r>
      <w:r>
        <w:t xml:space="preserve">as fixed effects. We will model the continuous covariates assuming linear effects.</w:t>
      </w:r>
    </w:p>
    <w:bookmarkEnd w:id="89"/>
    <w:bookmarkStart w:id="91" w:name="subgroup-analyses"/>
    <w:p>
      <w:pPr>
        <w:pStyle w:val="Heading3"/>
      </w:pPr>
      <w:r>
        <w:t xml:space="preserve">5.12.4 Subgroup analyses</w:t>
      </w:r>
    </w:p>
    <w:p>
      <w:pPr>
        <w:pStyle w:val="FirstParagraph"/>
      </w:pPr>
      <w:r>
        <w:t xml:space="preserve">We will perform the following subgroup analyses</w:t>
      </w:r>
      <w:r>
        <w:rPr>
          <w:rStyle w:val="FootnoteReference"/>
        </w:rPr>
        <w:footnoteReference w:id="90"/>
      </w:r>
      <w:r>
        <w:t xml:space="preserve">:</w:t>
      </w:r>
    </w:p>
    <w:p>
      <w:pPr>
        <w:numPr>
          <w:ilvl w:val="0"/>
          <w:numId w:val="1013"/>
        </w:numPr>
        <w:pStyle w:val="Compact"/>
      </w:pPr>
      <w:r>
        <w:t xml:space="preserve">geographical region, defined using the state in which the participating hospital is located. Demonstrating the consistency of any effect across multiple regions will enhance the generalisibility of the results;</w:t>
      </w:r>
    </w:p>
    <w:p>
      <w:pPr>
        <w:numPr>
          <w:ilvl w:val="0"/>
          <w:numId w:val="1013"/>
        </w:numPr>
        <w:pStyle w:val="Compact"/>
      </w:pPr>
      <w:r>
        <w:t xml:space="preserve">age groups, defined as older adolescents (15-19 years), young adults (20-24 years), adults (25-59 years), and older adults (60 years and older) [</w:t>
      </w:r>
      <w:r>
        <w:rPr>
          <w:vertAlign w:val="superscript"/>
        </w:rPr>
        <w:t xml:space="preserve">12</w:t>
      </w:r>
      <w:r>
        <w:t xml:space="preserve">;</w:t>
      </w:r>
    </w:p>
    <w:p>
      <w:pPr>
        <w:numPr>
          <w:ilvl w:val="0"/>
          <w:numId w:val="1013"/>
        </w:numPr>
        <w:pStyle w:val="Compact"/>
      </w:pPr>
      <w:r>
        <w:t xml:space="preserve">sex, using the levels male and female;</w:t>
      </w:r>
    </w:p>
    <w:p>
      <w:pPr>
        <w:numPr>
          <w:ilvl w:val="0"/>
          <w:numId w:val="1013"/>
        </w:numPr>
        <w:pStyle w:val="Compact"/>
      </w:pPr>
      <w:r>
        <w:t xml:space="preserve">clinical cohorts, defined as blunt multisystem trauma, penetrating trauma, and severe isolated traumatic brain injury, with modification to avoid overlap between the cohorts; and</w:t>
      </w:r>
    </w:p>
    <w:p>
      <w:pPr>
        <w:numPr>
          <w:ilvl w:val="0"/>
          <w:numId w:val="1013"/>
        </w:numPr>
        <w:pStyle w:val="Compact"/>
      </w:pPr>
      <w:r>
        <w:t xml:space="preserve">cluster size (number of patients per hospital)</w:t>
      </w:r>
    </w:p>
    <w:p>
      <w:pPr>
        <w:pStyle w:val="FirstParagraph"/>
      </w:pPr>
      <w:r>
        <w:t xml:space="preserve">These subgroup analyses will be conducted by adding the subgroup variable and the interaction between the subgroup variable and the intervention exposure variable as fixed effects to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w:t>
      </w:r>
    </w:p>
    <w:bookmarkEnd w:id="91"/>
    <w:bookmarkStart w:id="92" w:name="treatment-of-missing-data"/>
    <w:p>
      <w:pPr>
        <w:pStyle w:val="Heading3"/>
      </w:pPr>
      <w:r>
        <w:t xml:space="preserve">5.12.5 Treatment of missing data</w:t>
      </w:r>
    </w:p>
    <w:p>
      <w:pPr>
        <w:pStyle w:val="FirstParagraph"/>
      </w:pPr>
      <w:r>
        <w:t xml:space="preserve">We will present the frequency and percentage of missing data for all variables. If the percentage of missing data for the primary outcome is less than 10%, we will perform a complete case analysis. If the percentage of missing data for the primary outcome is 10% or more, we will handle missing data depending on the missing data mechanism. If the data are missing at random (MAR), we will perform multiple imputation using multiple imputation by chained equations (MICE), imputing data for the primary outcome as well as all covariates included in the fully adjusted model. The number of imputations will be determined by the percentage of missing data, with a minimum of 20 imputations. If there is evidence that the data are missing not at random (MNAR), we will explore the impact of this assumption using a sensitivity analysis (e.g., pattern mixture models or selection models) to assess how robust our findings are to different assumptions about the missing data mechanism. Additionally, we will perform diagnostic checks after multiple imputation to ensure the quality of the imputation process, including comparing distributions of observed and imputed data and checking convergence.</w:t>
      </w:r>
    </w:p>
    <w:bookmarkEnd w:id="92"/>
    <w:bookmarkEnd w:id="93"/>
    <w:bookmarkStart w:id="106" w:name="analysis-of-secondary-outcomes"/>
    <w:p>
      <w:pPr>
        <w:pStyle w:val="Heading2"/>
      </w:pPr>
      <w:r>
        <w:t xml:space="preserve">5.13 Analysis of secondary outcomes</w:t>
      </w:r>
    </w:p>
    <w:bookmarkStart w:id="94" w:name="Xf8ad26412ad98b449304d4475d81963b294c2ae"/>
    <w:p>
      <w:pPr>
        <w:pStyle w:val="Heading3"/>
      </w:pPr>
      <w:r>
        <w:t xml:space="preserve">5.13.1 All cause mortality within 24 hours, 30 days and three months of arrival at the emergency department</w:t>
      </w:r>
    </w:p>
    <w:p>
      <w:pPr>
        <w:pStyle w:val="FirstParagraph"/>
      </w:pPr>
      <w:r>
        <w:t xml:space="preserve">We will use the model with the logit link specified in</w:t>
      </w:r>
      <w:r>
        <w:t xml:space="preserve"> </w:t>
      </w:r>
      <w:hyperlink w:anchor="eq-logit-model">
        <w:r>
          <w:rPr>
            <w:rStyle w:val="Hyperlink"/>
          </w:rPr>
          <w:t xml:space="preserve">Equation 1</w:t>
        </w:r>
      </w:hyperlink>
      <w:r>
        <w:t xml:space="preserve"> </w:t>
      </w:r>
      <w:r>
        <w:t xml:space="preserve">and the model with the identity link specified in</w:t>
      </w:r>
      <w:r>
        <w:t xml:space="preserve"> </w:t>
      </w:r>
      <w:hyperlink w:anchor="eq-identity-model">
        <w:r>
          <w:rPr>
            <w:rStyle w:val="Hyperlink"/>
          </w:rPr>
          <w:t xml:space="preserve">Equation 2</w:t>
        </w:r>
      </w:hyperlink>
      <w:r>
        <w:t xml:space="preserve"> </w:t>
      </w:r>
      <w:r>
        <w:t xml:space="preserve">to estimate the OR and risk difference for these mortality outcomes.</w:t>
      </w:r>
    </w:p>
    <w:bookmarkEnd w:id="94"/>
    <w:bookmarkStart w:id="97" w:name="X0b80a436631c0e8dbb0ed0909088c219e6e4981"/>
    <w:p>
      <w:pPr>
        <w:pStyle w:val="Heading3"/>
      </w:pPr>
      <w:r>
        <w:t xml:space="preserve">5.13.2 Quality of life within seven days of discharge, and at 30 days and three months of arrival at the emergency department</w:t>
      </w:r>
    </w:p>
    <w:p>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likert scale from 1 to 5. There is also a visual analogue scale (VAS) for self-rated quality of life, ranging from 0 to 100. For each of the five dimensions we will use a mixed effects ordinal model as specified in</w:t>
      </w:r>
      <w:r>
        <w:t xml:space="preserve"> </w:t>
      </w:r>
      <w:hyperlink w:anchor="eq-ordinal-model">
        <w:r>
          <w:rPr>
            <w:rStyle w:val="Hyperlink"/>
          </w:rPr>
          <w:t xml:space="preserve">Equation 8</w:t>
        </w:r>
      </w:hyperlink>
      <w:r>
        <w:t xml:space="preserve">.</w:t>
      </w:r>
    </w:p>
    <w:p>
      <w:pPr>
        <w:pStyle w:val="BodyText"/>
      </w:pPr>
      <w:bookmarkStart w:id="95" w:name="eq-ordinal-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j</m:t>
                  </m:r>
                </m:e>
              </m:d>
            </m:e>
          </m:d>
          <m:r>
            <m:rPr>
              <m:sty m:val="p"/>
            </m:rPr>
            <m:t>=</m:t>
          </m:r>
          <m:sSub>
            <m:e>
              <m:r>
                <m:t>μ</m:t>
              </m:r>
            </m:e>
            <m:sub>
              <m:r>
                <m:t>j</m:t>
              </m:r>
            </m:sub>
          </m:sSub>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8</m:t>
              </m:r>
            </m:e>
          </m:d>
        </m:oMath>
      </m:oMathPara>
      <w:bookmarkEnd w:id="95"/>
    </w:p>
    <w:p>
      <w:pPr>
        <w:pStyle w:val="FirstParagraph"/>
      </w:pPr>
      <w:r>
        <w:t xml:space="preserve">Where:</w:t>
      </w:r>
    </w:p>
    <w:p>
      <w:pPr>
        <w:numPr>
          <w:ilvl w:val="0"/>
          <w:numId w:val="1014"/>
        </w:numPr>
        <w:pStyle w:val="Compact"/>
      </w:pPr>
      <m:oMath>
        <m:sSub>
          <m:e>
            <m:r>
              <m:t>μ</m:t>
            </m:r>
          </m:e>
          <m:sub>
            <m:r>
              <m:t>j</m:t>
            </m:r>
          </m:sub>
        </m:sSub>
      </m:oMath>
      <w:r>
        <w:t xml:space="preserve">: the intercept for the</w:t>
      </w:r>
      <w:r>
        <w:t xml:space="preserve"> </w:t>
      </w:r>
      <m:oMath>
        <m:r>
          <m:t>j</m:t>
        </m:r>
      </m:oMath>
      <w:r>
        <w:t xml:space="preserve">-th category of the EQ5D dimension (</w:t>
      </w:r>
      <m:oMath>
        <m:r>
          <m:t>j</m:t>
        </m:r>
      </m:oMath>
      <w:r>
        <w:t xml:space="preserve"> </w:t>
      </w:r>
      <w:r>
        <w:t xml:space="preserve">= 1, 2, 3, 4, 5).</w:t>
      </w:r>
    </w:p>
    <w:p>
      <w:pPr>
        <w:pStyle w:val="FirstParagraph"/>
      </w:pPr>
      <w:r>
        <w:t xml:space="preserve">The VAS will be analysed using a linear mixed effects model as specified in</w:t>
      </w:r>
      <w:r>
        <w:t xml:space="preserve"> </w:t>
      </w:r>
      <w:hyperlink w:anchor="eq-linear-model">
        <w:r>
          <w:rPr>
            <w:rStyle w:val="Hyperlink"/>
          </w:rPr>
          <w:t xml:space="preserve">Equation 9</w:t>
        </w:r>
      </w:hyperlink>
      <w:r>
        <w:t xml:space="preserve">.</w:t>
      </w:r>
    </w:p>
    <w:p>
      <w:pPr>
        <w:pStyle w:val="BodyText"/>
      </w:pPr>
      <w:bookmarkStart w:id="96" w:name="eq-linear-model"/>
      <m:oMathPara>
        <m:oMathParaPr>
          <m:jc m:val="center"/>
        </m:oMathParaPr>
        <m:oMath>
          <m:sSub>
            <m:e>
              <m:r>
                <m:rPr>
                  <m:nor/>
                  <m:sty m:val="p"/>
                </m:rPr>
                <m:t>VAS</m:t>
              </m:r>
            </m:e>
            <m:sub>
              <m:r>
                <m:t>b</m:t>
              </m:r>
              <m:r>
                <m:t>k</m:t>
              </m:r>
              <m:r>
                <m:t>t</m:t>
              </m:r>
              <m:r>
                <m:t>i</m:t>
              </m:r>
            </m:sub>
          </m:sSub>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ϵ</m:t>
              </m:r>
            </m:e>
            <m:sub>
              <m:r>
                <m:t>b</m:t>
              </m:r>
              <m:r>
                <m:t>k</m:t>
              </m:r>
              <m:r>
                <m:t>t</m:t>
              </m:r>
              <m:r>
                <m:t>i</m:t>
              </m:r>
            </m:sub>
          </m:sSub>
          <m:r>
            <m:rPr>
              <m:sty m:val="p"/>
            </m:rPr>
            <m:t>,</m:t>
          </m:r>
          <m:r>
            <m:t> </m:t>
          </m:r>
          <m:sSub>
            <m:e>
              <m:r>
                <m:t>ϵ</m:t>
              </m:r>
            </m:e>
            <m:sub>
              <m:r>
                <m:t>b</m:t>
              </m:r>
              <m:r>
                <m:t>k</m:t>
              </m:r>
              <m:r>
                <m:t>t</m:t>
              </m:r>
              <m:r>
                <m:t>i</m:t>
              </m:r>
            </m:sub>
          </m:sSub>
          <m:r>
            <m:rPr>
              <m:sty m:val="p"/>
            </m:rPr>
            <m:t>∼</m:t>
          </m:r>
          <m:r>
            <m:t>N</m:t>
          </m:r>
          <m:d>
            <m:dPr>
              <m:begChr m:val="("/>
              <m:endChr m:val=")"/>
              <m:sepChr m:val=""/>
              <m:grow/>
            </m:dPr>
            <m:e>
              <m:r>
                <m:t>0</m:t>
              </m:r>
              <m:r>
                <m:rPr>
                  <m:sty m:val="p"/>
                </m:rPr>
                <m:t>,</m:t>
              </m:r>
              <m:sSup>
                <m:e>
                  <m:r>
                    <m:t>σ</m:t>
                  </m:r>
                </m:e>
                <m:sup>
                  <m:r>
                    <m:t>2</m:t>
                  </m:r>
                </m:sup>
              </m:sSup>
            </m:e>
          </m:d>
          <m:r>
            <m:t>  </m:t>
          </m:r>
          <m:d>
            <m:dPr>
              <m:begChr m:val="("/>
              <m:endChr m:val=")"/>
              <m:sepChr m:val=""/>
              <m:grow/>
            </m:dPr>
            <m:e>
              <m:r>
                <m:t>9</m:t>
              </m:r>
            </m:e>
          </m:d>
        </m:oMath>
      </m:oMathPara>
      <w:bookmarkEnd w:id="96"/>
    </w:p>
    <w:p>
      <w:pPr>
        <w:pStyle w:val="FirstParagraph"/>
      </w:pPr>
      <w:r>
        <w:t xml:space="preserve">Where:</w:t>
      </w:r>
    </w:p>
    <w:p>
      <w:pPr>
        <w:numPr>
          <w:ilvl w:val="0"/>
          <w:numId w:val="1015"/>
        </w:numPr>
        <w:pStyle w:val="Compact"/>
      </w:pPr>
      <m:oMath>
        <m:sSub>
          <m:e>
            <m:r>
              <m:t>ϵ</m:t>
            </m:r>
          </m:e>
          <m:sub>
            <m:r>
              <m:t>b</m:t>
            </m:r>
            <m:r>
              <m:t>k</m:t>
            </m:r>
            <m:r>
              <m:t>t</m:t>
            </m:r>
            <m:r>
              <m:t>i</m:t>
            </m:r>
          </m:sub>
        </m:sSub>
      </m:oMath>
      <w:r>
        <w:t xml:space="preserve">: the error term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assumed to be normally distributed with mean 0 and variance</w:t>
      </w:r>
      <w:r>
        <w:t xml:space="preserve"> </w:t>
      </w:r>
      <m:oMath>
        <m:sSup>
          <m:e>
            <m:r>
              <m:t>σ</m:t>
            </m:r>
          </m:e>
          <m:sup>
            <m:r>
              <m:t>2</m:t>
            </m:r>
          </m:sup>
        </m:sSup>
      </m:oMath>
      <w:r>
        <w:t xml:space="preserve">.</w:t>
      </w:r>
    </w:p>
    <w:bookmarkEnd w:id="97"/>
    <w:bookmarkStart w:id="98" w:name="X0bcba944ddc1979254204023a08bf4a2ef66934"/>
    <w:p>
      <w:pPr>
        <w:pStyle w:val="Heading3"/>
      </w:pPr>
      <w:r>
        <w:t xml:space="preserve">5.13.3 Disability within seven days of discharge, and at 30 days and three months of arrival at the emergency department</w:t>
      </w:r>
    </w:p>
    <w:p>
      <w:pPr>
        <w:pStyle w:val="FirstParagraph"/>
      </w:pPr>
      <w:r>
        <w:t xml:space="preserve">We will measure disability using the WHO Disability Assessment Schedule 2.0 (WHODAS 2.0)</w:t>
      </w:r>
      <w:r>
        <w:rPr>
          <w:vertAlign w:val="superscript"/>
        </w:rPr>
        <w:t xml:space="preserve">13</w:t>
      </w:r>
      <w:r>
        <w:t xml:space="preserve">. This tool assesses six domains of functioning: cognition, mobility, self-care, getting along, life activities, and participation. Each domain is rated on a likert scale from 1 to 5, with 1 indicating no difficulties and 5 indicating extreme difficulties. We will analyse each domain separately using a mixed effects ordinal model as specified in</w:t>
      </w:r>
      <w:r>
        <w:t xml:space="preserve"> </w:t>
      </w:r>
      <w:hyperlink w:anchor="eq-ordinal-model">
        <w:r>
          <w:rPr>
            <w:rStyle w:val="Hyperlink"/>
          </w:rPr>
          <w:t xml:space="preserve">Equation 8</w:t>
        </w:r>
      </w:hyperlink>
      <w:r>
        <w:t xml:space="preserve">. We will also calculate a WHODAS 2.0 summary score using the method referred to as the</w:t>
      </w:r>
      <w:r>
        <w:t xml:space="preserve"> </w:t>
      </w:r>
      <w:r>
        <w:t xml:space="preserve">“</w:t>
      </w:r>
      <w:r>
        <w:t xml:space="preserve">complex scoring</w:t>
      </w:r>
      <w:r>
        <w:t xml:space="preserve">”</w:t>
      </w:r>
      <w:r>
        <w:t xml:space="preserve"> </w:t>
      </w:r>
      <w:r>
        <w:t xml:space="preserve">method. This method involves summing the item scores within each of the six domains, then summing the scores of all domains, and finally transforming the total score to a 0-100 scale. We will analyse the summary score using a linear mixed effects model as specified in</w:t>
      </w:r>
      <w:r>
        <w:t xml:space="preserve"> </w:t>
      </w:r>
      <w:hyperlink w:anchor="eq-linear-model">
        <w:r>
          <w:rPr>
            <w:rStyle w:val="Hyperlink"/>
          </w:rPr>
          <w:t xml:space="preserve">Equation 9</w:t>
        </w:r>
      </w:hyperlink>
      <w:r>
        <w:t xml:space="preserve">.</w:t>
      </w:r>
    </w:p>
    <w:bookmarkEnd w:id="98"/>
    <w:bookmarkStart w:id="99" w:name="X2a1569eaad9d2eee0f76ad0c198a1d7129f9ea3"/>
    <w:p>
      <w:pPr>
        <w:pStyle w:val="Heading3"/>
      </w:pPr>
      <w:r>
        <w:t xml:space="preserve">5.13.4 Return to work at 30 days and three months after arrival at the emergency department</w:t>
      </w:r>
    </w:p>
    <w:p>
      <w:pPr>
        <w:pStyle w:val="FirstParagraph"/>
      </w:pPr>
      <w:r>
        <w:t xml:space="preserve">We will analyse return to work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99"/>
    <w:bookmarkStart w:id="100" w:name="length-of-emergency-department-stay"/>
    <w:p>
      <w:pPr>
        <w:pStyle w:val="Heading3"/>
      </w:pPr>
      <w:r>
        <w:t xml:space="preserve">5.13.5 Length of emergency department stay</w:t>
      </w:r>
    </w:p>
    <w:p>
      <w:pPr>
        <w:pStyle w:val="FirstParagraph"/>
      </w:pPr>
      <w:r>
        <w:t xml:space="preserve">We will analyse length of emergency department stay as a continuous variable using a linear mixed effects model as specified in</w:t>
      </w:r>
      <w:r>
        <w:t xml:space="preserve"> </w:t>
      </w:r>
      <w:hyperlink w:anchor="eq-linear-model">
        <w:r>
          <w:rPr>
            <w:rStyle w:val="Hyperlink"/>
          </w:rPr>
          <w:t xml:space="preserve">Equation 9</w:t>
        </w:r>
      </w:hyperlink>
      <w:r>
        <w:t xml:space="preserve">.</w:t>
      </w:r>
    </w:p>
    <w:bookmarkEnd w:id="100"/>
    <w:bookmarkStart w:id="101" w:name="length-of-hospital-stay"/>
    <w:p>
      <w:pPr>
        <w:pStyle w:val="Heading3"/>
      </w:pPr>
      <w:r>
        <w:t xml:space="preserve">5.13.6 Length of hospital stay</w:t>
      </w:r>
    </w:p>
    <w:p>
      <w:pPr>
        <w:pStyle w:val="FirstParagraph"/>
      </w:pPr>
      <w:r>
        <w:t xml:space="preserve">We will analyse length of hospital stay as a continuous variable using a linear mixed effects model as specified in</w:t>
      </w:r>
      <w:r>
        <w:t xml:space="preserve"> </w:t>
      </w:r>
      <w:hyperlink w:anchor="eq-linear-model">
        <w:r>
          <w:rPr>
            <w:rStyle w:val="Hyperlink"/>
          </w:rPr>
          <w:t xml:space="preserve">Equation 9</w:t>
        </w:r>
      </w:hyperlink>
      <w:r>
        <w:t xml:space="preserve">.</w:t>
      </w:r>
    </w:p>
    <w:bookmarkEnd w:id="101"/>
    <w:bookmarkStart w:id="102" w:name="intensive-care-unit-admission"/>
    <w:p>
      <w:pPr>
        <w:pStyle w:val="Heading3"/>
      </w:pPr>
      <w:r>
        <w:t xml:space="preserve">5.13.7 Intensive care unit admission</w:t>
      </w:r>
    </w:p>
    <w:p>
      <w:pPr>
        <w:pStyle w:val="FirstParagraph"/>
      </w:pPr>
      <w:r>
        <w:t xml:space="preserve">We will analyse intensive care unit admission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102"/>
    <w:bookmarkStart w:id="103" w:name="length-of-intensive-care-unit-stay"/>
    <w:p>
      <w:pPr>
        <w:pStyle w:val="Heading3"/>
      </w:pPr>
      <w:r>
        <w:t xml:space="preserve">5.13.8 Length of intensive care unit stay</w:t>
      </w:r>
    </w:p>
    <w:p>
      <w:pPr>
        <w:pStyle w:val="FirstParagraph"/>
      </w:pPr>
      <w:r>
        <w:t xml:space="preserve">We will analyse length of intensive care unit stay as a continuous variable using a linear mixed effects model as specified in</w:t>
      </w:r>
      <w:r>
        <w:t xml:space="preserve"> </w:t>
      </w:r>
      <w:hyperlink w:anchor="eq-linear-model">
        <w:r>
          <w:rPr>
            <w:rStyle w:val="Hyperlink"/>
          </w:rPr>
          <w:t xml:space="preserve">Equation 9</w:t>
        </w:r>
      </w:hyperlink>
      <w:r>
        <w:t xml:space="preserve">.</w:t>
      </w:r>
    </w:p>
    <w:bookmarkEnd w:id="103"/>
    <w:bookmarkStart w:id="105" w:name="X5037a1d47abaf80439915bb3ba5c524d444c7d7"/>
    <w:p>
      <w:pPr>
        <w:pStyle w:val="Heading3"/>
      </w:pPr>
      <w:r>
        <w:t xml:space="preserve">5.13.9 Adherence to ATLS</w:t>
      </w:r>
      <w:r>
        <w:rPr>
          <w:vertAlign w:val="superscript"/>
        </w:rPr>
        <w:t xml:space="preserve">®</w:t>
      </w:r>
      <w:r>
        <w:t xml:space="preserve"> </w:t>
      </w:r>
      <w:r>
        <w:t xml:space="preserve">principles during initial patient resuscitation</w:t>
      </w:r>
    </w:p>
    <w:p>
      <w:pPr>
        <w:pStyle w:val="FirstParagraph"/>
      </w:pPr>
      <w:r>
        <w:t xml:space="preserve">We will assess adherence to ATLS® principles using a 14-item checklist that covers the key steps of the ATLS® primary survey. Adherence will be measured as the proportion of steps completed, with 100% adherence defined as completing all 14 steps. We will analyse adherence using a mixed-effects beta regression model with a logit link as specified in</w:t>
      </w:r>
      <w:r>
        <w:t xml:space="preserve"> </w:t>
      </w:r>
      <w:hyperlink w:anchor="eq-beta-model">
        <w:r>
          <w:rPr>
            <w:rStyle w:val="Hyperlink"/>
          </w:rPr>
          <w:t xml:space="preserve">Equation 10</w:t>
        </w:r>
      </w:hyperlink>
      <w:r>
        <w:t xml:space="preserve">.</w:t>
      </w:r>
    </w:p>
    <w:p>
      <w:pPr>
        <w:pStyle w:val="BodyText"/>
      </w:pPr>
      <w:bookmarkStart w:id="104" w:name="eq-beta-model"/>
      <m:oMathPara>
        <m:oMathParaPr>
          <m:jc m:val="center"/>
        </m:oMathParaPr>
        <m:oMath>
          <m:r>
            <m:rPr>
              <m:nor/>
              <m:sty m:val="p"/>
            </m:rPr>
            <m:t>logit</m:t>
          </m:r>
          <m:d>
            <m:dPr>
              <m:begChr m:val="("/>
              <m:endChr m:val=")"/>
              <m:sepChr m:val=""/>
              <m:grow/>
            </m:dPr>
            <m:e>
              <m:r>
                <m:rPr>
                  <m:nor/>
                  <m:sty m:val="p"/>
                </m:rPr>
                <m:t>E</m:t>
              </m:r>
              <m:d>
                <m:dPr>
                  <m:begChr m:val="("/>
                  <m:endChr m:val=")"/>
                  <m:sepChr m:val=""/>
                  <m:grow/>
                </m:dPr>
                <m:e>
                  <m:sSub>
                    <m:e>
                      <m:r>
                        <m:t>Y</m:t>
                      </m:r>
                    </m:e>
                    <m:sub>
                      <m:r>
                        <m:t>b</m:t>
                      </m:r>
                      <m:r>
                        <m:t>k</m:t>
                      </m:r>
                      <m:r>
                        <m:t>t</m:t>
                      </m:r>
                      <m:r>
                        <m:t>i</m:t>
                      </m:r>
                    </m:sub>
                  </m:sSub>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10</m:t>
              </m:r>
            </m:e>
          </m:d>
        </m:oMath>
      </m:oMathPara>
      <w:bookmarkEnd w:id="104"/>
    </w:p>
    <w:p>
      <w:pPr>
        <w:pStyle w:val="FirstParagraph"/>
      </w:pPr>
      <w:r>
        <w:t xml:space="preserve">Where:</w:t>
      </w:r>
    </w:p>
    <w:p>
      <w:pPr>
        <w:numPr>
          <w:ilvl w:val="0"/>
          <w:numId w:val="1016"/>
        </w:numPr>
        <w:pStyle w:val="Compact"/>
      </w:pPr>
      <m:oMath>
        <m:r>
          <m:rPr>
            <m:nor/>
            <m:sty m:val="p"/>
          </m:rPr>
          <m:t>E</m:t>
        </m:r>
        <m:d>
          <m:dPr>
            <m:begChr m:val="("/>
            <m:endChr m:val=")"/>
            <m:sepChr m:val=""/>
            <m:grow/>
          </m:dPr>
          <m:e>
            <m:sSub>
              <m:e>
                <m:r>
                  <m:t>Y</m:t>
                </m:r>
              </m:e>
              <m:sub>
                <m:r>
                  <m:t>b</m:t>
                </m:r>
                <m:r>
                  <m:t>k</m:t>
                </m:r>
                <m:r>
                  <m:t>t</m:t>
                </m:r>
                <m:r>
                  <m:t>i</m:t>
                </m:r>
              </m:sub>
            </m:sSub>
          </m:e>
        </m:d>
      </m:oMath>
      <w:r>
        <w:t xml:space="preserve">: The expected proportion of completed ATLS steps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 </w:t>
      </w:r>
      <w:r>
        <w:t xml:space="preserve">in batch</w:t>
      </w:r>
      <w:r>
        <w:t xml:space="preserve"> </w:t>
      </w:r>
      <m:oMath>
        <m:r>
          <m:t>b</m:t>
        </m:r>
      </m:oMath>
      <w:r>
        <w:t xml:space="preserve">.</w:t>
      </w:r>
    </w:p>
    <w:p>
      <w:pPr>
        <w:numPr>
          <w:ilvl w:val="0"/>
          <w:numId w:val="1016"/>
        </w:numPr>
        <w:pStyle w:val="Compact"/>
      </w:pPr>
      <m:oMath>
        <m:r>
          <m:t>μ</m:t>
        </m:r>
      </m:oMath>
      <w:r>
        <w:t xml:space="preserve">: The intercept, representing the baseline log-odds of completing ATLS steps when all predictors are set to 1.</w:t>
      </w:r>
    </w:p>
    <w:p>
      <w:pPr>
        <w:numPr>
          <w:ilvl w:val="0"/>
          <w:numId w:val="1016"/>
        </w:numPr>
        <w:pStyle w:val="Compact"/>
      </w:pPr>
      <m:oMath>
        <m:sSub>
          <m:e>
            <m:r>
              <m:t>β</m:t>
            </m:r>
          </m:e>
          <m:sub>
            <m:r>
              <m:t>b</m:t>
            </m:r>
            <m:r>
              <m:t>t</m:t>
            </m:r>
          </m:sub>
        </m:sSub>
      </m:oMath>
      <w:r>
        <w:t xml:space="preserve">: The fixed effect of period</w:t>
      </w:r>
      <w:r>
        <w:t xml:space="preserve"> </w:t>
      </w:r>
      <m:oMath>
        <m:r>
          <m:t>t</m:t>
        </m:r>
      </m:oMath>
      <w:r>
        <w:t xml:space="preserve"> </w:t>
      </w:r>
      <w:r>
        <w:t xml:space="preserve">in batch</w:t>
      </w:r>
      <w:r>
        <w:t xml:space="preserve"> </w:t>
      </w:r>
      <m:oMath>
        <m:r>
          <m:t>b</m:t>
        </m:r>
      </m:oMath>
      <w:r>
        <w:t xml:space="preserve">, allowing for different period effects for each batch.</w:t>
      </w:r>
    </w:p>
    <w:p>
      <w:pPr>
        <w:numPr>
          <w:ilvl w:val="0"/>
          <w:numId w:val="1016"/>
        </w:numPr>
        <w:pStyle w:val="Compact"/>
      </w:pPr>
      <m:oMath>
        <m:r>
          <m:t>θ</m:t>
        </m:r>
      </m:oMath>
      <w:r>
        <w:t xml:space="preserve">: The fixed effect of ATLS exposure, representing the effect of the intervention on adherence to ATLS principles.</w:t>
      </w:r>
    </w:p>
    <w:p>
      <w:pPr>
        <w:numPr>
          <w:ilvl w:val="0"/>
          <w:numId w:val="1016"/>
        </w:numPr>
        <w:pStyle w:val="Compact"/>
      </w:pPr>
      <m:oMath>
        <m:sSub>
          <m:e>
            <m:r>
              <m:t>X</m:t>
            </m:r>
          </m:e>
          <m:sub>
            <m:r>
              <m:t>b</m:t>
            </m:r>
            <m:r>
              <m:t>k</m:t>
            </m:r>
            <m:r>
              <m:t>t</m:t>
            </m:r>
          </m:sub>
        </m:sSub>
      </m:oMath>
      <w:r>
        <w:t xml:space="preserve">: The treatment arm indicator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 </w:t>
      </w:r>
      <w:r>
        <w:t xml:space="preserve">in batch</w:t>
      </w:r>
      <w:r>
        <w:t xml:space="preserve"> </w:t>
      </w:r>
      <m:oMath>
        <m:r>
          <m:t>b</m:t>
        </m:r>
      </m:oMath>
      <w:r>
        <w:t xml:space="preserve"> </w:t>
      </w:r>
      <w:r>
        <w:t xml:space="preserve">(1 for ATLS, 0 for standard care).</w:t>
      </w:r>
    </w:p>
    <w:p>
      <w:pPr>
        <w:numPr>
          <w:ilvl w:val="0"/>
          <w:numId w:val="1016"/>
        </w:numPr>
        <w:pStyle w:val="Compact"/>
      </w:pPr>
      <m:oMath>
        <m:sSub>
          <m:e>
            <m:r>
              <m:t>α</m:t>
            </m:r>
          </m:e>
          <m:sub>
            <m:r>
              <m:t>b</m:t>
            </m:r>
            <m:r>
              <m:t>k</m:t>
            </m:r>
          </m:sub>
        </m:sSub>
      </m:oMath>
      <w:r>
        <w:t xml:space="preserve">: The random effect of cluster</w:t>
      </w:r>
      <w:r>
        <w:t xml:space="preserve"> </w:t>
      </w:r>
      <m:oMath>
        <m:r>
          <m:t>k</m:t>
        </m:r>
      </m:oMath>
      <w:r>
        <w:t xml:space="preserve"> </w:t>
      </w:r>
      <w:r>
        <w:t xml:space="preserve">in batch</w:t>
      </w:r>
      <w:r>
        <w:t xml:space="preserve"> </w:t>
      </w:r>
      <m:oMath>
        <m:r>
          <m:t>b</m:t>
        </m:r>
      </m:oMath>
      <w:r>
        <w:t xml:space="preserve">, capturing variability in adherence across clusters (hospitals).</w:t>
      </w:r>
    </w:p>
    <w:p>
      <w:pPr>
        <w:numPr>
          <w:ilvl w:val="0"/>
          <w:numId w:val="1016"/>
        </w:numPr>
        <w:pStyle w:val="Compact"/>
      </w:pPr>
      <m:oMath>
        <m:sSub>
          <m:e>
            <m:r>
              <m:t>γ</m:t>
            </m:r>
          </m:e>
          <m:sub>
            <m:r>
              <m:t>b</m:t>
            </m:r>
            <m:r>
              <m:t>k</m:t>
            </m:r>
            <m:r>
              <m:t>t</m:t>
            </m:r>
          </m:sub>
        </m:sSub>
      </m:oMath>
      <w:r>
        <w:t xml:space="preserve">: The random effect of cluster</w:t>
      </w:r>
      <w:r>
        <w:t xml:space="preserve"> </w:t>
      </w:r>
      <m:oMath>
        <m:r>
          <m:t>k</m:t>
        </m:r>
      </m:oMath>
      <w:r>
        <w:t xml:space="preserve"> </w:t>
      </w:r>
      <w:r>
        <w:t xml:space="preserve">in period</w:t>
      </w:r>
      <w:r>
        <w:t xml:space="preserve"> </w:t>
      </w:r>
      <m:oMath>
        <m:r>
          <m:t>t</m:t>
        </m:r>
      </m:oMath>
      <w:r>
        <w:t xml:space="preserve"> </w:t>
      </w:r>
      <w:r>
        <w:t xml:space="preserve">within batch</w:t>
      </w:r>
      <w:r>
        <w:t xml:space="preserve"> </w:t>
      </w:r>
      <m:oMath>
        <m:r>
          <m:t>b</m:t>
        </m:r>
      </m:oMath>
      <w:r>
        <w:t xml:space="preserve">, accounting for within-cluster variability across time periods and batches.</w:t>
      </w:r>
    </w:p>
    <w:bookmarkEnd w:id="105"/>
    <w:bookmarkEnd w:id="106"/>
    <w:bookmarkEnd w:id="107"/>
    <w:bookmarkStart w:id="122" w:name="references"/>
    <w:p>
      <w:pPr>
        <w:pStyle w:val="Heading1"/>
      </w:pPr>
      <w:r>
        <w:t xml:space="preserve">6. References</w:t>
      </w:r>
    </w:p>
    <w:bookmarkStart w:id="121" w:name="refs"/>
    <w:bookmarkStart w:id="108" w:name="ref-Kasza2022"/>
    <w:p>
      <w:pPr>
        <w:pStyle w:val="Bibliography"/>
      </w:pPr>
      <w:r>
        <w:t xml:space="preserve">1.</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08"/>
    <w:bookmarkStart w:id="109" w:name="ref-aukstakalnis_impact_2024"/>
    <w:p>
      <w:pPr>
        <w:pStyle w:val="Bibliography"/>
      </w:pPr>
      <w:r>
        <w:t xml:space="preserve">2.</w:t>
      </w:r>
      <w:r>
        <w:t xml:space="preserve"> </w:t>
      </w:r>
      <w:r>
        <w:t xml:space="preserve">	</w:t>
      </w:r>
      <w:r>
        <w:t xml:space="preserve">Aukstakalnis, V.</w:t>
      </w:r>
      <w:r>
        <w:t xml:space="preserve"> </w:t>
      </w:r>
      <w:r>
        <w:rPr>
          <w:iCs/>
          <w:i/>
        </w:rPr>
        <w:t xml:space="preserve">et al.</w:t>
      </w:r>
      <w:r>
        <w:t xml:space="preserve"> Impact of video recordings review with structured debriefings on trauma team performance: A prospective observational cohort study.</w:t>
      </w:r>
      <w:r>
        <w:t xml:space="preserve"> </w:t>
      </w:r>
      <w:r>
        <w:rPr>
          <w:iCs/>
          <w:i/>
        </w:rPr>
        <w:t xml:space="preserve">European Journal of Trauma and Emergency Surgery: Official Publication of the European Trauma Society</w:t>
      </w:r>
      <w:r>
        <w:t xml:space="preserve"> </w:t>
      </w:r>
      <w:r>
        <w:t xml:space="preserve">(2024).</w:t>
      </w:r>
    </w:p>
    <w:bookmarkEnd w:id="109"/>
    <w:bookmarkStart w:id="110" w:name="ref-Campbell2005"/>
    <w:p>
      <w:pPr>
        <w:pStyle w:val="Bibliography"/>
      </w:pPr>
      <w:r>
        <w:t xml:space="preserve">3.</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10"/>
    <w:bookmarkStart w:id="111" w:name="ref-Eldridge2015"/>
    <w:p>
      <w:pPr>
        <w:pStyle w:val="Bibliography"/>
      </w:pPr>
      <w:r>
        <w:t xml:space="preserve">4.</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11"/>
    <w:bookmarkStart w:id="112" w:name="ref-Hemming2020Feb"/>
    <w:p>
      <w:pPr>
        <w:pStyle w:val="Bibliography"/>
      </w:pPr>
      <w:r>
        <w:t xml:space="preserve">5.</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12"/>
    <w:bookmarkStart w:id="113" w:name="ref-Martin2016"/>
    <w:p>
      <w:pPr>
        <w:pStyle w:val="Bibliography"/>
      </w:pPr>
      <w:r>
        <w:t xml:space="preserve">6.</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13"/>
    <w:bookmarkStart w:id="114" w:name="ref-Korevaar2021"/>
    <w:p>
      <w:pPr>
        <w:pStyle w:val="Bibliography"/>
      </w:pPr>
      <w:r>
        <w:t xml:space="preserve">7.</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14"/>
    <w:bookmarkStart w:id="115" w:name="ref-R"/>
    <w:p>
      <w:pPr>
        <w:pStyle w:val="Bibliography"/>
      </w:pPr>
      <w:r>
        <w:t xml:space="preserve">8.</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115"/>
    <w:bookmarkStart w:id="116" w:name="ref-Hemming2018"/>
    <w:p>
      <w:pPr>
        <w:pStyle w:val="Bibliography"/>
      </w:pPr>
      <w:r>
        <w:t xml:space="preserve">9.</w:t>
      </w:r>
      <w:r>
        <w:t xml:space="preserve"> </w:t>
      </w:r>
      <w:r>
        <w:t xml:space="preserve">	</w:t>
      </w:r>
      <w:r>
        <w:t xml:space="preserve">Hemming, K.</w:t>
      </w:r>
      <w:r>
        <w:t xml:space="preserve"> </w:t>
      </w:r>
      <w:r>
        <w:rPr>
          <w:iCs/>
          <w:i/>
        </w:rPr>
        <w:t xml:space="preserve">et al.</w:t>
      </w:r>
      <w:r>
        <w:t xml:space="preserve"> Reporting of stepped wedge cluster randomised trials: Extension of the CONSORT 2010 statement with explanation and elaboration.</w:t>
      </w:r>
      <w:r>
        <w:t xml:space="preserve"> </w:t>
      </w:r>
      <w:r>
        <w:rPr>
          <w:iCs/>
          <w:i/>
        </w:rPr>
        <w:t xml:space="preserve">BMJ</w:t>
      </w:r>
      <w:r>
        <w:t xml:space="preserve"> </w:t>
      </w:r>
      <w:r>
        <w:t xml:space="preserve">k1614 (2018).</w:t>
      </w:r>
    </w:p>
    <w:bookmarkEnd w:id="116"/>
    <w:bookmarkStart w:id="117" w:name="ref-kenward_small_1997"/>
    <w:p>
      <w:pPr>
        <w:pStyle w:val="Bibliography"/>
      </w:pPr>
      <w:r>
        <w:t xml:space="preserve">10.</w:t>
      </w:r>
      <w:r>
        <w:t xml:space="preserve"> </w:t>
      </w:r>
      <w:r>
        <w:t xml:space="preserve">	</w:t>
      </w:r>
      <w:r>
        <w:t xml:space="preserve">Kenward, M. G.</w:t>
      </w:r>
      <w:r>
        <w:t xml:space="preserve"> </w:t>
      </w:r>
      <w:r>
        <w:rPr>
          <w:iCs/>
          <w:i/>
        </w:rPr>
        <w:t xml:space="preserve">et al.</w:t>
      </w:r>
      <w:r>
        <w:t xml:space="preserve"> Small</w:t>
      </w:r>
      <w:r>
        <w:t xml:space="preserve"> </w:t>
      </w:r>
      <w:r>
        <w:t xml:space="preserve">Sample</w:t>
      </w:r>
      <w:r>
        <w:t xml:space="preserve"> </w:t>
      </w:r>
      <w:r>
        <w:t xml:space="preserve">Inference</w:t>
      </w:r>
      <w:r>
        <w:t xml:space="preserve"> </w:t>
      </w:r>
      <w:r>
        <w:t xml:space="preserve">for</w:t>
      </w:r>
      <w:r>
        <w:t xml:space="preserve"> </w:t>
      </w:r>
      <w:r>
        <w:t xml:space="preserve">Fixed</w:t>
      </w:r>
      <w:r>
        <w:t xml:space="preserve"> </w:t>
      </w:r>
      <w:r>
        <w:t xml:space="preserve">Effects</w:t>
      </w:r>
      <w:r>
        <w:t xml:space="preserve"> </w:t>
      </w:r>
      <w:r>
        <w:t xml:space="preserve">from</w:t>
      </w:r>
      <w:r>
        <w:t xml:space="preserve"> </w:t>
      </w:r>
      <w:r>
        <w:t xml:space="preserve">Restricted</w:t>
      </w:r>
      <w:r>
        <w:t xml:space="preserve"> </w:t>
      </w:r>
      <w:r>
        <w:t xml:space="preserve">Maximum</w:t>
      </w:r>
      <w:r>
        <w:t xml:space="preserve"> </w:t>
      </w:r>
      <w:r>
        <w:t xml:space="preserve">Likelihood</w:t>
      </w:r>
      <w:r>
        <w:t xml:space="preserve">.</w:t>
      </w:r>
      <w:r>
        <w:t xml:space="preserve"> </w:t>
      </w:r>
      <w:r>
        <w:rPr>
          <w:iCs/>
          <w:i/>
        </w:rPr>
        <w:t xml:space="preserve">Biometrics</w:t>
      </w:r>
      <w:r>
        <w:t xml:space="preserve"> </w:t>
      </w:r>
      <w:r>
        <w:rPr>
          <w:bCs/>
          <w:b/>
        </w:rPr>
        <w:t xml:space="preserve">53</w:t>
      </w:r>
      <w:r>
        <w:t xml:space="preserve">, 983–997 (1997).</w:t>
      </w:r>
    </w:p>
    <w:bookmarkEnd w:id="117"/>
    <w:bookmarkStart w:id="118" w:name="ref-kenny_analysis_2022"/>
    <w:p>
      <w:pPr>
        <w:pStyle w:val="Bibliography"/>
      </w:pPr>
      <w:r>
        <w:t xml:space="preserve">11.</w:t>
      </w:r>
      <w:r>
        <w:t xml:space="preserve"> </w:t>
      </w:r>
      <w:r>
        <w:t xml:space="preserve">	</w:t>
      </w:r>
      <w:r>
        <w:t xml:space="preserve">Kenny, A.</w:t>
      </w:r>
      <w:r>
        <w:t xml:space="preserve"> </w:t>
      </w:r>
      <w:r>
        <w:rPr>
          <w:iCs/>
          <w:i/>
        </w:rPr>
        <w:t xml:space="preserve">et al.</w:t>
      </w:r>
      <w:r>
        <w:t xml:space="preserve"> Analysis of stepped wedge cluster randomized trials in the presence of a time-varying treatment effect.</w:t>
      </w:r>
      <w:r>
        <w:t xml:space="preserve"> </w:t>
      </w:r>
      <w:r>
        <w:rPr>
          <w:iCs/>
          <w:i/>
        </w:rPr>
        <w:t xml:space="preserve">Statistics in medicine</w:t>
      </w:r>
      <w:r>
        <w:t xml:space="preserve"> </w:t>
      </w:r>
      <w:r>
        <w:t xml:space="preserve">10.1002/sim.9511 (2022).</w:t>
      </w:r>
    </w:p>
    <w:bookmarkEnd w:id="118"/>
    <w:bookmarkStart w:id="119" w:name="ref-Diaz2021"/>
    <w:p>
      <w:pPr>
        <w:pStyle w:val="Bibliography"/>
      </w:pPr>
      <w:r>
        <w:t xml:space="preserve">12.</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19"/>
    <w:bookmarkStart w:id="120" w:name="ref-ustun_measuring_2010"/>
    <w:p>
      <w:pPr>
        <w:pStyle w:val="Bibliography"/>
      </w:pPr>
      <w:r>
        <w:t xml:space="preserve">13.</w:t>
      </w:r>
      <w:r>
        <w:t xml:space="preserve"> </w:t>
      </w:r>
      <w:r>
        <w:t xml:space="preserve">	</w:t>
      </w:r>
      <w:r>
        <w:t xml:space="preserve">Ustun, T. B.</w:t>
      </w:r>
      <w:r>
        <w:t xml:space="preserve"> </w:t>
      </w:r>
      <w:r>
        <w:rPr>
          <w:iCs/>
          <w:i/>
        </w:rPr>
        <w:t xml:space="preserve">et al.</w:t>
      </w:r>
      <w:r>
        <w:t xml:space="preserve"> </w:t>
      </w:r>
      <w:r>
        <w:rPr>
          <w:iCs/>
          <w:i/>
        </w:rPr>
        <w:t xml:space="preserve">Measuring</w:t>
      </w:r>
      <w:r>
        <w:rPr>
          <w:iCs/>
          <w:i/>
        </w:rPr>
        <w:t xml:space="preserve"> </w:t>
      </w:r>
      <w:r>
        <w:rPr>
          <w:iCs/>
          <w:i/>
        </w:rPr>
        <w:t xml:space="preserve">Health</w:t>
      </w:r>
      <w:r>
        <w:rPr>
          <w:iCs/>
          <w:i/>
        </w:rPr>
        <w:t xml:space="preserve"> </w:t>
      </w:r>
      <w:r>
        <w:rPr>
          <w:iCs/>
          <w:i/>
        </w:rPr>
        <w:t xml:space="preserve">and</w:t>
      </w:r>
      <w:r>
        <w:rPr>
          <w:iCs/>
          <w:i/>
        </w:rPr>
        <w:t xml:space="preserve"> </w:t>
      </w:r>
      <w:r>
        <w:rPr>
          <w:iCs/>
          <w:i/>
        </w:rPr>
        <w:t xml:space="preserve">Disability</w:t>
      </w:r>
      <w:r>
        <w:rPr>
          <w:iCs/>
          <w:i/>
        </w:rPr>
        <w:t xml:space="preserve">:</w:t>
      </w:r>
      <w:r>
        <w:rPr>
          <w:iCs/>
          <w:i/>
        </w:rPr>
        <w:t xml:space="preserve"> </w:t>
      </w:r>
      <w:r>
        <w:rPr>
          <w:iCs/>
          <w:i/>
        </w:rPr>
        <w:t xml:space="preserve">Manual</w:t>
      </w:r>
      <w:r>
        <w:rPr>
          <w:iCs/>
          <w:i/>
        </w:rPr>
        <w:t xml:space="preserve"> </w:t>
      </w:r>
      <w:r>
        <w:rPr>
          <w:iCs/>
          <w:i/>
        </w:rPr>
        <w:t xml:space="preserve">for</w:t>
      </w:r>
      <w:r>
        <w:rPr>
          <w:iCs/>
          <w:i/>
        </w:rPr>
        <w:t xml:space="preserve"> </w:t>
      </w:r>
      <w:r>
        <w:rPr>
          <w:iCs/>
          <w:i/>
        </w:rPr>
        <w:t xml:space="preserve">WHO</w:t>
      </w:r>
      <w:r>
        <w:rPr>
          <w:iCs/>
          <w:i/>
        </w:rPr>
        <w:t xml:space="preserve"> </w:t>
      </w:r>
      <w:r>
        <w:rPr>
          <w:iCs/>
          <w:i/>
        </w:rPr>
        <w:t xml:space="preserve">Disability</w:t>
      </w:r>
      <w:r>
        <w:rPr>
          <w:iCs/>
          <w:i/>
        </w:rPr>
        <w:t xml:space="preserve"> </w:t>
      </w:r>
      <w:r>
        <w:rPr>
          <w:iCs/>
          <w:i/>
        </w:rPr>
        <w:t xml:space="preserve">Assessment</w:t>
      </w:r>
      <w:r>
        <w:rPr>
          <w:iCs/>
          <w:i/>
        </w:rPr>
        <w:t xml:space="preserve"> </w:t>
      </w:r>
      <w:r>
        <w:rPr>
          <w:iCs/>
          <w:i/>
        </w:rPr>
        <w:t xml:space="preserve">Schedule</w:t>
      </w:r>
      <w:r>
        <w:rPr>
          <w:iCs/>
          <w:i/>
        </w:rPr>
        <w:t xml:space="preserve"> </w:t>
      </w:r>
      <w:r>
        <w:rPr>
          <w:iCs/>
          <w:i/>
        </w:rPr>
        <w:t xml:space="preserve">(</w:t>
      </w:r>
      <w:r>
        <w:rPr>
          <w:iCs/>
          <w:i/>
        </w:rPr>
        <w:t xml:space="preserve">WHODAS</w:t>
      </w:r>
      <w:r>
        <w:rPr>
          <w:iCs/>
          <w:i/>
        </w:rPr>
        <w:t xml:space="preserve"> </w:t>
      </w:r>
      <w:r>
        <w:rPr>
          <w:iCs/>
          <w:i/>
        </w:rPr>
        <w:t xml:space="preserve">2.0)</w:t>
      </w:r>
      <w:r>
        <w:t xml:space="preserve">. (World Health Organization, 2010).</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rPr>
          <w:bCs/>
          <w:b/>
        </w:rPr>
        <w:t xml:space="preserve">TODO:</w:t>
      </w:r>
      <w:r>
        <w:t xml:space="preserve"> </w:t>
      </w:r>
      <w:r>
        <w:t xml:space="preserve">James gets back with a short snippet with more details on how the randomisation will be done.</w:t>
      </w:r>
    </w:p>
  </w:footnote>
  <w:footnote w:id="69">
    <w:p>
      <w:pPr>
        <w:pStyle w:val="FootnoteText"/>
      </w:pPr>
      <w:r>
        <w:rPr>
          <w:rStyle w:val="FootnoteReference"/>
        </w:rPr>
        <w:footnoteRef/>
      </w:r>
      <w:r>
        <w:t xml:space="preserve"> </w:t>
      </w:r>
      <w:r>
        <w:rPr>
          <w:bCs/>
          <w:b/>
        </w:rPr>
        <w:t xml:space="preserve">Question:</w:t>
      </w:r>
      <w:r>
        <w:t xml:space="preserve"> </w:t>
      </w:r>
      <w:r>
        <w:t xml:space="preserve">Should we adjust for calendar time because the last batch will be two years later than the first batch?</w:t>
      </w:r>
    </w:p>
  </w:footnote>
  <w:footnote w:id="70">
    <w:p>
      <w:pPr>
        <w:pStyle w:val="FootnoteText"/>
      </w:pPr>
      <w:r>
        <w:rPr>
          <w:rStyle w:val="FootnoteReference"/>
        </w:rPr>
        <w:footnoteRef/>
      </w:r>
      <w:r>
        <w:t xml:space="preserve"> </w:t>
      </w:r>
      <w:r>
        <w:rPr>
          <w:bCs/>
          <w:b/>
        </w:rPr>
        <w:t xml:space="preserve">Question:</w:t>
      </w:r>
      <w:r>
        <w:t xml:space="preserve"> </w:t>
      </w:r>
      <w:r>
        <w:t xml:space="preserve">Just a thought: keep in mind the complexity of the random effects structure; if it leads to convergence problems or overfitting, should we consider simplifying the random effects?</w:t>
      </w:r>
    </w:p>
  </w:footnote>
  <w:footnote w:id="71">
    <w:p>
      <w:pPr>
        <w:pStyle w:val="FootnoteText"/>
      </w:pPr>
      <w:r>
        <w:rPr>
          <w:rStyle w:val="FootnoteReference"/>
        </w:rPr>
        <w:footnoteRef/>
      </w:r>
      <w:r>
        <w:t xml:space="preserve"> </w:t>
      </w:r>
      <w:r>
        <w:rPr>
          <w:bCs/>
          <w:b/>
        </w:rPr>
        <w:t xml:space="preserve">Questions about Kenward and Roger small sample correction:</w:t>
      </w:r>
      <w:r>
        <w:t xml:space="preserve"> </w:t>
      </w:r>
      <w:r>
        <w:t xml:space="preserve">AO is reading up on the optimal way to do small sample correction for binary outcomes in a stepped-wedge cluster randomised trial.</w:t>
      </w:r>
    </w:p>
  </w:footnote>
  <w:footnote w:id="73">
    <w:p>
      <w:pPr>
        <w:pStyle w:val="FootnoteText"/>
      </w:pPr>
      <w:r>
        <w:rPr>
          <w:rStyle w:val="FootnoteReference"/>
        </w:rPr>
        <w:footnoteRef/>
      </w:r>
      <w:r>
        <w:t xml:space="preserve"> </w:t>
      </w:r>
      <w:r>
        <w:rPr>
          <w:bCs/>
          <w:b/>
        </w:rPr>
        <w:t xml:space="preserve">Question:</w:t>
      </w:r>
      <w:r>
        <w:t xml:space="preserve"> </w:t>
      </w:r>
      <w:r>
        <w:t xml:space="preserve">The model will estimate some 78 parameters. Is this a problem considering the low number of participants per period?</w:t>
      </w:r>
    </w:p>
  </w:footnote>
  <w:footnote w:id="88">
    <w:p>
      <w:pPr>
        <w:pStyle w:val="FootnoteText"/>
      </w:pPr>
      <w:r>
        <w:rPr>
          <w:rStyle w:val="FootnoteReference"/>
        </w:rPr>
        <w:footnoteRef/>
      </w:r>
      <w:r>
        <w:t xml:space="preserve"> </w:t>
      </w:r>
      <w:r>
        <w:rPr>
          <w:bCs/>
          <w:b/>
        </w:rPr>
        <w:t xml:space="preserve">Questions:</w:t>
      </w:r>
      <w:r>
        <w:t xml:space="preserve"> </w:t>
      </w:r>
      <w:r>
        <w:t xml:space="preserve">1. Should we adjust for calendar time because the last batch will be two years later than the first batch? 2. Should we add it as covariate in the list above? 3. Should it be continuous (e.g., months since the study started) or categorical calendar time (if you expect non-linear trends or stepwise changes over years)? 4. Should we analyse Time Since Admission? Depending on the nature of the trauma, the time since patient admission might also influence outcomes, especially if the timing of interventions or care decisions plays a critical role. Eg. time from admission to surgery.</w:t>
      </w:r>
    </w:p>
  </w:footnote>
  <w:footnote w:id="90">
    <w:p>
      <w:pPr>
        <w:pStyle w:val="FootnoteText"/>
      </w:pPr>
      <w:r>
        <w:rPr>
          <w:rStyle w:val="FootnoteReference"/>
        </w:rPr>
        <w:footnoteRef/>
      </w:r>
      <w:r>
        <w:t xml:space="preserve"> </w:t>
      </w:r>
      <w:r>
        <w:rPr>
          <w:bCs/>
          <w:b/>
        </w:rPr>
        <w:t xml:space="preserve">Question:</w:t>
      </w:r>
      <w:r>
        <w:t xml:space="preserve"> </w:t>
      </w:r>
      <w:r>
        <w:t xml:space="preserve">Are we exploring too many subgroups?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hyperlink" Id="rId20" Target="https://clinicaltrials.gov/ct2/show/NCT06321419" TargetMode="External" /><Relationship Type="http://schemas.openxmlformats.org/officeDocument/2006/relationships/hyperlink" Id="rId26" Target="https://orcid.org/0000-0001-6069-4794" TargetMode="External" /><Relationship Type="http://schemas.openxmlformats.org/officeDocument/2006/relationships/hyperlink" Id="rId32" Target="https://orcid.org/0000-0002-2226-6550" TargetMode="External" /><Relationship Type="http://schemas.openxmlformats.org/officeDocument/2006/relationships/hyperlink" Id="rId35" Target="https://orcid.org/0000-0002-6949-4200" TargetMode="External" /><Relationship Type="http://schemas.openxmlformats.org/officeDocument/2006/relationships/hyperlink" Id="rId29" Target="https://orcid.org/0000-0002-9460-108X" TargetMode="External" /></Relationships>
</file>

<file path=word/_rels/footnotes.xml.rels><?xml version="1.0" encoding="UTF-8"?><Relationships xmlns="http://schemas.openxmlformats.org/package/2006/relationships"><Relationship Type="http://schemas.openxmlformats.org/officeDocument/2006/relationships/hyperlink" Id="rId20" Target="https://clinicaltrials.gov/ct2/show/NCT06321419" TargetMode="External" /><Relationship Type="http://schemas.openxmlformats.org/officeDocument/2006/relationships/hyperlink" Id="rId26" Target="https://orcid.org/0000-0001-6069-4794" TargetMode="External" /><Relationship Type="http://schemas.openxmlformats.org/officeDocument/2006/relationships/hyperlink" Id="rId32" Target="https://orcid.org/0000-0002-2226-6550" TargetMode="External" /><Relationship Type="http://schemas.openxmlformats.org/officeDocument/2006/relationships/hyperlink" Id="rId35" Target="https://orcid.org/0000-0002-6949-4200" TargetMode="External" /><Relationship Type="http://schemas.openxmlformats.org/officeDocument/2006/relationships/hyperlink" Id="rId29" Target="https://orcid.org/0000-0002-9460-10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dc:title>
  <dc:creator>Version 0.4.0, 2024-10-21</dc:creator>
  <cp:keywords/>
  <dcterms:created xsi:type="dcterms:W3CDTF">2024-10-21T02:40:53Z</dcterms:created>
  <dcterms:modified xsi:type="dcterms:W3CDTF">2024-10-21T02:40:53Z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sl">
    <vt:lpwstr>nature.csl</vt:lpwstr>
  </property>
  <property fmtid="{D5CDD505-2E9C-101B-9397-08002B2CF9AE}" pid="8" name="fig-caption">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False</vt:lpwstr>
  </property>
  <property fmtid="{D5CDD505-2E9C-101B-9397-08002B2CF9AE}" pid="14" name="number-depth">
    <vt:lpwstr>3</vt:lpwstr>
  </property>
  <property fmtid="{D5CDD505-2E9C-101B-9397-08002B2CF9AE}" pid="15" name="subtitle">
    <vt:lpwstr>ADVANCE TRAUMAEffects of Advanced Trauma Life Support® Training Compared to Standard Care on Adult Trauma Patient Outcomes: A Cluster Randomised Trial</vt:lpwstr>
  </property>
  <property fmtid="{D5CDD505-2E9C-101B-9397-08002B2CF9AE}" pid="16" name="titlepage-theme">
    <vt:lpwstr/>
  </property>
  <property fmtid="{D5CDD505-2E9C-101B-9397-08002B2CF9AE}" pid="17" name="toc-title">
    <vt:lpwstr>Table of contents</vt:lpwstr>
  </property>
</Properties>
</file>