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Statistical</w:t>
      </w:r>
      <w:r>
        <w:t xml:space="preserve"> </w:t>
      </w:r>
      <w:r>
        <w:t xml:space="preserve">Analysis</w:t>
      </w:r>
      <w:r>
        <w:t xml:space="preserve"> </w:t>
      </w:r>
      <w:r>
        <w:t xml:space="preserve">Plan</w:t>
      </w:r>
      <w:r>
        <w:br/>
      </w:r>
      <w:r>
        <w:t xml:space="preserve">Version</w:t>
      </w:r>
      <w:r>
        <w:t xml:space="preserve"> </w:t>
      </w:r>
      <w:r>
        <w:t xml:space="preserve">0.2.0</w:t>
      </w:r>
      <w:r>
        <w:t xml:space="preserve">,</w:t>
      </w:r>
      <w:r>
        <w:t xml:space="preserve"> </w:t>
      </w:r>
      <w:r>
        <w:t xml:space="preserve">2024-06-04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7" w:name="administrative-information"/>
    <w:p>
      <w:pPr>
        <w:pStyle w:val="Heading1"/>
      </w:pPr>
      <w:r>
        <w:t xml:space="preserve">1. Administrative information</w:t>
      </w:r>
    </w:p>
    <w:bookmarkStart w:id="20" w:name="study-identifiers"/>
    <w:p>
      <w:pPr>
        <w:pStyle w:val="Heading2"/>
      </w:pPr>
      <w:r>
        <w:t xml:space="preserve">1.1 Study identifiers</w:t>
      </w:r>
    </w:p>
    <w:p>
      <w:pPr>
        <w:numPr>
          <w:ilvl w:val="0"/>
          <w:numId w:val="1001"/>
        </w:numPr>
        <w:pStyle w:val="Compact"/>
      </w:pPr>
      <w:r>
        <w:t xml:space="preserve">Protocol version 1.1.0 dated 2024-05-09</w:t>
      </w:r>
    </w:p>
    <w:p>
      <w:pPr>
        <w:numPr>
          <w:ilvl w:val="0"/>
          <w:numId w:val="1001"/>
        </w:numPr>
        <w:pStyle w:val="Compact"/>
      </w:pPr>
      <w:r>
        <w:t xml:space="preserve">ClinicalTrials.gov ID NCT06321419</w:t>
      </w:r>
    </w:p>
    <w:p>
      <w:pPr>
        <w:numPr>
          <w:ilvl w:val="0"/>
          <w:numId w:val="1001"/>
        </w:numPr>
        <w:pStyle w:val="Compact"/>
      </w:pPr>
      <w:r>
        <w:t xml:space="preserve">Clinical Trial Registry - India</w:t>
      </w:r>
    </w:p>
    <w:bookmarkEnd w:id="20"/>
    <w:bookmarkStart w:id="21" w:name="changelog"/>
    <w:p>
      <w:pPr>
        <w:pStyle w:val="Heading2"/>
      </w:pPr>
      <w:r>
        <w:t xml:space="preserve">1.2 Changelog</w:t>
      </w:r>
    </w:p>
    <w:p>
      <w:pPr>
        <w:pStyle w:val="FirstParagraph"/>
      </w:pPr>
      <w:r>
        <w:t xml:space="preserve">Once version 1.0.0 is finalised, this section will be updated with a changelog.</w:t>
      </w:r>
    </w:p>
    <w:bookmarkEnd w:id="21"/>
    <w:bookmarkStart w:id="26" w:name="contributors"/>
    <w:p>
      <w:pPr>
        <w:pStyle w:val="Heading2"/>
      </w:pPr>
      <w:r>
        <w:t xml:space="preserve">1.3 Contributors</w:t>
      </w:r>
    </w:p>
    <w:tbl>
      <w:tblPr>
        <w:tblStyle w:val="Table"/>
        <w:tblW w:type="pct" w:w="5000"/>
        <w:tblLook w:firstRow="1" w:lastRow="0" w:firstColumn="0" w:lastColumn="0" w:noHBand="0" w:noVBand="0" w:val="0020"/>
        <w:jc w:val="start"/>
      </w:tblPr>
      <w:tblGrid>
        <w:gridCol w:w="3740"/>
        <w:gridCol w:w="2860"/>
        <w:gridCol w:w="1320"/>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5">
              <w:r>
                <w:drawing>
                  <wp:inline>
                    <wp:extent cx="152400" cy="152400"/>
                    <wp:effectExtent b="0" l="0" r="0" t="0"/>
                    <wp:docPr descr="" title="" id="23" name="Picture"/>
                    <a:graphic>
                      <a:graphicData uri="http://schemas.openxmlformats.org/drawingml/2006/picture">
                        <pic:pic>
                          <pic:nvPicPr>
                            <pic:cNvPr descr="https://info.orcid.org/wp-content/uploads/2019/11/orcid_16x16.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w:t>
            </w:r>
          </w:p>
        </w:tc>
        <w:tc>
          <w:tcPr/>
          <w:p>
            <w:pPr>
              <w:pStyle w:val="Compact"/>
              <w:jc w:val="left"/>
            </w:pPr>
            <w:r>
              <w:t xml:space="preserve">Principal Investigator</w:t>
            </w:r>
          </w:p>
        </w:tc>
      </w:tr>
    </w:tbl>
    <w:p>
      <w:r>
        <w:br w:type="page"/>
      </w:r>
    </w:p>
    <w:bookmarkEnd w:id="26"/>
    <w:bookmarkEnd w:id="27"/>
    <w:bookmarkStart w:id="28" w:name="trial-synopsis"/>
    <w:p>
      <w:pPr>
        <w:pStyle w:val="Heading1"/>
      </w:pPr>
      <w:r>
        <w:t xml:space="preserve">2.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p>
      <w:r>
        <w:br w:type="page"/>
      </w:r>
    </w:p>
    <w:bookmarkEnd w:id="28"/>
    <w:bookmarkStart w:id="31" w:name="special-considerations"/>
    <w:p>
      <w:pPr>
        <w:pStyle w:val="Heading1"/>
      </w:pPr>
      <w:r>
        <w:t xml:space="preserve">3. Special considerations</w:t>
      </w:r>
    </w:p>
    <w:bookmarkStart w:id="29" w:name="funding"/>
    <w:p>
      <w:pPr>
        <w:pStyle w:val="Heading2"/>
      </w:pPr>
      <w:r>
        <w:t xml:space="preserve">3.1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9"/>
    <w:bookmarkStart w:id="30" w:name="potential-amendments"/>
    <w:p>
      <w:pPr>
        <w:pStyle w:val="Heading2"/>
      </w:pPr>
      <w:r>
        <w:t xml:space="preserve">3.2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r>
        <w:br w:type="page"/>
      </w:r>
    </w:p>
    <w:bookmarkEnd w:id="30"/>
    <w:bookmarkEnd w:id="31"/>
    <w:bookmarkStart w:id="78" w:name="statistical-analysis"/>
    <w:p>
      <w:pPr>
        <w:pStyle w:val="Heading1"/>
      </w:pPr>
      <w:r>
        <w:t xml:space="preserve">4. Statistical analysis</w:t>
      </w:r>
    </w:p>
    <w:bookmarkStart w:id="32" w:name="design"/>
    <w:p>
      <w:pPr>
        <w:pStyle w:val="Heading2"/>
      </w:pPr>
      <w:r>
        <w:t xml:space="preserve">4.1 Design</w:t>
      </w:r>
    </w:p>
    <w:p>
      <w:pPr>
        <w:pStyle w:val="FirstParagraph"/>
      </w:pPr>
      <w:r>
        <w:t xml:space="preserve">This is a batched stepped-wedge cluster randomised trial, including a total of 30. The trial will be composed of 6 batches of identical 12-period 5-sequence design, with one cluster being assigned to each sequence of each batch</w:t>
      </w:r>
      <w:r>
        <w:rPr>
          <w:vertAlign w:val="superscript"/>
        </w:rPr>
        <w:t xml:space="preserve">1</w:t>
      </w:r>
      <w:r>
        <w:t xml:space="preserve">. Each period is one month, and each cluster will be in the trial for a total of 13 months. The intervention will be implemented during a one-month transition period, which will be excluded from the analysis. There will be an overlap of 6 months between successive batches.</w:t>
      </w:r>
    </w:p>
    <w:bookmarkEnd w:id="32"/>
    <w:bookmarkStart w:id="33" w:name="statistical-hypotheses"/>
    <w:p>
      <w:pPr>
        <w:pStyle w:val="Heading2"/>
      </w:pPr>
      <w:r>
        <w:t xml:space="preserve">4.2 Statistical hypotheses</w:t>
      </w:r>
    </w:p>
    <w:p>
      <w:pPr>
        <w:pStyle w:val="FirstParagraph"/>
      </w:pPr>
      <w:r>
        <w:t xml:space="preserve">Our primary statistical hypotheses are:</w:t>
      </w:r>
    </w:p>
    <w:p>
      <w:pPr>
        <w:numPr>
          <w:ilvl w:val="0"/>
          <w:numId w:val="1002"/>
        </w:numPr>
        <w:pStyle w:val="Compact"/>
      </w:pPr>
      <w:r>
        <w:rPr>
          <w:bCs/>
          <w:b/>
        </w:rPr>
        <w:t xml:space="preserve">Null hypothesis</w:t>
      </w:r>
      <w:r>
        <w:t xml:space="preserve">: There is no difference in the primary outcome of 30-day in-hospital mortality between those randomised to ATLS</w:t>
      </w:r>
      <w:r>
        <w:rPr>
          <w:vertAlign w:val="superscript"/>
        </w:rPr>
        <w:t xml:space="preserve">®</w:t>
      </w:r>
      <w:r>
        <w:t xml:space="preserve"> </w:t>
      </w:r>
      <w:r>
        <w:t xml:space="preserve">and standard care, meaning that the odds ratio (OR) for ATLS</w:t>
      </w:r>
      <w:r>
        <w:rPr>
          <w:vertAlign w:val="superscript"/>
        </w:rPr>
        <w:t xml:space="preserve">®</w:t>
      </w:r>
      <w:r>
        <w:t xml:space="preserve"> </w:t>
      </w:r>
      <w:r>
        <w:t xml:space="preserve">vs standard care would be 1.</w:t>
      </w:r>
    </w:p>
    <w:p>
      <w:pPr>
        <w:numPr>
          <w:ilvl w:val="0"/>
          <w:numId w:val="1002"/>
        </w:numPr>
        <w:pStyle w:val="Compact"/>
      </w:pPr>
      <w:r>
        <w:rPr>
          <w:bCs/>
          <w:b/>
        </w:rPr>
        <w:t xml:space="preserve">Alternative hypothesis</w:t>
      </w:r>
      <w:r>
        <w:t xml:space="preserve">: There is an absolute difference in the primary outcome of 30-day in-hospital mortality between those randomised to ATLS</w:t>
      </w:r>
      <w:r>
        <w:rPr>
          <w:vertAlign w:val="superscript"/>
        </w:rPr>
        <w:t xml:space="preserve">®</w:t>
      </w:r>
      <w:r>
        <w:t xml:space="preserve"> </w:t>
      </w:r>
      <w:r>
        <w:t xml:space="preserve">and standard care of at least 5% units, meaning that the OR for ATLS</w:t>
      </w:r>
      <w:r>
        <w:rPr>
          <w:vertAlign w:val="superscript"/>
        </w:rPr>
        <w:t xml:space="preserve">®</w:t>
      </w:r>
      <w:r>
        <w:t xml:space="preserve"> </w:t>
      </w:r>
      <w:r>
        <w:t xml:space="preserve">vs standard care would be different from 1. Our expectation, based on our pilot study and review of the literature, is that the OR will be less than 1, indicating lower odds of 30-day in-hospital mortality among those randomised to ATLS</w:t>
      </w:r>
      <w:r>
        <w:rPr>
          <w:vertAlign w:val="superscript"/>
        </w:rPr>
        <w:t xml:space="preserve">®</w:t>
      </w:r>
      <w:r>
        <w:t xml:space="preserve"> </w:t>
      </w:r>
      <w:r>
        <w:t xml:space="preserve">group compared to those randomised to the standard care group.</w:t>
      </w:r>
    </w:p>
    <w:bookmarkEnd w:id="33"/>
    <w:bookmarkStart w:id="38" w:name="sample-size-calculations"/>
    <w:p>
      <w:pPr>
        <w:pStyle w:val="Heading2"/>
      </w:pPr>
      <w:r>
        <w:t xml:space="preserve">4.3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of in-hospital mortality within 30 days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1</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2,3</w:t>
      </w:r>
      <w:r>
        <w:t xml:space="preserve">, and a CAC of 0.9 but considered sensitivity across the range 0.8-1.0, based on our pilot study and current guidance</w:t>
      </w:r>
      <w:r>
        <w:rPr>
          <w:vertAlign w:val="superscript"/>
        </w:rPr>
        <w:t xml:space="preserve">4–6</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37" w:name="fig-power-curves"/>
          <w:p>
            <w:pPr>
              <w:jc w:val="center"/>
            </w:pPr>
            <w:r>
              <w:drawing>
                <wp:inline>
                  <wp:extent cx="5334000" cy="2369551"/>
                  <wp:effectExtent b="0" l="0" r="0" t="0"/>
                  <wp:docPr descr="" title="" id="35" name="Picture"/>
                  <a:graphic>
                    <a:graphicData uri="http://schemas.openxmlformats.org/drawingml/2006/picture">
                      <pic:pic>
                        <pic:nvPicPr>
                          <pic:cNvPr descr="./combined-power-curves.png" id="36" name="Picture"/>
                          <pic:cNvPicPr>
                            <a:picLocks noChangeArrowheads="1" noChangeAspect="1"/>
                          </pic:cNvPicPr>
                        </pic:nvPicPr>
                        <pic:blipFill>
                          <a:blip r:embed="rId34"/>
                          <a:stretch>
                            <a:fillRect/>
                          </a:stretch>
                        </pic:blipFill>
                        <pic:spPr bwMode="auto">
                          <a:xfrm>
                            <a:off x="0" y="0"/>
                            <a:ext cx="5334000" cy="23695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of in-hospital mortality within 30 days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37"/>
        </w:tc>
      </w:tr>
    </w:tbl>
    <w:bookmarkEnd w:id="38"/>
    <w:bookmarkStart w:id="41" w:name="statistical-principles"/>
    <w:p>
      <w:pPr>
        <w:pStyle w:val="Heading2"/>
      </w:pPr>
      <w:r>
        <w:t xml:space="preserve">4.4 Statistical principles</w:t>
      </w:r>
    </w:p>
    <w:bookmarkStart w:id="39" w:name="statistical-software"/>
    <w:p>
      <w:pPr>
        <w:pStyle w:val="Heading3"/>
      </w:pPr>
      <w:r>
        <w:t xml:space="preserve">4.4.1 Statistical software</w:t>
      </w:r>
    </w:p>
    <w:p>
      <w:pPr>
        <w:pStyle w:val="FirstParagraph"/>
      </w:pPr>
      <w:r>
        <w:t xml:space="preserve">We will use the R Statistical Software for all analyses</w:t>
      </w:r>
      <w:r>
        <w:rPr>
          <w:vertAlign w:val="superscript"/>
        </w:rPr>
        <w:t xml:space="preserve">7</w:t>
      </w:r>
      <w:r>
        <w:t xml:space="preserve">.</w:t>
      </w:r>
    </w:p>
    <w:bookmarkEnd w:id="39"/>
    <w:bookmarkStart w:id="40" w:name="Xb3701c3e4f516f3436ab2f14fbfd68958c11744"/>
    <w:p>
      <w:pPr>
        <w:pStyle w:val="Heading3"/>
      </w:pPr>
      <w:r>
        <w:t xml:space="preserve">4.4.2 Levels of statistical significance and confidence</w:t>
      </w:r>
    </w:p>
    <w:p>
      <w:pPr>
        <w:pStyle w:val="FirstParagraph"/>
      </w:pPr>
      <w:r>
        <w:t xml:space="preserve">We will not perform any formal hypothesis testing as part of our planned interim analyses. We will use a two-sided significance level of 0.05 for all analyses, and we will report 95% confidence intervals (CI) for all estimates. We will not adjust for multiple testing because no secondary outcome is regarded as singularly more important.</w:t>
      </w:r>
    </w:p>
    <w:bookmarkEnd w:id="40"/>
    <w:bookmarkEnd w:id="41"/>
    <w:bookmarkStart w:id="42" w:name="analysis-populations"/>
    <w:p>
      <w:pPr>
        <w:pStyle w:val="Heading2"/>
      </w:pPr>
      <w:r>
        <w:t xml:space="preserve">4.5 Analysis populations</w:t>
      </w:r>
    </w:p>
    <w:p>
      <w:pPr>
        <w:pStyle w:val="FirstParagraph"/>
      </w:pPr>
      <w:r>
        <w:t xml:space="preserve">The unit of randomisation is the hospital, because all units trained in the same hospital will be treated as one cluster,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We will use an intention-to-treat approach for all analyses. We will not do a per protocol or safety analysis. We will use a CONSORT diagram to display the flow of hospitals, clusters and patients through the trial. We will present cluster level summaries of the intervention effect. We will report the study according to the CONSORT guidelines for stepped-wedge randomised trials</w:t>
      </w:r>
      <w:r>
        <w:rPr>
          <w:vertAlign w:val="superscript"/>
        </w:rPr>
        <w:t xml:space="preserve">8</w:t>
      </w:r>
      <w:r>
        <w:t xml:space="preserve">.</w:t>
      </w:r>
    </w:p>
    <w:bookmarkEnd w:id="42"/>
    <w:bookmarkStart w:id="45" w:name="baseline-analyses"/>
    <w:p>
      <w:pPr>
        <w:pStyle w:val="Heading2"/>
      </w:pPr>
      <w:r>
        <w:t xml:space="preserve">4.6 Baseline analyses</w:t>
      </w:r>
    </w:p>
    <w:bookmarkStart w:id="43" w:name="cluster-characteristics"/>
    <w:p>
      <w:pPr>
        <w:pStyle w:val="Heading3"/>
      </w:pPr>
      <w:r>
        <w:t xml:space="preserve">4.6.1 Cluster characteristics</w:t>
      </w:r>
    </w:p>
    <w:p>
      <w:pPr>
        <w:pStyle w:val="FirstParagraph"/>
      </w:pPr>
      <w:r>
        <w:t xml:space="preserve">We will describe cluster characteristics including location and size using frequencies and percentages for discrete variables and means, standard deviations, medians and interquartile ranges (Q1-Q3) for continuous variables.</w:t>
      </w:r>
    </w:p>
    <w:bookmarkEnd w:id="43"/>
    <w:bookmarkStart w:id="44" w:name="patient-characteristics"/>
    <w:p>
      <w:pPr>
        <w:pStyle w:val="Heading3"/>
      </w:pPr>
      <w:r>
        <w:t xml:space="preserve">4.6.2 Patient characteristics</w:t>
      </w:r>
    </w:p>
    <w:p>
      <w:pPr>
        <w:pStyle w:val="FirstParagraph"/>
      </w:pPr>
      <w:r>
        <w:t xml:space="preserve">We will describe patient characteristics at baseline, meaning all pre-training periods, per treatment group and overall using frequencies and percentages for discrete variables and means, standard deviations, medians and interquartile ranges (Q1-Q3) for continuous variables. We will not adjust for clustering when presenting baseline characteristics.</w:t>
      </w:r>
    </w:p>
    <w:bookmarkEnd w:id="44"/>
    <w:bookmarkEnd w:id="45"/>
    <w:bookmarkStart w:id="66" w:name="analysis-of-the-primary-outcome"/>
    <w:p>
      <w:pPr>
        <w:pStyle w:val="Heading2"/>
      </w:pPr>
      <w:r>
        <w:t xml:space="preserve">4.7 Analysis of the primary outcome</w:t>
      </w:r>
    </w:p>
    <w:p>
      <w:pPr>
        <w:pStyle w:val="FirstParagraph"/>
      </w:pPr>
      <w:r>
        <w:t xml:space="preserve">The primary outcomes is in-hospital mortality within 30 days of arrival at the emergency department and will be analysed as a dichotomous variable. We will estimate the primary intervention effect as the OR of death between the ATLS</w:t>
      </w:r>
      <w:r>
        <w:rPr>
          <w:vertAlign w:val="superscript"/>
        </w:rPr>
        <w:t xml:space="preserve">®</w:t>
      </w:r>
      <w:r>
        <w:t xml:space="preserve"> </w:t>
      </w:r>
      <w:r>
        <w:t xml:space="preserve">and standard care arms, with an OR &lt; 1 indicating lower odds of death in the ATLS</w:t>
      </w:r>
      <w:r>
        <w:rPr>
          <w:vertAlign w:val="superscript"/>
        </w:rPr>
        <w:t xml:space="preserve">®</w:t>
      </w:r>
      <w:r>
        <w:t xml:space="preserve"> </w:t>
      </w:r>
      <w:r>
        <w:t xml:space="preserve">arm compared to the standard care arm and vice versa.</w:t>
      </w:r>
    </w:p>
    <w:bookmarkStart w:id="49" w:name="Xea69dabbe4f97fa9076400f0f43c7b66d7eda4c"/>
    <w:p>
      <w:pPr>
        <w:pStyle w:val="Heading3"/>
      </w:pPr>
      <w:r>
        <w:t xml:space="preserve">4.7.1 Main analysis: mixed effects binomial model with logit link</w:t>
      </w:r>
    </w:p>
    <w:p>
      <w:pPr>
        <w:pStyle w:val="FirstParagraph"/>
      </w:pPr>
      <w:r>
        <w:t xml:space="preserve">We will use a mixed effects binomial model with a logit link to estimate the OR. We will include fixed effects for period as a categorical variable and a fixed effect for intervention exposure</w:t>
      </w:r>
      <w:r>
        <w:rPr>
          <w:rStyle w:val="FootnoteReference"/>
        </w:rPr>
        <w:footnoteReference w:id="46"/>
      </w:r>
      <w:r>
        <w:t xml:space="preserve">. The primary analysis will allow for clustering as a random cluster and random cluster by period effect, both assumed to follow a normal distribution. The full model is specified in</w:t>
      </w:r>
      <w:r>
        <w:t xml:space="preserve"> </w:t>
      </w:r>
      <w:hyperlink w:anchor="eq-logit-model">
        <w:r>
          <w:rPr>
            <w:rStyle w:val="Hyperlink"/>
          </w:rPr>
          <w:t xml:space="preserve">Equation 1</w:t>
        </w:r>
      </w:hyperlink>
      <w:r>
        <w:t xml:space="preserve">. To correct the potential inflation of the type I error rate due to small number of clusters, the Kenward and Roger small sample correction will be used</w:t>
      </w:r>
      <w:r>
        <w:rPr>
          <w:vertAlign w:val="superscript"/>
        </w:rPr>
        <w:t xml:space="preserve">9</w:t>
      </w:r>
      <w:r>
        <w:t xml:space="preserve">. This model will be fitted using residual pseudo-likelihood estimation based on linearization with subject-specific expansion (RSPL).</w:t>
      </w:r>
    </w:p>
    <w:p>
      <w:pPr>
        <w:pStyle w:val="BodyText"/>
      </w:pPr>
      <w:bookmarkStart w:id="47" w:name="eq-logit-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1</m:t>
              </m:r>
            </m:e>
          </m:d>
        </m:oMath>
      </m:oMathPara>
      <w:bookmarkEnd w:id="47"/>
    </w:p>
    <w:p>
      <w:pPr>
        <w:pStyle w:val="FirstParagraph"/>
      </w:pPr>
      <w:r>
        <w:t xml:space="preserve">Where:</w:t>
      </w:r>
    </w:p>
    <w:p>
      <w:pPr>
        <w:numPr>
          <w:ilvl w:val="0"/>
          <w:numId w:val="1003"/>
        </w:numPr>
        <w:pStyle w:val="Compact"/>
      </w:pPr>
      <m:oMath>
        <m:r>
          <m:rPr>
            <m:nor/>
            <m:sty m:val="p"/>
          </m:rPr>
          <m:t>Pr</m:t>
        </m:r>
        <m:d>
          <m:dPr>
            <m:begChr m:val="("/>
            <m:endChr m:val=")"/>
            <m:sepChr m:val=""/>
            <m:grow/>
          </m:dPr>
          <m:e>
            <m:sSub>
              <m:e>
                <m:r>
                  <m:t>Y</m:t>
                </m:r>
              </m:e>
              <m:sub>
                <m:r>
                  <m:t>b</m:t>
                </m:r>
                <m:r>
                  <m:t>k</m:t>
                </m:r>
                <m:r>
                  <m:t>t</m:t>
                </m:r>
                <m:r>
                  <m:t>i</m:t>
                </m:r>
              </m:sub>
            </m:sSub>
            <m:r>
              <m:rPr>
                <m:sty m:val="p"/>
              </m:rPr>
              <m:t>=</m:t>
            </m:r>
            <m:r>
              <m:t>1</m:t>
            </m:r>
          </m:e>
        </m:d>
      </m:oMath>
      <w:r>
        <w:t xml:space="preserve"> </w:t>
      </w:r>
      <w:r>
        <w:t xml:space="preserve">is the probability of death for patient</w:t>
      </w:r>
      <w:r>
        <w:t xml:space="preserve"> </w:t>
      </w:r>
      <m:oMath>
        <m:r>
          <m:t>i</m:t>
        </m:r>
        <m:r>
          <m:rPr>
            <m:sty m:val="p"/>
          </m:rPr>
          <m:t>=</m:t>
        </m:r>
        <m:r>
          <m:t>1</m:t>
        </m:r>
        <m:r>
          <m:rPr>
            <m:sty m:val="p"/>
          </m:rPr>
          <m:t>,</m:t>
        </m:r>
        <m:r>
          <m:rPr>
            <m:sty m:val="p"/>
          </m:rPr>
          <m:t>…</m:t>
        </m:r>
        <m:r>
          <m:rPr>
            <m:sty m:val="p"/>
          </m:rPr>
          <m:t>,</m:t>
        </m:r>
        <m:r>
          <m:t>m</m:t>
        </m:r>
      </m:oMath>
      <w:r>
        <w:t xml:space="preserve"> </w:t>
      </w:r>
      <w:r>
        <w:t xml:space="preserve">in cluster</w:t>
      </w:r>
      <w:r>
        <w:t xml:space="preserve"> </w:t>
      </w:r>
      <m:oMath>
        <m:r>
          <m:t>k</m:t>
        </m:r>
        <m:r>
          <m:rPr>
            <m:sty m:val="p"/>
          </m:rPr>
          <m:t>=</m:t>
        </m:r>
        <m:r>
          <m:t>1</m:t>
        </m:r>
        <m:r>
          <m:rPr>
            <m:sty m:val="p"/>
          </m:rPr>
          <m:t>,</m:t>
        </m:r>
        <m:r>
          <m:rPr>
            <m:sty m:val="p"/>
          </m:rPr>
          <m:t>…</m:t>
        </m:r>
        <m:r>
          <m:rPr>
            <m:sty m:val="p"/>
          </m:rPr>
          <m:t>,</m:t>
        </m:r>
        <m:r>
          <m:t>30</m:t>
        </m:r>
      </m:oMath>
      <w:r>
        <w:t xml:space="preserve"> </w:t>
      </w:r>
      <w:r>
        <w:t xml:space="preserve">in period</w:t>
      </w:r>
      <w:r>
        <w:t xml:space="preserve"> </w:t>
      </w:r>
      <m:oMath>
        <m:r>
          <m:t>t</m:t>
        </m:r>
        <m:r>
          <m:rPr>
            <m:sty m:val="p"/>
          </m:rPr>
          <m:t>=</m:t>
        </m:r>
        <m:r>
          <m:t>1</m:t>
        </m:r>
        <m:r>
          <m:rPr>
            <m:sty m:val="p"/>
          </m:rPr>
          <m:t>,</m:t>
        </m:r>
        <m:r>
          <m:rPr>
            <m:sty m:val="p"/>
          </m:rPr>
          <m:t>…</m:t>
        </m:r>
        <m:r>
          <m:rPr>
            <m:sty m:val="p"/>
          </m:rPr>
          <m:t>,</m:t>
        </m:r>
        <m:r>
          <m:t>12</m:t>
        </m:r>
      </m:oMath>
      <w:r>
        <w:t xml:space="preserve"> </w:t>
      </w:r>
      <w:r>
        <w:t xml:space="preserve">in batch</w:t>
      </w:r>
      <w:r>
        <w:t xml:space="preserve"> </w:t>
      </w:r>
      <m:oMath>
        <m:r>
          <m:t>b</m:t>
        </m:r>
        <m:r>
          <m:rPr>
            <m:sty m:val="p"/>
          </m:rPr>
          <m:t>=</m:t>
        </m:r>
        <m:r>
          <m:t>1</m:t>
        </m:r>
        <m:r>
          <m:rPr>
            <m:sty m:val="p"/>
          </m:rPr>
          <m:t>,</m:t>
        </m:r>
        <m:r>
          <m:rPr>
            <m:sty m:val="p"/>
          </m:rPr>
          <m:t>…</m:t>
        </m:r>
        <m:r>
          <m:rPr>
            <m:sty m:val="p"/>
          </m:rPr>
          <m:t>,</m:t>
        </m:r>
        <m:r>
          <m:t>6</m:t>
        </m:r>
      </m:oMath>
      <w:r>
        <w:t xml:space="preserve">.</w:t>
      </w:r>
    </w:p>
    <w:p>
      <w:pPr>
        <w:numPr>
          <w:ilvl w:val="0"/>
          <w:numId w:val="1003"/>
        </w:numPr>
        <w:pStyle w:val="Compact"/>
      </w:pPr>
      <m:oMath>
        <m:r>
          <m:t>μ</m:t>
        </m:r>
      </m:oMath>
      <w:r>
        <w:t xml:space="preserve"> </w:t>
      </w:r>
      <w:r>
        <w:t xml:space="preserve">is the intercept, representing the baseline log-odds of the outcome when all predictors are 1.</w:t>
      </w:r>
    </w:p>
    <w:p>
      <w:pPr>
        <w:numPr>
          <w:ilvl w:val="0"/>
          <w:numId w:val="1003"/>
        </w:numPr>
        <w:pStyle w:val="Compact"/>
      </w:pPr>
      <m:oMath>
        <m:sSub>
          <m:e>
            <m:r>
              <m:t>β</m:t>
            </m:r>
          </m:e>
          <m:sub>
            <m:r>
              <m:t>b</m:t>
            </m:r>
            <m:r>
              <m:t>t</m:t>
            </m:r>
          </m:sub>
        </m:sSub>
      </m:oMath>
      <w:r>
        <w:t xml:space="preserve"> </w:t>
      </w:r>
      <w:r>
        <w:t xml:space="preserve">is the fixed effect of period</w:t>
      </w:r>
      <w:r>
        <w:t xml:space="preserve"> </w:t>
      </w:r>
      <m:oMath>
        <m:r>
          <m:t>t</m:t>
        </m:r>
      </m:oMath>
      <w:r>
        <w:t xml:space="preserve"> </w:t>
      </w:r>
      <w:r>
        <w:t xml:space="preserve">in batch</w:t>
      </w:r>
      <w:r>
        <w:t xml:space="preserve"> </w:t>
      </w:r>
      <m:oMath>
        <m:r>
          <m:t>b</m:t>
        </m:r>
      </m:oMath>
      <w:r>
        <w:t xml:space="preserve">, i.e. there is a separate period effect for each batch, so that there is a total of 72 period effects.</w:t>
      </w:r>
      <w:r>
        <w:rPr>
          <w:rStyle w:val="FootnoteReference"/>
        </w:rPr>
        <w:footnoteReference w:id="48"/>
      </w:r>
    </w:p>
    <w:p>
      <w:pPr>
        <w:numPr>
          <w:ilvl w:val="0"/>
          <w:numId w:val="1003"/>
        </w:numPr>
        <w:pStyle w:val="Compact"/>
      </w:pPr>
      <m:oMath>
        <m:r>
          <m:t>θ</m:t>
        </m:r>
      </m:oMath>
      <w:r>
        <w:t xml:space="preserve"> </w:t>
      </w:r>
      <w:r>
        <w:t xml:space="preserve">is the fixed effect of intervention exposure, i.e. the effect of ATLS</w:t>
      </w:r>
      <w:r>
        <w:rPr>
          <w:vertAlign w:val="superscript"/>
        </w:rPr>
        <w:t xml:space="preserve">®</w:t>
      </w:r>
      <w:r>
        <w:t xml:space="preserve"> </w:t>
      </w:r>
      <w:r>
        <w:t xml:space="preserve">exposure on the probability of death.</w:t>
      </w:r>
    </w:p>
    <w:p>
      <w:pPr>
        <w:numPr>
          <w:ilvl w:val="0"/>
          <w:numId w:val="1003"/>
        </w:numPr>
        <w:pStyle w:val="Compact"/>
      </w:pPr>
      <m:oMath>
        <m:sSub>
          <m:e>
            <m:r>
              <m:t>X</m:t>
            </m:r>
          </m:e>
          <m:sub>
            <m:r>
              <m:t>b</m:t>
            </m:r>
            <m:r>
              <m:t>k</m:t>
            </m:r>
            <m:r>
              <m:t>t</m:t>
            </m:r>
          </m:sub>
        </m:sSub>
      </m:oMath>
      <w:r>
        <w:t xml:space="preserve"> </w:t>
      </w:r>
      <w:r>
        <w:t xml:space="preserve">is the treatment arm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with</w:t>
      </w:r>
      <w:r>
        <w:t xml:space="preserve"> </w:t>
      </w:r>
      <m:oMath>
        <m:sSub>
          <m:e>
            <m:r>
              <m:t>X</m:t>
            </m:r>
          </m:e>
          <m:sub>
            <m:r>
              <m:t>b</m:t>
            </m:r>
            <m:r>
              <m:t>k</m:t>
            </m:r>
            <m:r>
              <m:t>t</m:t>
            </m:r>
          </m:sub>
        </m:sSub>
        <m:r>
          <m:rPr>
            <m:sty m:val="p"/>
          </m:rPr>
          <m:t>=</m:t>
        </m:r>
        <m:r>
          <m:t>1</m:t>
        </m:r>
      </m:oMath>
      <w:r>
        <w:t xml:space="preserve"> </w:t>
      </w:r>
      <w:r>
        <w:t xml:space="preserve">for ATLS</w:t>
      </w:r>
      <w:r>
        <w:rPr>
          <w:vertAlign w:val="superscript"/>
        </w:rPr>
        <w:t xml:space="preserve">®</w:t>
      </w:r>
      <w:r>
        <w:t xml:space="preserve"> </w:t>
      </w:r>
      <w:r>
        <w:t xml:space="preserve">and</w:t>
      </w:r>
      <w:r>
        <w:t xml:space="preserve"> </w:t>
      </w:r>
      <m:oMath>
        <m:sSub>
          <m:e>
            <m:r>
              <m:t>X</m:t>
            </m:r>
          </m:e>
          <m:sub>
            <m:r>
              <m:t>b</m:t>
            </m:r>
            <m:r>
              <m:t>k</m:t>
            </m:r>
            <m:r>
              <m:t>t</m:t>
            </m:r>
          </m:sub>
        </m:sSub>
        <m:r>
          <m:rPr>
            <m:sty m:val="p"/>
          </m:rPr>
          <m:t>=</m:t>
        </m:r>
        <m:r>
          <m:t>0</m:t>
        </m:r>
      </m:oMath>
      <w:r>
        <w:t xml:space="preserve"> </w:t>
      </w:r>
      <w:r>
        <w:t xml:space="preserve">for standard care.</w:t>
      </w:r>
    </w:p>
    <w:p>
      <w:pPr>
        <w:numPr>
          <w:ilvl w:val="0"/>
          <w:numId w:val="1003"/>
        </w:numPr>
        <w:pStyle w:val="Compact"/>
      </w:pPr>
      <m:oMath>
        <m:sSub>
          <m:e>
            <m:r>
              <m:t>α</m:t>
            </m:r>
          </m:e>
          <m:sub>
            <m:r>
              <m:t>b</m:t>
            </m:r>
            <m:r>
              <m:t>k</m:t>
            </m:r>
          </m:sub>
        </m:sSub>
      </m:oMath>
      <w:r>
        <w:t xml:space="preserve"> </w:t>
      </w:r>
      <w:r>
        <w:t xml:space="preserve">is the random effect of cluster</w:t>
      </w:r>
      <w:r>
        <w:t xml:space="preserve"> </w:t>
      </w:r>
      <m:oMath>
        <m:r>
          <m:t>k</m:t>
        </m:r>
      </m:oMath>
      <w:r>
        <w:t xml:space="preserve"> </w:t>
      </w:r>
      <w:r>
        <w:t xml:space="preserve">in batch</w:t>
      </w:r>
      <w:r>
        <w:t xml:space="preserve"> </w:t>
      </w:r>
      <m:oMath>
        <m:r>
          <m:t>b</m:t>
        </m:r>
      </m:oMath>
      <w:r>
        <w:t xml:space="preserve">, i.e. the random effect of cluster.</w:t>
      </w:r>
    </w:p>
    <w:p>
      <w:pPr>
        <w:numPr>
          <w:ilvl w:val="0"/>
          <w:numId w:val="1003"/>
        </w:numPr>
        <w:pStyle w:val="Compact"/>
      </w:pPr>
      <m:oMath>
        <m:sSub>
          <m:e>
            <m:r>
              <m:t>γ</m:t>
            </m:r>
          </m:e>
          <m:sub>
            <m:r>
              <m:t>b</m:t>
            </m:r>
            <m:r>
              <m:t>k</m:t>
            </m:r>
            <m:r>
              <m:t>t</m:t>
            </m:r>
          </m:sub>
        </m:sSub>
      </m:oMath>
      <w:r>
        <w:t xml:space="preserve"> </w:t>
      </w:r>
      <w:r>
        <w:t xml:space="preserve">is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i.e. the random effect of cluster by period.</w:t>
      </w:r>
    </w:p>
    <w:p>
      <w:pPr>
        <w:pStyle w:val="FirstParagraph"/>
      </w:pPr>
      <w:r>
        <w:t xml:space="preserve">We will present the effect of ATLS</w:t>
      </w:r>
      <w:r>
        <w:rPr>
          <w:vertAlign w:val="superscript"/>
        </w:rPr>
        <w:t xml:space="preserve">®</w:t>
      </w:r>
      <w:r>
        <w:t xml:space="preserve"> </w:t>
      </w:r>
      <w:r>
        <w:t xml:space="preserve">exposure as an OR of mortality with an associated 95% CI, using the standard care arm as the reference. We will also present the risk difference with a 95% CI. We will balance the randomization within each batch on cluster size, defined as expected monthly volume of eligible patient participants, and will therefore not adjust the main analysis for cluster size.</w:t>
      </w:r>
    </w:p>
    <w:bookmarkEnd w:id="49"/>
    <w:bookmarkStart w:id="61" w:name="sensitivity-analyses"/>
    <w:p>
      <w:pPr>
        <w:pStyle w:val="Heading3"/>
      </w:pPr>
      <w:r>
        <w:t xml:space="preserve">4.7.2 Sensitivity analyses</w:t>
      </w:r>
    </w:p>
    <w:p>
      <w:pPr>
        <w:pStyle w:val="FirstParagraph"/>
      </w:pPr>
      <w:r>
        <w:t xml:space="preserve">The sensitivity analyses 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operationalised using two separate models, one with the logit link and one with the identity link. We will first explore more complex correlation structures. We will then model time using a spline function. Finally, we will conduct a fully adjusted covariate analysis.</w:t>
      </w:r>
    </w:p>
    <w:bookmarkStart w:id="51" w:name="model-with-identify-link"/>
    <w:p>
      <w:pPr>
        <w:pStyle w:val="Heading4"/>
      </w:pPr>
      <w:r>
        <w:t xml:space="preserve">Model with identify link</w:t>
      </w:r>
    </w:p>
    <w:p>
      <w:pPr>
        <w:pStyle w:val="FirstParagraph"/>
      </w:pPr>
      <w:r>
        <w:t xml:space="preserve">We will use an identity link used to estimate the risk difference, meaning that the coefficient will be interpreted as the difference in the probability of death between the ATLS</w:t>
      </w:r>
      <w:r>
        <w:rPr>
          <w:vertAlign w:val="superscript"/>
        </w:rPr>
        <w:t xml:space="preserve">®</w:t>
      </w:r>
      <w:r>
        <w:t xml:space="preserve"> </w:t>
      </w:r>
      <w:r>
        <w:t xml:space="preserve">and standard care arms. We will present the risk difference with a 95% CI. This model is specified in</w:t>
      </w:r>
      <w:r>
        <w:t xml:space="preserve"> </w:t>
      </w:r>
      <w:hyperlink w:anchor="eq-identity-model">
        <w:r>
          <w:rPr>
            <w:rStyle w:val="Hyperlink"/>
          </w:rPr>
          <w:t xml:space="preserve">Equation 2</w:t>
        </w:r>
      </w:hyperlink>
      <w:r>
        <w:t xml:space="preserve"> </w:t>
      </w:r>
      <w:r>
        <w:t xml:space="preserve">and will also be fitted using RSPL. If the binomial model with the identity link does not converge then only a odds ratio will be reported.</w:t>
      </w:r>
    </w:p>
    <w:p>
      <w:pPr>
        <w:pStyle w:val="BodyText"/>
      </w:pPr>
      <w:bookmarkStart w:id="50" w:name="eq-identity-model"/>
      <m:oMathPara>
        <m:oMathParaPr>
          <m:jc m:val="center"/>
        </m:oMathParaPr>
        <m:oMath>
          <m:r>
            <m:rPr>
              <m:nor/>
              <m:sty m:val="p"/>
            </m:rPr>
            <m:t>Pr</m:t>
          </m:r>
          <m:d>
            <m:dPr>
              <m:begChr m:val="("/>
              <m:endChr m:val=")"/>
              <m:sepChr m:val=""/>
              <m:grow/>
            </m:dPr>
            <m:e>
              <m:sSub>
                <m:e>
                  <m:r>
                    <m:t>Y</m:t>
                  </m:r>
                </m:e>
                <m:sub>
                  <m:r>
                    <m:t>b</m:t>
                  </m:r>
                  <m:r>
                    <m:t>k</m:t>
                  </m:r>
                  <m:r>
                    <m:t>t</m:t>
                  </m:r>
                  <m:r>
                    <m:t>i</m:t>
                  </m:r>
                </m:sub>
              </m:sSub>
              <m:r>
                <m:rPr>
                  <m:sty m:val="p"/>
                </m:rPr>
                <m:t>=</m:t>
              </m:r>
              <m:r>
                <m:t>1</m:t>
              </m:r>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2</m:t>
              </m:r>
            </m:e>
          </m:d>
        </m:oMath>
      </m:oMathPara>
      <w:bookmarkEnd w:id="50"/>
    </w:p>
    <w:p>
      <w:pPr>
        <w:pStyle w:val="FirstParagraph"/>
      </w:pPr>
      <w:r>
        <w:t xml:space="preserve">Where:</w:t>
      </w:r>
    </w:p>
    <w:p>
      <w:pPr>
        <w:numPr>
          <w:ilvl w:val="0"/>
          <w:numId w:val="1004"/>
        </w:numPr>
        <w:pStyle w:val="Compact"/>
      </w:pPr>
      <m:oMath>
        <m:r>
          <m:t>μ</m:t>
        </m:r>
      </m:oMath>
      <w:r>
        <w:t xml:space="preserve"> </w:t>
      </w:r>
      <w:r>
        <w:t xml:space="preserve">is the intercept, representing the baseline probability of the outcome when all predictors are zero.</w:t>
      </w:r>
    </w:p>
    <w:bookmarkEnd w:id="51"/>
    <w:bookmarkStart w:id="54" w:name="X34badd1093e9e7c7bfe97980565489a18ac7362"/>
    <w:p>
      <w:pPr>
        <w:pStyle w:val="Heading4"/>
      </w:pPr>
      <w:r>
        <w:t xml:space="preserve">Models with different correlation structure</w:t>
      </w:r>
    </w:p>
    <w:p>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 First, we will include a discrete time decay correlation structure including a random cluster effect with auto-regressive structure (AR(1)), described in</w:t>
      </w:r>
      <w:r>
        <w:t xml:space="preserve"> </w:t>
      </w:r>
      <w:hyperlink w:anchor="eq-ar1">
        <w:r>
          <w:rPr>
            <w:rStyle w:val="Hyperlink"/>
          </w:rPr>
          <w:t xml:space="preserve">Equation 3</w:t>
        </w:r>
      </w:hyperlink>
      <w:r>
        <w:t xml:space="preserve">.</w:t>
      </w:r>
    </w:p>
    <w:p>
      <w:pPr>
        <w:pStyle w:val="BodyText"/>
      </w:pPr>
      <w:bookmarkStart w:id="52" w:name="eq-ar1"/>
      <m:oMathPara>
        <m:oMathParaPr>
          <m:jc m:val="center"/>
        </m:oMathParaPr>
        <m:oMath>
          <m:sSub>
            <m:e>
              <m:r>
                <m:t>α</m:t>
              </m:r>
            </m:e>
            <m:sub>
              <m:r>
                <m:t>b</m:t>
              </m:r>
              <m:r>
                <m:t>k</m:t>
              </m:r>
              <m:r>
                <m:rPr>
                  <m:sty m:val="p"/>
                </m:rPr>
                <m:t>,</m:t>
              </m:r>
              <m:r>
                <m:t>t</m:t>
              </m:r>
            </m:sub>
          </m:sSub>
          <m:r>
            <m:rPr>
              <m:sty m:val="p"/>
            </m:rPr>
            <m:t>=</m:t>
          </m:r>
          <m:r>
            <m:t>ρ</m:t>
          </m:r>
          <m:sSub>
            <m:e>
              <m:r>
                <m:t>α</m:t>
              </m:r>
            </m:e>
            <m:sub>
              <m:r>
                <m:t>b</m:t>
              </m:r>
              <m:r>
                <m:t>k</m:t>
              </m:r>
              <m:r>
                <m:rPr>
                  <m:sty m:val="p"/>
                </m:rPr>
                <m:t>,</m:t>
              </m:r>
              <m:r>
                <m:t>t</m:t>
              </m:r>
              <m:r>
                <m:rPr>
                  <m:sty m:val="p"/>
                </m:rPr>
                <m:t>−</m:t>
              </m:r>
              <m:r>
                <m:t>1</m:t>
              </m:r>
            </m:sub>
          </m:sSub>
          <m:r>
            <m:rPr>
              <m:sty m:val="p"/>
            </m:rPr>
            <m:t>+</m:t>
          </m:r>
          <m:sSub>
            <m:e>
              <m:r>
                <m:t>ϵ</m:t>
              </m:r>
            </m:e>
            <m:sub>
              <m:r>
                <m:t>t</m:t>
              </m:r>
            </m:sub>
          </m:sSub>
          <m:r>
            <m:rPr>
              <m:sty m:val="p"/>
            </m:rPr>
            <m:t>,</m:t>
          </m:r>
          <m:r>
            <m:t> </m:t>
          </m:r>
          <m:sSub>
            <m:e>
              <m:r>
                <m:t>ϵ</m:t>
              </m:r>
            </m:e>
            <m:sub>
              <m:r>
                <m:t>t</m:t>
              </m:r>
            </m:sub>
          </m:sSub>
          <m:r>
            <m:rPr>
              <m:sty m:val="p"/>
            </m:rPr>
            <m:t>∼</m:t>
          </m:r>
          <m:r>
            <m:t>N</m:t>
          </m:r>
          <m:d>
            <m:dPr>
              <m:begChr m:val="("/>
              <m:endChr m:val=")"/>
              <m:sepChr m:val=""/>
              <m:grow/>
            </m:dPr>
            <m:e>
              <m:r>
                <m:t>0</m:t>
              </m:r>
              <m:r>
                <m:rPr>
                  <m:sty m:val="p"/>
                </m:rPr>
                <m:t>,</m:t>
              </m:r>
              <m:sSubSup>
                <m:e>
                  <m:r>
                    <m:t>σ</m:t>
                  </m:r>
                </m:e>
                <m:sub>
                  <m:r>
                    <m:t>α</m:t>
                  </m:r>
                </m:sub>
                <m:sup>
                  <m:r>
                    <m:t>2</m:t>
                  </m:r>
                </m:sup>
              </m:sSubSup>
            </m:e>
          </m:d>
          <m:r>
            <m:t>  </m:t>
          </m:r>
          <m:d>
            <m:dPr>
              <m:begChr m:val="("/>
              <m:endChr m:val=")"/>
              <m:sepChr m:val=""/>
              <m:grow/>
            </m:dPr>
            <m:e>
              <m:r>
                <m:t>3</m:t>
              </m:r>
            </m:e>
          </m:d>
        </m:oMath>
      </m:oMathPara>
      <w:bookmarkEnd w:id="52"/>
    </w:p>
    <w:p>
      <w:pPr>
        <w:pStyle w:val="FirstParagraph"/>
      </w:pPr>
      <w:r>
        <w:t xml:space="preserve">Where:</w:t>
      </w:r>
    </w:p>
    <w:p>
      <w:pPr>
        <w:numPr>
          <w:ilvl w:val="0"/>
          <w:numId w:val="1005"/>
        </w:numPr>
        <w:pStyle w:val="Compact"/>
      </w:pPr>
      <m:oMath>
        <m:r>
          <m:t>ρ</m:t>
        </m:r>
      </m:oMath>
      <w:r>
        <w:t xml:space="preserve"> </w:t>
      </w:r>
      <w:r>
        <w:t xml:space="preserve">is the correlation between the random effects of two consecutive periods, the period</w:t>
      </w:r>
      <w:r>
        <w:t xml:space="preserve"> </w:t>
      </w:r>
      <m:oMath>
        <m:r>
          <m:t>t</m:t>
        </m:r>
      </m:oMath>
      <w:r>
        <w:t xml:space="preserve"> </w:t>
      </w:r>
      <w:r>
        <w:t xml:space="preserve">and the period</w:t>
      </w:r>
      <w:r>
        <w:t xml:space="preserve"> </w:t>
      </w:r>
      <m:oMath>
        <m:r>
          <m:t>t</m:t>
        </m:r>
        <m:r>
          <m:rPr>
            <m:sty m:val="p"/>
          </m:rPr>
          <m:t>−</m:t>
        </m:r>
        <m:r>
          <m:t>1</m:t>
        </m:r>
      </m:oMath>
      <w:r>
        <w:t xml:space="preserve">.</w:t>
      </w:r>
    </w:p>
    <w:p>
      <w:pPr>
        <w:numPr>
          <w:ilvl w:val="0"/>
          <w:numId w:val="1005"/>
        </w:numPr>
        <w:pStyle w:val="Compact"/>
      </w:pPr>
      <m:oMath>
        <m:sSub>
          <m:e>
            <m:r>
              <m:t>α</m:t>
            </m:r>
          </m:e>
          <m:sub>
            <m:r>
              <m:t>b</m:t>
            </m:r>
            <m:r>
              <m:t>k</m:t>
            </m:r>
            <m:r>
              <m:rPr>
                <m:sty m:val="p"/>
              </m:rPr>
              <m:t>,</m:t>
            </m:r>
            <m:r>
              <m:t>t</m:t>
            </m:r>
          </m:sub>
        </m:sSub>
      </m:oMath>
      <w:r>
        <w:t xml:space="preserve"> </w:t>
      </w:r>
      <w:r>
        <w:t xml:space="preserve">is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w:t>
      </w:r>
    </w:p>
    <w:p>
      <w:pPr>
        <w:numPr>
          <w:ilvl w:val="0"/>
          <w:numId w:val="1005"/>
        </w:numPr>
        <w:pStyle w:val="Compact"/>
      </w:pPr>
      <m:oMath>
        <m:sSub>
          <m:e>
            <m:r>
              <m:t>ϵ</m:t>
            </m:r>
          </m:e>
          <m:sub>
            <m:r>
              <m:t>t</m:t>
            </m:r>
          </m:sub>
        </m:sSub>
      </m:oMath>
      <w:r>
        <w:t xml:space="preserve"> </w:t>
      </w:r>
      <w:r>
        <w:t xml:space="preserve">is the error term for period</w:t>
      </w:r>
      <w:r>
        <w:t xml:space="preserve"> </w:t>
      </w:r>
      <m:oMath>
        <m:r>
          <m:t>t</m:t>
        </m:r>
      </m:oMath>
      <w:r>
        <w:t xml:space="preserve">, which is assumed to be normally distributed with mean 0 and variance</w:t>
      </w:r>
      <w:r>
        <w:t xml:space="preserve"> </w:t>
      </w:r>
      <m:oMath>
        <m:sSubSup>
          <m:e>
            <m:r>
              <m:t>σ</m:t>
            </m:r>
          </m:e>
          <m:sub>
            <m:r>
              <m:t>α</m:t>
            </m:r>
          </m:sub>
          <m:sup>
            <m:r>
              <m:t>2</m:t>
            </m:r>
          </m:sup>
        </m:sSubSup>
      </m:oMath>
      <w:r>
        <w:t xml:space="preserve">.</w:t>
      </w:r>
    </w:p>
    <w:p>
      <w:pPr>
        <w:pStyle w:val="FirstParagraph"/>
      </w:pPr>
      <w:r>
        <w:t xml:space="preserve">To allow for the randomisation by batches, we will also include a different secular trend for each batch as a random effect interaction term between batch and period. The full model is specified in</w:t>
      </w:r>
      <w:r>
        <w:t xml:space="preserve"> </w:t>
      </w:r>
      <w:hyperlink w:anchor="eq-logit-ar1">
        <w:r>
          <w:rPr>
            <w:rStyle w:val="Hyperlink"/>
          </w:rPr>
          <w:t xml:space="preserve">Equation 4</w:t>
        </w:r>
      </w:hyperlink>
      <w:r>
        <w:t xml:space="preserve">.</w:t>
      </w:r>
    </w:p>
    <w:p>
      <w:pPr>
        <w:pStyle w:val="BodyText"/>
      </w:pPr>
      <w:bookmarkStart w:id="53" w:name="eq-logit-ar1"/>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r>
                <m:rPr>
                  <m:sty m:val="p"/>
                </m:rPr>
                <m:t>,</m:t>
              </m:r>
              <m:r>
                <m:t>t</m:t>
              </m:r>
            </m:sub>
          </m:sSub>
          <m:r>
            <m:rPr>
              <m:sty m:val="p"/>
            </m:rPr>
            <m:t>+</m:t>
          </m:r>
          <m:sSub>
            <m:e>
              <m:r>
                <m:t>γ</m:t>
              </m:r>
            </m:e>
            <m:sub>
              <m:r>
                <m:t>b</m:t>
              </m:r>
              <m:r>
                <m:t>k</m:t>
              </m:r>
              <m:r>
                <m:t>t</m:t>
              </m:r>
            </m:sub>
          </m:sSub>
          <m:r>
            <m:rPr>
              <m:sty m:val="p"/>
            </m:rPr>
            <m:t>+</m:t>
          </m:r>
          <m:sSub>
            <m:e>
              <m:r>
                <m:t>δ</m:t>
              </m:r>
            </m:e>
            <m:sub>
              <m:r>
                <m:t>b</m:t>
              </m:r>
              <m:r>
                <m:t>t</m:t>
              </m:r>
            </m:sub>
          </m:sSub>
          <m:r>
            <m:t>  </m:t>
          </m:r>
          <m:d>
            <m:dPr>
              <m:begChr m:val="("/>
              <m:endChr m:val=")"/>
              <m:sepChr m:val=""/>
              <m:grow/>
            </m:dPr>
            <m:e>
              <m:r>
                <m:t>4</m:t>
              </m:r>
            </m:e>
          </m:d>
        </m:oMath>
      </m:oMathPara>
      <w:bookmarkEnd w:id="53"/>
    </w:p>
    <w:p>
      <w:pPr>
        <w:pStyle w:val="FirstParagraph"/>
      </w:pPr>
      <w:r>
        <w:t xml:space="preserve">Where:</w:t>
      </w:r>
    </w:p>
    <w:p>
      <w:pPr>
        <w:numPr>
          <w:ilvl w:val="0"/>
          <w:numId w:val="1006"/>
        </w:numPr>
        <w:pStyle w:val="Compact"/>
      </w:pPr>
      <m:oMath>
        <m:r>
          <m:t>g</m:t>
        </m:r>
        <m:d>
          <m:dPr>
            <m:begChr m:val="("/>
            <m:endChr m:val=")"/>
            <m:sepChr m:val=""/>
            <m:grow/>
          </m:dPr>
          <m:e>
            <m:r>
              <m:rPr>
                <m:sty m:val="p"/>
              </m:rPr>
              <m:t>⋅</m:t>
            </m:r>
          </m:e>
        </m:d>
      </m:oMath>
      <w:r>
        <w:t xml:space="preserve"> </w:t>
      </w:r>
      <w:r>
        <w:t xml:space="preserve">is the link function.</w:t>
      </w:r>
    </w:p>
    <w:p>
      <w:pPr>
        <w:numPr>
          <w:ilvl w:val="0"/>
          <w:numId w:val="1006"/>
        </w:numPr>
        <w:pStyle w:val="Compact"/>
      </w:pPr>
      <m:oMath>
        <m:sSub>
          <m:e>
            <m:r>
              <m:t>α</m:t>
            </m:r>
          </m:e>
          <m:sub>
            <m:r>
              <m:t>b</m:t>
            </m:r>
            <m:r>
              <m:t>k</m:t>
            </m:r>
            <m:r>
              <m:rPr>
                <m:sty m:val="p"/>
              </m:rPr>
              <m:t>,</m:t>
            </m:r>
            <m:r>
              <m:t>t</m:t>
            </m:r>
          </m:sub>
        </m:sSub>
      </m:oMath>
      <w:r>
        <w:t xml:space="preserve"> </w:t>
      </w:r>
      <w:r>
        <w:t xml:space="preserve">is the is the updated random effect of cluster</w:t>
      </w:r>
      <w:r>
        <w:t xml:space="preserve"> </w:t>
      </w:r>
      <m:oMath>
        <m:r>
          <m:t>k</m:t>
        </m:r>
      </m:oMath>
      <w:r>
        <w:t xml:space="preserve"> </w:t>
      </w:r>
      <w:r>
        <w:t xml:space="preserve">in batch</w:t>
      </w:r>
      <w:r>
        <w:t xml:space="preserve"> </w:t>
      </w:r>
      <m:oMath>
        <m:r>
          <m:t>b</m:t>
        </m:r>
      </m:oMath>
      <w:r>
        <w:t xml:space="preserve"> </w:t>
      </w:r>
      <w:r>
        <w:t xml:space="preserve">in period</w:t>
      </w:r>
      <w:r>
        <w:t xml:space="preserve"> </w:t>
      </w:r>
      <m:oMath>
        <m:r>
          <m:t>t</m:t>
        </m:r>
      </m:oMath>
      <w:r>
        <w:t xml:space="preserve"> </w:t>
      </w:r>
      <w:r>
        <w:t xml:space="preserve">with the AR(1) correlation structure.</w:t>
      </w:r>
    </w:p>
    <w:p>
      <w:pPr>
        <w:numPr>
          <w:ilvl w:val="0"/>
          <w:numId w:val="1006"/>
        </w:numPr>
        <w:pStyle w:val="Compact"/>
      </w:pPr>
      <m:oMath>
        <m:sSub>
          <m:e>
            <m:r>
              <m:t>δ</m:t>
            </m:r>
          </m:e>
          <m:sub>
            <m:r>
              <m:t>b</m:t>
            </m:r>
            <m:r>
              <m:t>t</m:t>
            </m:r>
          </m:sub>
        </m:sSub>
      </m:oMath>
      <w:r>
        <w:t xml:space="preserve"> </w:t>
      </w:r>
      <w:r>
        <w:t xml:space="preserve">is the random effect of batch</w:t>
      </w:r>
      <w:r>
        <w:t xml:space="preserve"> </w:t>
      </w:r>
      <m:oMath>
        <m:r>
          <m:t>b</m:t>
        </m:r>
      </m:oMath>
      <w:r>
        <w:t xml:space="preserve"> </w:t>
      </w:r>
      <w:r>
        <w:t xml:space="preserve">in period</w:t>
      </w:r>
      <w:r>
        <w:t xml:space="preserve"> </w:t>
      </w:r>
      <m:oMath>
        <m:r>
          <m:t>t</m:t>
        </m:r>
      </m:oMath>
      <w:r>
        <w:t xml:space="preserve">.</w:t>
      </w:r>
    </w:p>
    <w:bookmarkEnd w:id="54"/>
    <w:bookmarkStart w:id="56" w:name="X831bc7e780a434f5c3512e5d33d43284b7d37ce"/>
    <w:p>
      <w:pPr>
        <w:pStyle w:val="Heading4"/>
      </w:pPr>
      <w:r>
        <w:t xml:space="preserve">Models with random cluster by intervention effects</w:t>
      </w:r>
    </w:p>
    <w:p>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w:t>
      </w:r>
      <w:r>
        <w:t xml:space="preserve"> </w:t>
      </w:r>
      <w:hyperlink w:anchor="eq-logit-random-cluster-intervention">
        <w:r>
          <w:rPr>
            <w:rStyle w:val="Hyperlink"/>
          </w:rPr>
          <w:t xml:space="preserve">Equation 5</w:t>
        </w:r>
      </w:hyperlink>
      <w:r>
        <w:t xml:space="preserve">.</w:t>
      </w:r>
    </w:p>
    <w:p>
      <w:pPr>
        <w:pStyle w:val="BodyText"/>
      </w:pPr>
      <w:bookmarkStart w:id="55" w:name="eq-logit-random-cluster-intervention"/>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u</m:t>
              </m:r>
            </m:e>
            <m:sub>
              <m:r>
                <m:t>b</m:t>
              </m:r>
              <m:r>
                <m:t>k</m:t>
              </m:r>
            </m:sub>
          </m:sSub>
          <m:r>
            <m:rPr>
              <m:sty m:val="p"/>
            </m:rPr>
            <m:t>×</m:t>
          </m:r>
          <m:sSub>
            <m:e>
              <m:r>
                <m:t>X</m:t>
              </m:r>
            </m:e>
            <m:sub>
              <m:r>
                <m:t>b</m:t>
              </m:r>
              <m:r>
                <m:t>k</m:t>
              </m:r>
              <m:r>
                <m:t>t</m:t>
              </m:r>
            </m:sub>
          </m:sSub>
          <m:r>
            <m:t>  </m:t>
          </m:r>
          <m:d>
            <m:dPr>
              <m:begChr m:val="("/>
              <m:endChr m:val=")"/>
              <m:sepChr m:val=""/>
              <m:grow/>
            </m:dPr>
            <m:e>
              <m:r>
                <m:t>5</m:t>
              </m:r>
            </m:e>
          </m:d>
        </m:oMath>
      </m:oMathPara>
      <w:bookmarkEnd w:id="55"/>
    </w:p>
    <w:p>
      <w:pPr>
        <w:pStyle w:val="FirstParagraph"/>
      </w:pPr>
      <w:r>
        <w:t xml:space="preserve">Where:</w:t>
      </w:r>
    </w:p>
    <w:p>
      <w:pPr>
        <w:numPr>
          <w:ilvl w:val="0"/>
          <w:numId w:val="1007"/>
        </w:numPr>
        <w:pStyle w:val="Compact"/>
      </w:pPr>
      <m:oMath>
        <m:sSub>
          <m:e>
            <m:r>
              <m:t>u</m:t>
            </m:r>
          </m:e>
          <m:sub>
            <m:r>
              <m:t>b</m:t>
            </m:r>
            <m:r>
              <m:t>k</m:t>
            </m:r>
          </m:sub>
        </m:sSub>
      </m:oMath>
      <w:r>
        <w:t xml:space="preserve"> </w:t>
      </w:r>
      <w:r>
        <w:t xml:space="preserve">is the random effect of cluster</w:t>
      </w:r>
      <w:r>
        <w:t xml:space="preserve"> </w:t>
      </w:r>
      <m:oMath>
        <m:r>
          <m:t>k</m:t>
        </m:r>
      </m:oMath>
      <w:r>
        <w:t xml:space="preserve"> </w:t>
      </w:r>
      <w:r>
        <w:t xml:space="preserve">by intervention interaction.</w:t>
      </w:r>
    </w:p>
    <w:bookmarkEnd w:id="56"/>
    <w:bookmarkStart w:id="58" w:name="Xb7b1d3ff7c24f0b8dca2081a41dd1947ef59e07"/>
    <w:p>
      <w:pPr>
        <w:pStyle w:val="Heading4"/>
      </w:pPr>
      <w:r>
        <w:t xml:space="preserve">Models with time modelled with a spline function</w:t>
      </w:r>
    </w:p>
    <w:p>
      <w:pPr>
        <w:pStyle w:val="FirstParagraph"/>
      </w:pPr>
      <w:r>
        <w:t xml:space="preserve">We will further explore the potential for a time-varying treatment effect</w:t>
      </w:r>
      <w:r>
        <w:rPr>
          <w:vertAlign w:val="superscript"/>
        </w:rPr>
        <w:t xml:space="preserve">10</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w:t>
      </w:r>
      <w:r>
        <w:t xml:space="preserve"> </w:t>
      </w:r>
      <w:hyperlink w:anchor="eq-spline-model">
        <w:r>
          <w:rPr>
            <w:rStyle w:val="Hyperlink"/>
          </w:rPr>
          <w:t xml:space="preserve">Equation 6</w:t>
        </w:r>
      </w:hyperlink>
      <w:r>
        <w:t xml:space="preserve">.</w:t>
      </w:r>
    </w:p>
    <w:p>
      <w:pPr>
        <w:pStyle w:val="BodyText"/>
      </w:pPr>
      <w:bookmarkStart w:id="57" w:name="eq-spline-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nary>
            <m:naryPr>
              <m:chr m:val="∑"/>
              <m:limLoc m:val="undOvr"/>
              <m:subHide m:val="0"/>
              <m:supHide m:val="0"/>
            </m:naryPr>
            <m:sub>
              <m:r>
                <m:t>j</m:t>
              </m:r>
              <m:r>
                <m:rPr>
                  <m:sty m:val="p"/>
                </m:rPr>
                <m:t>=</m:t>
              </m:r>
              <m:r>
                <m:t>1</m:t>
              </m:r>
            </m:sub>
            <m:sup>
              <m:r>
                <m:t>5</m:t>
              </m:r>
            </m:sup>
            <m:e>
              <m:sSub>
                <m:e>
                  <m:r>
                    <m:t>β</m:t>
                  </m:r>
                </m:e>
                <m:sub>
                  <m:r>
                    <m:t>j</m:t>
                  </m:r>
                </m:sub>
              </m:sSub>
            </m:e>
          </m:nary>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6</m:t>
              </m:r>
            </m:e>
          </m:d>
        </m:oMath>
      </m:oMathPara>
      <w:bookmarkEnd w:id="57"/>
    </w:p>
    <w:p>
      <w:pPr>
        <w:pStyle w:val="FirstParagraph"/>
      </w:pPr>
      <w:r>
        <w:t xml:space="preserve">Where:</w:t>
      </w:r>
    </w:p>
    <w:p>
      <w:pPr>
        <w:numPr>
          <w:ilvl w:val="0"/>
          <w:numId w:val="1008"/>
        </w:numPr>
        <w:pStyle w:val="Compact"/>
      </w:pPr>
      <m:oMath>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oMath>
      <w:r>
        <w:t xml:space="preserve"> </w:t>
      </w:r>
      <w:r>
        <w:t xml:space="preserve">is the natural cubic spline basis functions with knots placed at times 3, 6 and 9.</w:t>
      </w:r>
    </w:p>
    <w:p>
      <w:pPr>
        <w:numPr>
          <w:ilvl w:val="0"/>
          <w:numId w:val="1008"/>
        </w:numPr>
        <w:pStyle w:val="Compact"/>
      </w:pPr>
      <m:oMath>
        <m:sSub>
          <m:e>
            <m:r>
              <m:t>β</m:t>
            </m:r>
          </m:e>
          <m:sub>
            <m:r>
              <m:t>j</m:t>
            </m:r>
          </m:sub>
        </m:sSub>
      </m:oMath>
      <w:r>
        <w:t xml:space="preserve"> </w:t>
      </w:r>
      <w:r>
        <w:t xml:space="preserve">is the coefficient for the</w:t>
      </w:r>
      <w:r>
        <w:t xml:space="preserve"> </w:t>
      </w:r>
      <m:oMath>
        <m:r>
          <m:t>j</m:t>
        </m:r>
      </m:oMath>
      <w:r>
        <w:t xml:space="preserve">-th spline basis function.</w:t>
      </w:r>
    </w:p>
    <w:bookmarkEnd w:id="58"/>
    <w:bookmarkStart w:id="60" w:name="models-exploring-lag-and-weaning-effects"/>
    <w:p>
      <w:pPr>
        <w:pStyle w:val="Heading4"/>
      </w:pPr>
      <w:r>
        <w:t xml:space="preserve">Models exploring lag and weaning effects</w:t>
      </w:r>
    </w:p>
    <w:p>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The model is specified in</w:t>
      </w:r>
      <w:r>
        <w:t xml:space="preserve"> </w:t>
      </w:r>
      <w:hyperlink w:anchor="eq-lag-weaning-model">
        <w:r>
          <w:rPr>
            <w:rStyle w:val="Hyperlink"/>
          </w:rPr>
          <w:t xml:space="preserve">Equation 7</w:t>
        </w:r>
      </w:hyperlink>
      <w:r>
        <w:t xml:space="preserve">.</w:t>
      </w:r>
    </w:p>
    <w:p>
      <w:pPr>
        <w:pStyle w:val="BodyText"/>
      </w:pPr>
      <w:bookmarkStart w:id="59" w:name="eq-lag-weaning-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θ</m:t>
              </m:r>
            </m:e>
            <m:sub>
              <m:r>
                <m:rPr>
                  <m:nor/>
                  <m:sty m:val="p"/>
                </m:rPr>
                <m:t>int</m:t>
              </m:r>
            </m:sub>
          </m:sSub>
          <m:sSub>
            <m:e>
              <m:r>
                <m:t>X</m:t>
              </m:r>
            </m:e>
            <m:sub>
              <m:r>
                <m:t>b</m:t>
              </m:r>
              <m:r>
                <m:t>k</m:t>
              </m:r>
              <m:r>
                <m:t>t</m:t>
              </m:r>
            </m:sub>
          </m:sSub>
          <m:r>
            <m:rPr>
              <m:sty m:val="p"/>
            </m:rPr>
            <m:t>×</m:t>
          </m:r>
          <m:sSub>
            <m:e>
              <m:r>
                <m:t>T</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7</m:t>
              </m:r>
            </m:e>
          </m:d>
        </m:oMath>
      </m:oMathPara>
      <w:bookmarkEnd w:id="59"/>
    </w:p>
    <w:p>
      <w:pPr>
        <w:pStyle w:val="FirstParagraph"/>
      </w:pPr>
      <w:r>
        <w:t xml:space="preserve">Where:</w:t>
      </w:r>
    </w:p>
    <w:p>
      <w:pPr>
        <w:numPr>
          <w:ilvl w:val="0"/>
          <w:numId w:val="1009"/>
        </w:numPr>
        <w:pStyle w:val="Compact"/>
      </w:pPr>
      <m:oMath>
        <m:sSub>
          <m:e>
            <m:r>
              <m:t>θ</m:t>
            </m:r>
          </m:e>
          <m:sub>
            <m:r>
              <m:rPr>
                <m:nor/>
                <m:sty m:val="p"/>
              </m:rPr>
              <m:t>int</m:t>
            </m:r>
          </m:sub>
        </m:sSub>
      </m:oMath>
      <w:r>
        <w:t xml:space="preserve"> </w:t>
      </w:r>
      <w:r>
        <w:t xml:space="preserve">is the coefficient for the interaction between treatment and time since first treated.</w:t>
      </w:r>
    </w:p>
    <w:p>
      <w:pPr>
        <w:numPr>
          <w:ilvl w:val="0"/>
          <w:numId w:val="1009"/>
        </w:numPr>
        <w:pStyle w:val="Compact"/>
      </w:pPr>
      <m:oMath>
        <m:sSub>
          <m:e>
            <m:r>
              <m:t>T</m:t>
            </m:r>
          </m:e>
          <m:sub>
            <m:r>
              <m:t>b</m:t>
            </m:r>
            <m:r>
              <m:t>k</m:t>
            </m:r>
            <m:r>
              <m:t>t</m:t>
            </m:r>
          </m:sub>
        </m:sSub>
      </m:oMath>
      <w:r>
        <w:t xml:space="preserve"> </w:t>
      </w:r>
      <w:r>
        <w:t xml:space="preserve">is the number of periods since first treated.</w:t>
      </w:r>
    </w:p>
    <w:bookmarkEnd w:id="60"/>
    <w:bookmarkEnd w:id="61"/>
    <w:bookmarkStart w:id="62" w:name="adjusted-analyses"/>
    <w:p>
      <w:pPr>
        <w:pStyle w:val="Heading3"/>
      </w:pPr>
      <w:r>
        <w:t xml:space="preserve">4.7.3 Adjusted analyses</w:t>
      </w:r>
    </w:p>
    <w:p>
      <w:pPr>
        <w:pStyle w:val="FirstParagraph"/>
      </w:pPr>
      <w:r>
        <w:t xml:space="preserve">Fully adjusted covariate analysis will additionally adjust for:</w:t>
      </w:r>
    </w:p>
    <w:p>
      <w:pPr>
        <w:numPr>
          <w:ilvl w:val="0"/>
          <w:numId w:val="1010"/>
        </w:numPr>
        <w:pStyle w:val="Compact"/>
      </w:pPr>
      <w:r>
        <w:t xml:space="preserve">Age</w:t>
      </w:r>
    </w:p>
    <w:p>
      <w:pPr>
        <w:numPr>
          <w:ilvl w:val="0"/>
          <w:numId w:val="1010"/>
        </w:numPr>
        <w:pStyle w:val="Compact"/>
      </w:pPr>
      <w:r>
        <w:t xml:space="preserve">Sex</w:t>
      </w:r>
    </w:p>
    <w:p>
      <w:pPr>
        <w:numPr>
          <w:ilvl w:val="0"/>
          <w:numId w:val="1010"/>
        </w:numPr>
        <w:pStyle w:val="Compact"/>
      </w:pPr>
      <w:r>
        <w:t xml:space="preserve">Systolic blood pressure</w:t>
      </w:r>
    </w:p>
    <w:p>
      <w:pPr>
        <w:numPr>
          <w:ilvl w:val="0"/>
          <w:numId w:val="1010"/>
        </w:numPr>
        <w:pStyle w:val="Compact"/>
      </w:pPr>
      <w:r>
        <w:t xml:space="preserve">Glasgow Coma Scale</w:t>
      </w:r>
    </w:p>
    <w:p>
      <w:pPr>
        <w:numPr>
          <w:ilvl w:val="0"/>
          <w:numId w:val="1010"/>
        </w:numPr>
        <w:pStyle w:val="Compact"/>
      </w:pPr>
      <w:r>
        <w:t xml:space="preserve">Injury Severity Score</w:t>
      </w:r>
    </w:p>
    <w:p>
      <w:pPr>
        <w:numPr>
          <w:ilvl w:val="0"/>
          <w:numId w:val="1010"/>
        </w:numPr>
        <w:pStyle w:val="Compact"/>
      </w:pPr>
      <w:r>
        <w:t xml:space="preserve">Mechanism of injury</w:t>
      </w:r>
    </w:p>
    <w:p>
      <w:pPr>
        <w:pStyle w:val="FirstParagraph"/>
      </w:pPr>
      <w:r>
        <w:t xml:space="preserve">These are known individual-level prognostic factors for the primary outcome. These covariates will be included in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 </w:t>
      </w:r>
      <w:r>
        <w:t xml:space="preserve">as fixed effects.</w:t>
      </w:r>
    </w:p>
    <w:bookmarkEnd w:id="62"/>
    <w:bookmarkStart w:id="64" w:name="subgroup-analyses"/>
    <w:p>
      <w:pPr>
        <w:pStyle w:val="Heading3"/>
      </w:pPr>
      <w:r>
        <w:t xml:space="preserve">4.7.4 Subgroup analyses</w:t>
      </w:r>
    </w:p>
    <w:p>
      <w:pPr>
        <w:pStyle w:val="FirstParagraph"/>
      </w:pPr>
      <w:r>
        <w:t xml:space="preserve">We will perform the following subgroup analyses</w:t>
      </w:r>
      <w:r>
        <w:rPr>
          <w:rStyle w:val="FootnoteReference"/>
        </w:rPr>
        <w:footnoteReference w:id="63"/>
      </w:r>
      <w:r>
        <w:t xml:space="preserve">:</w:t>
      </w:r>
    </w:p>
    <w:p>
      <w:pPr>
        <w:numPr>
          <w:ilvl w:val="0"/>
          <w:numId w:val="1011"/>
        </w:numPr>
        <w:pStyle w:val="Compact"/>
      </w:pPr>
      <w:r>
        <w:t xml:space="preserve">geographical region, defined using the state in which the participating hospital is located. Demonstrating the consistency of any effect across multiple regions will enhance the generalisibility of the results;</w:t>
      </w:r>
    </w:p>
    <w:p>
      <w:pPr>
        <w:numPr>
          <w:ilvl w:val="0"/>
          <w:numId w:val="1011"/>
        </w:numPr>
        <w:pStyle w:val="Compact"/>
      </w:pPr>
      <w:r>
        <w:t xml:space="preserve">age groups, defined as older adolescents (15-19 years), young adults (20-24 years), adults (25-59 years), and older adults (60 years and older) [</w:t>
      </w:r>
      <w:r>
        <w:rPr>
          <w:vertAlign w:val="superscript"/>
        </w:rPr>
        <w:t xml:space="preserve">11</w:t>
      </w:r>
      <w:r>
        <w:t xml:space="preserve">;</w:t>
      </w:r>
    </w:p>
    <w:p>
      <w:pPr>
        <w:numPr>
          <w:ilvl w:val="0"/>
          <w:numId w:val="1011"/>
        </w:numPr>
        <w:pStyle w:val="Compact"/>
      </w:pPr>
      <w:r>
        <w:t xml:space="preserve">sex, using the levels male and female;</w:t>
      </w:r>
    </w:p>
    <w:p>
      <w:pPr>
        <w:numPr>
          <w:ilvl w:val="0"/>
          <w:numId w:val="1011"/>
        </w:numPr>
        <w:pStyle w:val="Compact"/>
      </w:pPr>
      <w:r>
        <w:t xml:space="preserve">clinical cohorts, defined as blunt multisystem trauma, penetrating trauma, and severe isolated traumatic brain injury, with modification to avoid overlap between the cohorts; and</w:t>
      </w:r>
    </w:p>
    <w:p>
      <w:pPr>
        <w:numPr>
          <w:ilvl w:val="0"/>
          <w:numId w:val="1011"/>
        </w:numPr>
        <w:pStyle w:val="Compact"/>
      </w:pPr>
      <w:r>
        <w:t xml:space="preserve">cluster size.</w:t>
      </w:r>
    </w:p>
    <w:p>
      <w:pPr>
        <w:pStyle w:val="FirstParagraph"/>
      </w:pPr>
      <w:r>
        <w:t xml:space="preserve">These subgroup analyses will be conducted by adding the subgroup variable and the interaction between the subgroup variable and the intervention exposure variable as fixed effects to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w:t>
      </w:r>
    </w:p>
    <w:bookmarkEnd w:id="64"/>
    <w:bookmarkStart w:id="65" w:name="treatment-of-missing-data"/>
    <w:p>
      <w:pPr>
        <w:pStyle w:val="Heading3"/>
      </w:pPr>
      <w:r>
        <w:t xml:space="preserve">4.7.5 Treatment of missing data</w:t>
      </w:r>
    </w:p>
    <w:p>
      <w:pPr>
        <w:pStyle w:val="FirstParagraph"/>
      </w:pPr>
      <w:r>
        <w:t xml:space="preserve">We will present the frequency and percentage of missing data for all variables. If the percentage of missing data for the primary outcome is less than 10% then we will perform a complete case analysis. If the percentage of missing data for the primary outcome is 10% or more, then we will handle missing data using multiple imputation by chained equations (MICE), imputing data for the primary outcome as well as all covariates included in the fully adjusted model. The number of imputations will be determined by the percentage of missing data, with a minimum of 20 imputations.</w:t>
      </w:r>
    </w:p>
    <w:bookmarkEnd w:id="65"/>
    <w:bookmarkEnd w:id="66"/>
    <w:bookmarkStart w:id="77" w:name="analysis-of-secondary-outcomes"/>
    <w:p>
      <w:pPr>
        <w:pStyle w:val="Heading2"/>
      </w:pPr>
      <w:r>
        <w:t xml:space="preserve">4.8 Analysis of secondary outcomes</w:t>
      </w:r>
    </w:p>
    <w:bookmarkStart w:id="67" w:name="Xf8ad26412ad98b449304d4475d81963b294c2ae"/>
    <w:p>
      <w:pPr>
        <w:pStyle w:val="Heading3"/>
      </w:pPr>
      <w:r>
        <w:t xml:space="preserve">4.8.1 All cause mortality within 24 hours, 30 days and three months of arrival at the emergency department</w:t>
      </w:r>
    </w:p>
    <w:p>
      <w:pPr>
        <w:pStyle w:val="FirstParagraph"/>
      </w:pPr>
      <w:r>
        <w:t xml:space="preserve">We will use the model with the logit link specified in</w:t>
      </w:r>
      <w:r>
        <w:t xml:space="preserve"> </w:t>
      </w:r>
      <w:hyperlink w:anchor="eq-logit-model">
        <w:r>
          <w:rPr>
            <w:rStyle w:val="Hyperlink"/>
          </w:rPr>
          <w:t xml:space="preserve">Equation 1</w:t>
        </w:r>
      </w:hyperlink>
      <w:r>
        <w:t xml:space="preserve"> </w:t>
      </w:r>
      <w:r>
        <w:t xml:space="preserve">and the model with the identity link specified in</w:t>
      </w:r>
      <w:r>
        <w:t xml:space="preserve"> </w:t>
      </w:r>
      <w:hyperlink w:anchor="eq-identity-model">
        <w:r>
          <w:rPr>
            <w:rStyle w:val="Hyperlink"/>
          </w:rPr>
          <w:t xml:space="preserve">Equation 2</w:t>
        </w:r>
      </w:hyperlink>
      <w:r>
        <w:t xml:space="preserve"> </w:t>
      </w:r>
      <w:r>
        <w:t xml:space="preserve">to estimate the OR and risk difference for these mortality outcomes.</w:t>
      </w:r>
    </w:p>
    <w:bookmarkEnd w:id="67"/>
    <w:bookmarkStart w:id="70" w:name="X0b80a436631c0e8dbb0ed0909088c219e6e4981"/>
    <w:p>
      <w:pPr>
        <w:pStyle w:val="Heading3"/>
      </w:pPr>
      <w:r>
        <w:t xml:space="preserve">4.8.2 Quality of life within seven days of discharge, and at 30 days and three months of arrival at the emergency department</w:t>
      </w:r>
    </w:p>
    <w:p>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likert scale from 1 to 5. There is also a visual analogue scale (VAS) for self-rated quality of life, ranging from 0 to 100. For each of the five dimensions we will use a mixed effects ordinal model as specified in</w:t>
      </w:r>
      <w:r>
        <w:t xml:space="preserve"> </w:t>
      </w:r>
      <w:hyperlink w:anchor="eq-ordinal-model">
        <w:r>
          <w:rPr>
            <w:rStyle w:val="Hyperlink"/>
          </w:rPr>
          <w:t xml:space="preserve">Equation 8</w:t>
        </w:r>
      </w:hyperlink>
      <w:r>
        <w:t xml:space="preserve">.</w:t>
      </w:r>
    </w:p>
    <w:p>
      <w:pPr>
        <w:pStyle w:val="BodyText"/>
      </w:pPr>
      <w:bookmarkStart w:id="68" w:name="eq-ordinal-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j</m:t>
                  </m:r>
                </m:e>
              </m:d>
            </m:e>
          </m:d>
          <m:r>
            <m:rPr>
              <m:sty m:val="p"/>
            </m:rPr>
            <m:t>=</m:t>
          </m:r>
          <m:sSub>
            <m:e>
              <m:r>
                <m:t>μ</m:t>
              </m:r>
            </m:e>
            <m:sub>
              <m:r>
                <m:t>j</m:t>
              </m:r>
            </m:sub>
          </m:sSub>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8</m:t>
              </m:r>
            </m:e>
          </m:d>
        </m:oMath>
      </m:oMathPara>
      <w:bookmarkEnd w:id="68"/>
    </w:p>
    <w:p>
      <w:pPr>
        <w:pStyle w:val="FirstParagraph"/>
      </w:pPr>
      <w:r>
        <w:t xml:space="preserve">Where:</w:t>
      </w:r>
    </w:p>
    <w:p>
      <w:pPr>
        <w:numPr>
          <w:ilvl w:val="0"/>
          <w:numId w:val="1012"/>
        </w:numPr>
        <w:pStyle w:val="Compact"/>
      </w:pPr>
      <m:oMath>
        <m:sSub>
          <m:e>
            <m:r>
              <m:t>μ</m:t>
            </m:r>
          </m:e>
          <m:sub>
            <m:r>
              <m:t>j</m:t>
            </m:r>
          </m:sub>
        </m:sSub>
      </m:oMath>
      <w:r>
        <w:t xml:space="preserve"> </w:t>
      </w:r>
      <w:r>
        <w:t xml:space="preserve">is the intercept for the</w:t>
      </w:r>
      <w:r>
        <w:t xml:space="preserve"> </w:t>
      </w:r>
      <m:oMath>
        <m:r>
          <m:t>j</m:t>
        </m:r>
      </m:oMath>
      <w:r>
        <w:t xml:space="preserve">-th category of the EQ5D dimension (</w:t>
      </w:r>
      <m:oMath>
        <m:r>
          <m:t>j</m:t>
        </m:r>
      </m:oMath>
      <w:r>
        <w:t xml:space="preserve"> </w:t>
      </w:r>
      <w:r>
        <w:t xml:space="preserve">= 1, 2, 3, 4, 5).</w:t>
      </w:r>
    </w:p>
    <w:p>
      <w:pPr>
        <w:pStyle w:val="FirstParagraph"/>
      </w:pPr>
      <w:r>
        <w:t xml:space="preserve">The VAS will be analysed using a linear mixed effects model as specified in</w:t>
      </w:r>
      <w:r>
        <w:t xml:space="preserve"> </w:t>
      </w:r>
      <w:hyperlink w:anchor="eq-linear-model">
        <w:r>
          <w:rPr>
            <w:rStyle w:val="Hyperlink"/>
          </w:rPr>
          <w:t xml:space="preserve">Equation 9</w:t>
        </w:r>
      </w:hyperlink>
      <w:r>
        <w:t xml:space="preserve">.</w:t>
      </w:r>
    </w:p>
    <w:p>
      <w:pPr>
        <w:pStyle w:val="BodyText"/>
      </w:pPr>
      <w:bookmarkStart w:id="69" w:name="eq-linear-model"/>
      <m:oMathPara>
        <m:oMathParaPr>
          <m:jc m:val="center"/>
        </m:oMathParaPr>
        <m:oMath>
          <m:sSub>
            <m:e>
              <m:r>
                <m:rPr>
                  <m:nor/>
                  <m:sty m:val="p"/>
                </m:rPr>
                <m:t>VAS</m:t>
              </m:r>
            </m:e>
            <m:sub>
              <m:r>
                <m:t>b</m:t>
              </m:r>
              <m:r>
                <m:t>k</m:t>
              </m:r>
              <m:r>
                <m:t>t</m:t>
              </m:r>
              <m:r>
                <m:t>i</m:t>
              </m:r>
            </m:sub>
          </m:sSub>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ϵ</m:t>
              </m:r>
            </m:e>
            <m:sub>
              <m:r>
                <m:t>b</m:t>
              </m:r>
              <m:r>
                <m:t>k</m:t>
              </m:r>
              <m:r>
                <m:t>t</m:t>
              </m:r>
              <m:r>
                <m:t>i</m:t>
              </m:r>
            </m:sub>
          </m:sSub>
          <m:r>
            <m:rPr>
              <m:sty m:val="p"/>
            </m:rPr>
            <m:t>,</m:t>
          </m:r>
          <m:r>
            <m:t> </m:t>
          </m:r>
          <m:sSub>
            <m:e>
              <m:r>
                <m:t>ϵ</m:t>
              </m:r>
            </m:e>
            <m:sub>
              <m:r>
                <m:t>b</m:t>
              </m:r>
              <m:r>
                <m:t>k</m:t>
              </m:r>
              <m:r>
                <m:t>t</m:t>
              </m:r>
              <m:r>
                <m:t>i</m:t>
              </m:r>
            </m:sub>
          </m:sSub>
          <m:r>
            <m:rPr>
              <m:sty m:val="p"/>
            </m:rPr>
            <m:t>∼</m:t>
          </m:r>
          <m:r>
            <m:t>N</m:t>
          </m:r>
          <m:d>
            <m:dPr>
              <m:begChr m:val="("/>
              <m:endChr m:val=")"/>
              <m:sepChr m:val=""/>
              <m:grow/>
            </m:dPr>
            <m:e>
              <m:r>
                <m:t>0</m:t>
              </m:r>
              <m:r>
                <m:rPr>
                  <m:sty m:val="p"/>
                </m:rPr>
                <m:t>,</m:t>
              </m:r>
              <m:sSup>
                <m:e>
                  <m:r>
                    <m:t>σ</m:t>
                  </m:r>
                </m:e>
                <m:sup>
                  <m:r>
                    <m:t>2</m:t>
                  </m:r>
                </m:sup>
              </m:sSup>
            </m:e>
          </m:d>
          <m:r>
            <m:t>  </m:t>
          </m:r>
          <m:d>
            <m:dPr>
              <m:begChr m:val="("/>
              <m:endChr m:val=")"/>
              <m:sepChr m:val=""/>
              <m:grow/>
            </m:dPr>
            <m:e>
              <m:r>
                <m:t>9</m:t>
              </m:r>
            </m:e>
          </m:d>
        </m:oMath>
      </m:oMathPara>
      <w:bookmarkEnd w:id="69"/>
    </w:p>
    <w:p>
      <w:pPr>
        <w:pStyle w:val="FirstParagraph"/>
      </w:pPr>
      <w:r>
        <w:t xml:space="preserve">Where:</w:t>
      </w:r>
    </w:p>
    <w:p>
      <w:pPr>
        <w:numPr>
          <w:ilvl w:val="0"/>
          <w:numId w:val="1013"/>
        </w:numPr>
        <w:pStyle w:val="Compact"/>
      </w:pPr>
      <m:oMath>
        <m:sSub>
          <m:e>
            <m:r>
              <m:t>ϵ</m:t>
            </m:r>
          </m:e>
          <m:sub>
            <m:r>
              <m:t>b</m:t>
            </m:r>
            <m:r>
              <m:t>k</m:t>
            </m:r>
            <m:r>
              <m:t>t</m:t>
            </m:r>
            <m:r>
              <m:t>i</m:t>
            </m:r>
          </m:sub>
        </m:sSub>
      </m:oMath>
      <w:r>
        <w:t xml:space="preserve"> </w:t>
      </w:r>
      <w:r>
        <w:t xml:space="preserve">is the error term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assumed to be normally distributed with mean 0 and variance</w:t>
      </w:r>
      <w:r>
        <w:t xml:space="preserve"> </w:t>
      </w:r>
      <m:oMath>
        <m:sSup>
          <m:e>
            <m:r>
              <m:t>σ</m:t>
            </m:r>
          </m:e>
          <m:sup>
            <m:r>
              <m:t>2</m:t>
            </m:r>
          </m:sup>
        </m:sSup>
      </m:oMath>
      <w:r>
        <w:t xml:space="preserve">.</w:t>
      </w:r>
    </w:p>
    <w:bookmarkEnd w:id="70"/>
    <w:bookmarkStart w:id="71" w:name="X0bcba944ddc1979254204023a08bf4a2ef66934"/>
    <w:p>
      <w:pPr>
        <w:pStyle w:val="Heading3"/>
      </w:pPr>
      <w:r>
        <w:t xml:space="preserve">4.8.3 Disability within seven days of discharge, and at 30 days and three months of arrival at the emergency department</w:t>
      </w:r>
    </w:p>
    <w:p>
      <w:pPr>
        <w:pStyle w:val="FirstParagraph"/>
      </w:pPr>
      <w:r>
        <w:t xml:space="preserve">We will measure disability using the WHO Disability Assessment Schedule 2.0 (WHODAS 2.0)</w:t>
      </w:r>
      <w:r>
        <w:rPr>
          <w:vertAlign w:val="superscript"/>
        </w:rPr>
        <w:t xml:space="preserve">12</w:t>
      </w:r>
      <w:r>
        <w:t xml:space="preserve">. This tool assesses six domains of functioning: cognition, mobility, self-care, getting along, life activities, and participation. Each domain is rated on a likert scale from 1 to 5, with 1 indicating no difficulties and 5 indicating extreme difficulties. We will analyse each domain separately using a mixed effects ordinal model as specified in</w:t>
      </w:r>
      <w:r>
        <w:t xml:space="preserve"> </w:t>
      </w:r>
      <w:hyperlink w:anchor="eq-ordinal-model">
        <w:r>
          <w:rPr>
            <w:rStyle w:val="Hyperlink"/>
          </w:rPr>
          <w:t xml:space="preserve">Equation 8</w:t>
        </w:r>
      </w:hyperlink>
      <w:r>
        <w:t xml:space="preserve">. We will also calculate a WHODAS 2.0 summary score using the method referred to as the</w:t>
      </w:r>
      <w:r>
        <w:t xml:space="preserve"> </w:t>
      </w:r>
      <w:r>
        <w:t xml:space="preserve">“</w:t>
      </w:r>
      <w:r>
        <w:t xml:space="preserve">complex scoring</w:t>
      </w:r>
      <w:r>
        <w:t xml:space="preserve">”</w:t>
      </w:r>
      <w:r>
        <w:t xml:space="preserve"> </w:t>
      </w:r>
      <w:r>
        <w:t xml:space="preserve">method. This method involves summing the item scores within each of the six domains, then summing the scores of all domains, and finally transforming the total score to a 0-100 scale. We will analyse the summary score using a linear mixed effects model as specified in</w:t>
      </w:r>
      <w:r>
        <w:t xml:space="preserve"> </w:t>
      </w:r>
      <w:hyperlink w:anchor="eq-linear-model">
        <w:r>
          <w:rPr>
            <w:rStyle w:val="Hyperlink"/>
          </w:rPr>
          <w:t xml:space="preserve">Equation 9</w:t>
        </w:r>
      </w:hyperlink>
      <w:r>
        <w:t xml:space="preserve">.</w:t>
      </w:r>
    </w:p>
    <w:bookmarkEnd w:id="71"/>
    <w:bookmarkStart w:id="72" w:name="X2a1569eaad9d2eee0f76ad0c198a1d7129f9ea3"/>
    <w:p>
      <w:pPr>
        <w:pStyle w:val="Heading3"/>
      </w:pPr>
      <w:r>
        <w:t xml:space="preserve">4.8.4 Return to work at 30 days and three months after arrival at the emergency department</w:t>
      </w:r>
    </w:p>
    <w:p>
      <w:pPr>
        <w:pStyle w:val="FirstParagraph"/>
      </w:pPr>
      <w:r>
        <w:t xml:space="preserve">We will analyse return to work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72"/>
    <w:bookmarkStart w:id="73" w:name="length-of-emergency-department-stay"/>
    <w:p>
      <w:pPr>
        <w:pStyle w:val="Heading3"/>
      </w:pPr>
      <w:r>
        <w:t xml:space="preserve">4.8.5 Length of emergency department stay</w:t>
      </w:r>
    </w:p>
    <w:p>
      <w:pPr>
        <w:pStyle w:val="FirstParagraph"/>
      </w:pPr>
      <w:r>
        <w:t xml:space="preserve">We will analyse length of emergency department stay as a continuous variable using a linear mixed effects model as specified in</w:t>
      </w:r>
      <w:r>
        <w:t xml:space="preserve"> </w:t>
      </w:r>
      <w:hyperlink w:anchor="eq-linear-model">
        <w:r>
          <w:rPr>
            <w:rStyle w:val="Hyperlink"/>
          </w:rPr>
          <w:t xml:space="preserve">Equation 9</w:t>
        </w:r>
      </w:hyperlink>
      <w:r>
        <w:t xml:space="preserve">.</w:t>
      </w:r>
    </w:p>
    <w:bookmarkEnd w:id="73"/>
    <w:bookmarkStart w:id="74" w:name="length-of-hospital-stay"/>
    <w:p>
      <w:pPr>
        <w:pStyle w:val="Heading3"/>
      </w:pPr>
      <w:r>
        <w:t xml:space="preserve">4.8.6 Length of hospital stay</w:t>
      </w:r>
    </w:p>
    <w:p>
      <w:pPr>
        <w:pStyle w:val="FirstParagraph"/>
      </w:pPr>
      <w:r>
        <w:t xml:space="preserve">We will analyse length of hospital stay as a continuous variable using a linear mixed effects model as specified in</w:t>
      </w:r>
      <w:r>
        <w:t xml:space="preserve"> </w:t>
      </w:r>
      <w:hyperlink w:anchor="eq-linear-model">
        <w:r>
          <w:rPr>
            <w:rStyle w:val="Hyperlink"/>
          </w:rPr>
          <w:t xml:space="preserve">Equation 9</w:t>
        </w:r>
      </w:hyperlink>
      <w:r>
        <w:t xml:space="preserve">.</w:t>
      </w:r>
    </w:p>
    <w:bookmarkEnd w:id="74"/>
    <w:bookmarkStart w:id="75" w:name="intensive-care-unit-admission"/>
    <w:p>
      <w:pPr>
        <w:pStyle w:val="Heading3"/>
      </w:pPr>
      <w:r>
        <w:t xml:space="preserve">4.8.7 Intensive care unit admission</w:t>
      </w:r>
    </w:p>
    <w:p>
      <w:pPr>
        <w:pStyle w:val="FirstParagraph"/>
      </w:pPr>
      <w:r>
        <w:t xml:space="preserve">We will analyse intensive care unit admission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75"/>
    <w:bookmarkStart w:id="76" w:name="length-of-intensive-care-unit-stay"/>
    <w:p>
      <w:pPr>
        <w:pStyle w:val="Heading3"/>
      </w:pPr>
      <w:r>
        <w:t xml:space="preserve">4.8.8 Length of intensive care unit stay</w:t>
      </w:r>
    </w:p>
    <w:p>
      <w:pPr>
        <w:pStyle w:val="FirstParagraph"/>
      </w:pPr>
      <w:r>
        <w:t xml:space="preserve">We will analyse length of intensive care unit stay as a continuous variable using a linear mixed effects model as specified in</w:t>
      </w:r>
      <w:r>
        <w:t xml:space="preserve"> </w:t>
      </w:r>
      <w:hyperlink w:anchor="eq-linear-model">
        <w:r>
          <w:rPr>
            <w:rStyle w:val="Hyperlink"/>
          </w:rPr>
          <w:t xml:space="preserve">Equation 9</w:t>
        </w:r>
      </w:hyperlink>
      <w:r>
        <w:t xml:space="preserve">.</w:t>
      </w:r>
    </w:p>
    <w:bookmarkEnd w:id="76"/>
    <w:bookmarkEnd w:id="77"/>
    <w:bookmarkEnd w:id="78"/>
    <w:bookmarkStart w:id="92" w:name="references"/>
    <w:p>
      <w:pPr>
        <w:pStyle w:val="Heading1"/>
      </w:pPr>
      <w:r>
        <w:t xml:space="preserve">5. References</w:t>
      </w:r>
    </w:p>
    <w:bookmarkStart w:id="91" w:name="refs"/>
    <w:bookmarkStart w:id="79" w:name="ref-Kasza2022"/>
    <w:p>
      <w:pPr>
        <w:pStyle w:val="Bibliography"/>
      </w:pPr>
      <w:r>
        <w:t xml:space="preserve">1.</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79"/>
    <w:bookmarkStart w:id="80" w:name="ref-Campbell2005"/>
    <w:p>
      <w:pPr>
        <w:pStyle w:val="Bibliography"/>
      </w:pPr>
      <w:r>
        <w:t xml:space="preserve">2.</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80"/>
    <w:bookmarkStart w:id="81" w:name="ref-Eldridge2015"/>
    <w:p>
      <w:pPr>
        <w:pStyle w:val="Bibliography"/>
      </w:pPr>
      <w:r>
        <w:t xml:space="preserve">3.</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81"/>
    <w:bookmarkStart w:id="82" w:name="ref-Hemming2020Feb"/>
    <w:p>
      <w:pPr>
        <w:pStyle w:val="Bibliography"/>
      </w:pPr>
      <w:r>
        <w:t xml:space="preserve">4.</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82"/>
    <w:bookmarkStart w:id="83" w:name="ref-Martin2016"/>
    <w:p>
      <w:pPr>
        <w:pStyle w:val="Bibliography"/>
      </w:pPr>
      <w:r>
        <w:t xml:space="preserve">5.</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83"/>
    <w:bookmarkStart w:id="84" w:name="ref-Korevaar2021"/>
    <w:p>
      <w:pPr>
        <w:pStyle w:val="Bibliography"/>
      </w:pPr>
      <w:r>
        <w:t xml:space="preserve">6.</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84"/>
    <w:bookmarkStart w:id="85" w:name="ref-R"/>
    <w:p>
      <w:pPr>
        <w:pStyle w:val="Bibliography"/>
      </w:pPr>
      <w:r>
        <w:t xml:space="preserve">7.</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85"/>
    <w:bookmarkStart w:id="86" w:name="ref-Hemming2018"/>
    <w:p>
      <w:pPr>
        <w:pStyle w:val="Bibliography"/>
      </w:pPr>
      <w:r>
        <w:t xml:space="preserve">8.</w:t>
      </w:r>
      <w:r>
        <w:t xml:space="preserve"> </w:t>
      </w:r>
      <w:r>
        <w:t xml:space="preserve">	</w:t>
      </w:r>
      <w:r>
        <w:t xml:space="preserve">Hemming, K.</w:t>
      </w:r>
      <w:r>
        <w:t xml:space="preserve"> </w:t>
      </w:r>
      <w:r>
        <w:rPr>
          <w:iCs/>
          <w:i/>
        </w:rPr>
        <w:t xml:space="preserve">et al.</w:t>
      </w:r>
      <w:r>
        <w:t xml:space="preserve"> Reporting of stepped wedge cluster randomised trials: Extension of the CONSORT 2010 statement with explanation and elaboration.</w:t>
      </w:r>
      <w:r>
        <w:t xml:space="preserve"> </w:t>
      </w:r>
      <w:r>
        <w:rPr>
          <w:iCs/>
          <w:i/>
        </w:rPr>
        <w:t xml:space="preserve">BMJ</w:t>
      </w:r>
      <w:r>
        <w:t xml:space="preserve"> </w:t>
      </w:r>
      <w:r>
        <w:t xml:space="preserve">k1614 (2018).</w:t>
      </w:r>
    </w:p>
    <w:bookmarkEnd w:id="86"/>
    <w:bookmarkStart w:id="87" w:name="ref-kenward_small_1997"/>
    <w:p>
      <w:pPr>
        <w:pStyle w:val="Bibliography"/>
      </w:pPr>
      <w:r>
        <w:t xml:space="preserve">9.</w:t>
      </w:r>
      <w:r>
        <w:t xml:space="preserve"> </w:t>
      </w:r>
      <w:r>
        <w:t xml:space="preserve">	</w:t>
      </w:r>
      <w:r>
        <w:t xml:space="preserve">Kenward, M. G.</w:t>
      </w:r>
      <w:r>
        <w:t xml:space="preserve"> </w:t>
      </w:r>
      <w:r>
        <w:rPr>
          <w:iCs/>
          <w:i/>
        </w:rPr>
        <w:t xml:space="preserve">et al.</w:t>
      </w:r>
      <w:r>
        <w:t xml:space="preserve"> Small</w:t>
      </w:r>
      <w:r>
        <w:t xml:space="preserve"> </w:t>
      </w:r>
      <w:r>
        <w:t xml:space="preserve">Sample</w:t>
      </w:r>
      <w:r>
        <w:t xml:space="preserve"> </w:t>
      </w:r>
      <w:r>
        <w:t xml:space="preserve">Inference</w:t>
      </w:r>
      <w:r>
        <w:t xml:space="preserve"> </w:t>
      </w:r>
      <w:r>
        <w:t xml:space="preserve">for</w:t>
      </w:r>
      <w:r>
        <w:t xml:space="preserve"> </w:t>
      </w:r>
      <w:r>
        <w:t xml:space="preserve">Fixed</w:t>
      </w:r>
      <w:r>
        <w:t xml:space="preserve"> </w:t>
      </w:r>
      <w:r>
        <w:t xml:space="preserve">Effects</w:t>
      </w:r>
      <w:r>
        <w:t xml:space="preserve"> </w:t>
      </w:r>
      <w:r>
        <w:t xml:space="preserve">from</w:t>
      </w:r>
      <w:r>
        <w:t xml:space="preserve"> </w:t>
      </w:r>
      <w:r>
        <w:t xml:space="preserve">Restricted</w:t>
      </w:r>
      <w:r>
        <w:t xml:space="preserve"> </w:t>
      </w:r>
      <w:r>
        <w:t xml:space="preserve">Maximum</w:t>
      </w:r>
      <w:r>
        <w:t xml:space="preserve"> </w:t>
      </w:r>
      <w:r>
        <w:t xml:space="preserve">Likelihood</w:t>
      </w:r>
      <w:r>
        <w:t xml:space="preserve">.</w:t>
      </w:r>
      <w:r>
        <w:t xml:space="preserve"> </w:t>
      </w:r>
      <w:r>
        <w:rPr>
          <w:iCs/>
          <w:i/>
        </w:rPr>
        <w:t xml:space="preserve">Biometrics</w:t>
      </w:r>
      <w:r>
        <w:t xml:space="preserve"> </w:t>
      </w:r>
      <w:r>
        <w:rPr>
          <w:bCs/>
          <w:b/>
        </w:rPr>
        <w:t xml:space="preserve">53</w:t>
      </w:r>
      <w:r>
        <w:t xml:space="preserve">, 983–997 (1997).</w:t>
      </w:r>
    </w:p>
    <w:bookmarkEnd w:id="87"/>
    <w:bookmarkStart w:id="88" w:name="ref-kenny_analysis_2022"/>
    <w:p>
      <w:pPr>
        <w:pStyle w:val="Bibliography"/>
      </w:pPr>
      <w:r>
        <w:t xml:space="preserve">10.</w:t>
      </w:r>
      <w:r>
        <w:t xml:space="preserve"> </w:t>
      </w:r>
      <w:r>
        <w:t xml:space="preserve">	</w:t>
      </w:r>
      <w:r>
        <w:t xml:space="preserve">Kenny, A.</w:t>
      </w:r>
      <w:r>
        <w:t xml:space="preserve"> </w:t>
      </w:r>
      <w:r>
        <w:rPr>
          <w:iCs/>
          <w:i/>
        </w:rPr>
        <w:t xml:space="preserve">et al.</w:t>
      </w:r>
      <w:r>
        <w:t xml:space="preserve"> Analysis of stepped wedge cluster randomized trials in the presence of a time-varying treatment effect.</w:t>
      </w:r>
      <w:r>
        <w:t xml:space="preserve"> </w:t>
      </w:r>
      <w:r>
        <w:rPr>
          <w:iCs/>
          <w:i/>
        </w:rPr>
        <w:t xml:space="preserve">Statistics in medicine</w:t>
      </w:r>
      <w:r>
        <w:t xml:space="preserve"> </w:t>
      </w:r>
      <w:r>
        <w:t xml:space="preserve">10.1002/sim.9511 (2022).</w:t>
      </w:r>
    </w:p>
    <w:bookmarkEnd w:id="88"/>
    <w:bookmarkStart w:id="89" w:name="ref-Diaz2021"/>
    <w:p>
      <w:pPr>
        <w:pStyle w:val="Bibliography"/>
      </w:pPr>
      <w:r>
        <w:t xml:space="preserve">11.</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89"/>
    <w:bookmarkStart w:id="90" w:name="ref-ustun_measuring_2010"/>
    <w:p>
      <w:pPr>
        <w:pStyle w:val="Bibliography"/>
      </w:pPr>
      <w:r>
        <w:t xml:space="preserve">12.</w:t>
      </w:r>
      <w:r>
        <w:t xml:space="preserve"> </w:t>
      </w:r>
      <w:r>
        <w:t xml:space="preserve">	</w:t>
      </w:r>
      <w:r>
        <w:t xml:space="preserve">Ustun, T. B.</w:t>
      </w:r>
      <w:r>
        <w:t xml:space="preserve"> </w:t>
      </w:r>
      <w:r>
        <w:rPr>
          <w:iCs/>
          <w:i/>
        </w:rPr>
        <w:t xml:space="preserve">et al.</w:t>
      </w:r>
      <w:r>
        <w:t xml:space="preserve"> </w:t>
      </w:r>
      <w:r>
        <w:rPr>
          <w:iCs/>
          <w:i/>
        </w:rPr>
        <w:t xml:space="preserve">Measuring</w:t>
      </w:r>
      <w:r>
        <w:rPr>
          <w:iCs/>
          <w:i/>
        </w:rPr>
        <w:t xml:space="preserve"> </w:t>
      </w:r>
      <w:r>
        <w:rPr>
          <w:iCs/>
          <w:i/>
        </w:rPr>
        <w:t xml:space="preserve">Health</w:t>
      </w:r>
      <w:r>
        <w:rPr>
          <w:iCs/>
          <w:i/>
        </w:rPr>
        <w:t xml:space="preserve"> </w:t>
      </w:r>
      <w:r>
        <w:rPr>
          <w:iCs/>
          <w:i/>
        </w:rPr>
        <w:t xml:space="preserve">and</w:t>
      </w:r>
      <w:r>
        <w:rPr>
          <w:iCs/>
          <w:i/>
        </w:rPr>
        <w:t xml:space="preserve"> </w:t>
      </w:r>
      <w:r>
        <w:rPr>
          <w:iCs/>
          <w:i/>
        </w:rPr>
        <w:t xml:space="preserve">Disability</w:t>
      </w:r>
      <w:r>
        <w:rPr>
          <w:iCs/>
          <w:i/>
        </w:rPr>
        <w:t xml:space="preserve">:</w:t>
      </w:r>
      <w:r>
        <w:rPr>
          <w:iCs/>
          <w:i/>
        </w:rPr>
        <w:t xml:space="preserve"> </w:t>
      </w:r>
      <w:r>
        <w:rPr>
          <w:iCs/>
          <w:i/>
        </w:rPr>
        <w:t xml:space="preserve">Manual</w:t>
      </w:r>
      <w:r>
        <w:rPr>
          <w:iCs/>
          <w:i/>
        </w:rPr>
        <w:t xml:space="preserve"> </w:t>
      </w:r>
      <w:r>
        <w:rPr>
          <w:iCs/>
          <w:i/>
        </w:rPr>
        <w:t xml:space="preserve">for</w:t>
      </w:r>
      <w:r>
        <w:rPr>
          <w:iCs/>
          <w:i/>
        </w:rPr>
        <w:t xml:space="preserve"> </w:t>
      </w:r>
      <w:r>
        <w:rPr>
          <w:iCs/>
          <w:i/>
        </w:rPr>
        <w:t xml:space="preserve">WHO</w:t>
      </w:r>
      <w:r>
        <w:rPr>
          <w:iCs/>
          <w:i/>
        </w:rPr>
        <w:t xml:space="preserve"> </w:t>
      </w:r>
      <w:r>
        <w:rPr>
          <w:iCs/>
          <w:i/>
        </w:rPr>
        <w:t xml:space="preserve">Disability</w:t>
      </w:r>
      <w:r>
        <w:rPr>
          <w:iCs/>
          <w:i/>
        </w:rPr>
        <w:t xml:space="preserve"> </w:t>
      </w:r>
      <w:r>
        <w:rPr>
          <w:iCs/>
          <w:i/>
        </w:rPr>
        <w:t xml:space="preserve">Assessment</w:t>
      </w:r>
      <w:r>
        <w:rPr>
          <w:iCs/>
          <w:i/>
        </w:rPr>
        <w:t xml:space="preserve"> </w:t>
      </w:r>
      <w:r>
        <w:rPr>
          <w:iCs/>
          <w:i/>
        </w:rPr>
        <w:t xml:space="preserve">Schedule</w:t>
      </w:r>
      <w:r>
        <w:rPr>
          <w:iCs/>
          <w:i/>
        </w:rPr>
        <w:t xml:space="preserve"> </w:t>
      </w:r>
      <w:r>
        <w:rPr>
          <w:iCs/>
          <w:i/>
        </w:rPr>
        <w:t xml:space="preserve">(</w:t>
      </w:r>
      <w:r>
        <w:rPr>
          <w:iCs/>
          <w:i/>
        </w:rPr>
        <w:t xml:space="preserve">WHODAS</w:t>
      </w:r>
      <w:r>
        <w:rPr>
          <w:iCs/>
          <w:i/>
        </w:rPr>
        <w:t xml:space="preserve"> </w:t>
      </w:r>
      <w:r>
        <w:rPr>
          <w:iCs/>
          <w:i/>
        </w:rPr>
        <w:t xml:space="preserve">2.0)</w:t>
      </w:r>
      <w:r>
        <w:t xml:space="preserve">. (World Health Organization, 2010).</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rPr>
          <w:bCs/>
          <w:b/>
        </w:rPr>
        <w:t xml:space="preserve">Question:</w:t>
      </w:r>
      <w:r>
        <w:t xml:space="preserve"> </w:t>
      </w:r>
      <w:r>
        <w:t xml:space="preserve">Should we adjust for calendar time because the last batch will be two years later than the first batch?</w:t>
      </w:r>
    </w:p>
  </w:footnote>
  <w:footnote w:id="48">
    <w:p>
      <w:pPr>
        <w:pStyle w:val="FootnoteText"/>
      </w:pPr>
      <w:r>
        <w:rPr>
          <w:rStyle w:val="FootnoteReference"/>
        </w:rPr>
        <w:footnoteRef/>
      </w:r>
      <w:r>
        <w:t xml:space="preserve"> </w:t>
      </w:r>
      <w:r>
        <w:rPr>
          <w:bCs/>
          <w:b/>
        </w:rPr>
        <w:t xml:space="preserve">Question:</w:t>
      </w:r>
      <w:r>
        <w:t xml:space="preserve"> </w:t>
      </w:r>
      <w:r>
        <w:t xml:space="preserve">The model will estimate some 78 parameters. Is this a problem considering the low number of participants per period?</w:t>
      </w:r>
    </w:p>
  </w:footnote>
  <w:footnote w:id="63">
    <w:p>
      <w:pPr>
        <w:pStyle w:val="FootnoteText"/>
      </w:pPr>
      <w:r>
        <w:rPr>
          <w:rStyle w:val="FootnoteReference"/>
        </w:rPr>
        <w:footnoteRef/>
      </w:r>
      <w:r>
        <w:t xml:space="preserve"> </w:t>
      </w:r>
      <w:r>
        <w:rPr>
          <w:bCs/>
          <w:b/>
        </w:rPr>
        <w:t xml:space="preserve">Question:</w:t>
      </w:r>
      <w:r>
        <w:t xml:space="preserve"> </w:t>
      </w:r>
      <w:r>
        <w:t xml:space="preserve">Are we exploring too many subgroups?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25" Target="https://orcid.org/0000-0001-6069-4794"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1-6069-47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2024-06-04T21:03:04Z</dcterms:created>
  <dcterms:modified xsi:type="dcterms:W3CDTF">2024-06-04T21:03:04Z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number-depth">
    <vt:lpwstr>3</vt:lpwstr>
  </property>
  <property fmtid="{D5CDD505-2E9C-101B-9397-08002B2CF9AE}" pid="13" name="subtitle">
    <vt:lpwstr>Statistical Analysis Plan Version 0.2.0, 2024-06-04</vt:lpwstr>
  </property>
  <property fmtid="{D5CDD505-2E9C-101B-9397-08002B2CF9AE}" pid="14" name="titlepage-theme">
    <vt:lpwstr/>
  </property>
  <property fmtid="{D5CDD505-2E9C-101B-9397-08002B2CF9AE}" pid="15" name="toc-title">
    <vt:lpwstr>Table of contents</vt:lpwstr>
  </property>
</Properties>
</file>