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5"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7</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8</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5"/>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5"/>
        </w:numPr>
      </w:pPr>
      <w:r>
        <w:t xml:space="preserve">adherence to the randomisation schedule and reasons for non-adherence;</w:t>
      </w:r>
    </w:p>
    <w:p>
      <w:pPr>
        <w:pStyle w:val="Compact"/>
        <w:numPr>
          <w:ilvl w:val="0"/>
          <w:numId w:val="1005"/>
        </w:numPr>
      </w:pPr>
      <w:r>
        <w:t xml:space="preserve">summary statistics of included clusters and patient participants by intervention condition, to monitor for differential recruitment or ascertainment;</w:t>
      </w:r>
    </w:p>
    <w:p>
      <w:pPr>
        <w:pStyle w:val="Compact"/>
        <w:numPr>
          <w:ilvl w:val="0"/>
          <w:numId w:val="1005"/>
        </w:numPr>
      </w:pPr>
      <w:r>
        <w:t xml:space="preserve">completeness of primary and secondary outcome data, overall and by intervention condition, without presenting outcome values by intervention condition;</w:t>
      </w:r>
    </w:p>
    <w:p>
      <w:pPr>
        <w:pStyle w:val="Compact"/>
        <w:numPr>
          <w:ilvl w:val="0"/>
          <w:numId w:val="1005"/>
        </w:numPr>
      </w:pPr>
      <w:r>
        <w:t xml:space="preserve">ATLS® training delivery, including numbers of physicians trained in each hospital;</w:t>
      </w:r>
    </w:p>
    <w:p>
      <w:pPr>
        <w:pStyle w:val="Compact"/>
        <w:numPr>
          <w:ilvl w:val="0"/>
          <w:numId w:val="1005"/>
        </w:numPr>
      </w:pPr>
      <w:r>
        <w:t xml:space="preserve">protocol deviations and proposed protocol amendments;</w:t>
      </w:r>
    </w:p>
    <w:p>
      <w:pPr>
        <w:pStyle w:val="Compact"/>
        <w:numPr>
          <w:ilvl w:val="0"/>
          <w:numId w:val="1005"/>
        </w:numPr>
      </w:pPr>
      <w:r>
        <w:t xml:space="preserve">safety events, as defined for SDMC monitoring;</w:t>
      </w:r>
    </w:p>
    <w:p>
      <w:pPr>
        <w:pStyle w:val="Compact"/>
        <w:numPr>
          <w:ilvl w:val="0"/>
          <w:numId w:val="1005"/>
        </w:numPr>
      </w:pPr>
      <w:r>
        <w:t xml:space="preserve">relevant external evidence; and</w:t>
      </w:r>
    </w:p>
    <w:p>
      <w:pPr>
        <w:pStyle w:val="Compact"/>
        <w:numPr>
          <w:ilvl w:val="0"/>
          <w:numId w:val="1005"/>
        </w:numPr>
      </w:pPr>
      <w:r>
        <w:t xml:space="preserve">the SDMC recommendation.</w:t>
      </w:r>
    </w:p>
    <w:p>
      <w:pPr>
        <w:pStyle w:val="FirstParagraph"/>
      </w:pPr>
      <w:r>
        <w:t xml:space="preserve">No formal interim efficacy analysis or efficacy-based stopping rule will be applied. Outcomes will not be compared across intervention conditions in the interim report, to avoid biasing the SDMC or Trial Management Group. The SDMC will use the interim report to advise whether the trial remains feasible and should continue as planned.</w:t>
      </w:r>
    </w:p>
    <w:bookmarkEnd w:id="89"/>
    <w:bookmarkStart w:id="107"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8"/>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 If the binomial model with the logit link converges but the corresponding model with the identity link does not, then we will report only an OR.</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correlations will also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3"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97"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97"/>
    </w:p>
    <w:p>
      <w:pPr>
        <w:pStyle w:val="FirstParagraph"/>
      </w:pPr>
      <w:r>
        <w:t xml:space="preserve">Where:</w:t>
      </w:r>
    </w:p>
    <w:p>
      <w:pPr>
        <w:pStyle w:val="Compact"/>
        <w:numPr>
          <w:ilvl w:val="0"/>
          <w:numId w:val="1012"/>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2"/>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2"/>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98"/>
    <w:bookmarkStart w:id="100"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99"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0"/>
    <w:bookmarkStart w:id="102"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1"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1"/>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2"/>
    <w:bookmarkEnd w:id="103"/>
    <w:bookmarkStart w:id="104"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4"/>
    <w:bookmarkStart w:id="105"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5"/>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5"/>
        </w:numPr>
      </w:pPr>
      <w:r>
        <w:t xml:space="preserve">patients with major trauma, defined as patients with an injury severity score (ISS) of 16 or higher versus those with ISS below 16;</w:t>
      </w:r>
    </w:p>
    <w:p>
      <w:pPr>
        <w:pStyle w:val="Compact"/>
        <w:numPr>
          <w:ilvl w:val="0"/>
          <w:numId w:val="1015"/>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5"/>
    <w:bookmarkStart w:id="106"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6"/>
    <w:bookmarkEnd w:id="107"/>
    <w:bookmarkStart w:id="121"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08"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8"/>
    <w:bookmarkStart w:id="111"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09"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9"/>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0"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0"/>
    </w:p>
    <w:bookmarkEnd w:id="111"/>
    <w:bookmarkStart w:id="112"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2"/>
    <w:bookmarkStart w:id="113"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5"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4"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4"/>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5"/>
    <w:bookmarkStart w:id="116"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6"/>
    <w:bookmarkStart w:id="117"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 Patients who die or are transferred without ICU admission will be classified according to whether ICU admission occurred before that event.</w:t>
      </w:r>
    </w:p>
    <w:bookmarkEnd w:id="117"/>
    <w:bookmarkStart w:id="118"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18"/>
    <w:bookmarkStart w:id="120"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19"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19"/>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0"/>
    <w:bookmarkEnd w:id="121"/>
    <w:bookmarkStart w:id="124" w:name="presentation-of-analysis-results"/>
    <w:p>
      <w:pPr>
        <w:pStyle w:val="Heading2"/>
      </w:pPr>
      <w:r>
        <w:t xml:space="preserve">5.12 Presentation of analysis results</w:t>
      </w:r>
    </w:p>
    <w:p>
      <w:pPr>
        <w:pStyle w:val="FirstParagraph"/>
      </w:pPr>
      <w:r>
        <w:t xml:space="preserve">Intervention-effect estimates for the primary and secondary outcomes will be reported with 95% CIs and p-values, using the effect measures specified for each outcome. Results tables will be prepared in the style of</w:t>
      </w:r>
      <w:r>
        <w:t xml:space="preserve"> </w:t>
      </w:r>
      <w:r>
        <w:rPr>
          <w:rStyle w:val="VerbatimChar"/>
        </w:rPr>
        <w:t xml:space="preserve">gtsummary::tbl_regression</w:t>
      </w:r>
      <w:r>
        <w:t xml:space="preserve">, using the same section headers and label style as the descriptive outcome summaries. We will present key outcome analyses in the results section, and present all outcome analyses as supplementary tables. See</w:t>
      </w:r>
      <w:r>
        <w:t xml:space="preserve"> </w:t>
      </w:r>
      <w:hyperlink w:anchor="tbl-outcomes-analysis-results">
        <w:r>
          <w:rPr>
            <w:rStyle w:val="Hyperlink"/>
          </w:rPr>
          <w:t xml:space="preserve">Table 5</w:t>
        </w:r>
      </w:hyperlink>
      <w:r>
        <w:t xml:space="preserve"> </w:t>
      </w:r>
      <w:r>
        <w:t xml:space="preserve">for key analyses and</w:t>
      </w:r>
      <w:r>
        <w:t xml:space="preserve"> </w:t>
      </w:r>
      <w:hyperlink w:anchor="tbl-outcomes-analysis-results-all">
        <w:r>
          <w:rPr>
            <w:rStyle w:val="Hyperlink"/>
          </w:rPr>
          <w:t xml:space="preserve">Table 9</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22" w:name="tbl-outcomes-analysis-results"/>
          <w:p>
            <w:pPr>
              <w:jc w:val="center"/>
            </w:pPr>
            <w:pPr>
              <w:jc w:val="left"/>
              <w:spacing w:before="200"/>
              <w:pStyle w:val="ImageCaption"/>
            </w:pPr>
            <w:r>
              <w:t xml:space="preserve">Table 5: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2"/>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3" w:name="tbl-additional-analyses-results"/>
          <w:p>
            <w:pPr>
              <w:jc w:val="center"/>
            </w:pPr>
            <w:pPr>
              <w:jc w:val="left"/>
              <w:spacing w:before="200"/>
              <w:pStyle w:val="ImageCaption"/>
            </w:pPr>
            <w:r>
              <w:t xml:space="preserve">Table 6: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23"/>
        </w:tc>
      </w:tr>
    </w:tbl>
    <w:bookmarkEnd w:id="124"/>
    <w:bookmarkEnd w:id="125"/>
    <w:bookmarkStart w:id="129"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6" w:name="tbl-patient-characteristics-all"/>
          <w:p>
            <w:pPr>
              <w:jc w:val="center"/>
            </w:pPr>
            <w:pPr>
              <w:jc w:val="left"/>
              <w:spacing w:before="200"/>
              <w:pStyle w:val="ImageCaption"/>
            </w:pPr>
            <w:r>
              <w:t xml:space="preserve">Table 7: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tbl-outcomes-descriptive-all"/>
          <w:p>
            <w:pPr>
              <w:jc w:val="center"/>
            </w:pPr>
            <w:pPr>
              <w:jc w:val="left"/>
              <w:spacing w:before="200"/>
              <w:pStyle w:val="ImageCaption"/>
            </w:pPr>
            <w:r>
              <w:t xml:space="preserve">Table 8: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tbl-outcomes-analysis-results-all"/>
          <w:p>
            <w:pPr>
              <w:jc w:val="center"/>
            </w:pPr>
            <w:pPr>
              <w:jc w:val="left"/>
              <w:spacing w:before="200"/>
              <w:pStyle w:val="ImageCaption"/>
            </w:pPr>
            <w:r>
              <w:t xml:space="preserve">Table 9: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8"/>
        </w:tc>
      </w:tr>
    </w:tbl>
    <w:bookmarkEnd w:id="129"/>
    <w:bookmarkStart w:id="151" w:name="references"/>
    <w:p>
      <w:pPr>
        <w:pStyle w:val="Heading1"/>
      </w:pPr>
      <w:r>
        <w:t xml:space="preserve">7. References</w:t>
      </w:r>
    </w:p>
    <w:bookmarkStart w:id="150" w:name="refs"/>
    <w:bookmarkStart w:id="130"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30"/>
    <w:bookmarkStart w:id="131"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1"/>
    <w:bookmarkStart w:id="132"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2"/>
    <w:bookmarkStart w:id="133"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3"/>
    <w:bookmarkStart w:id="134"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4"/>
    <w:bookmarkStart w:id="135"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5"/>
    <w:bookmarkStart w:id="136"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6"/>
    <w:bookmarkStart w:id="137"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7"/>
    <w:bookmarkStart w:id="138"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8"/>
    <w:bookmarkStart w:id="139"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9"/>
    <w:bookmarkStart w:id="140"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40"/>
    <w:bookmarkStart w:id="141"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1"/>
    <w:bookmarkStart w:id="142"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2"/>
    <w:bookmarkStart w:id="143"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3"/>
    <w:bookmarkStart w:id="144"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4"/>
    <w:bookmarkStart w:id="145"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5"/>
    <w:bookmarkStart w:id="146"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6"/>
    <w:bookmarkStart w:id="147"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7"/>
    <w:bookmarkStart w:id="148"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8"/>
    <w:bookmarkStart w:id="149"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2026-07-30T20:00:41Z</dcterms:created>
  <dcterms:modified xsi:type="dcterms:W3CDTF">2026-07-30T20:00:41Z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