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eting-notes-meeting-type-date"/>
    <w:p>
      <w:pPr>
        <w:pStyle w:val="Heading1"/>
      </w:pPr>
      <w:r>
        <w:t xml:space="preserve">Meeting notes — [MEETING TYPE] — [DATE]</w:t>
      </w:r>
    </w:p>
    <w:p>
      <w:pPr>
        <w:pStyle w:val="FirstParagraph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Meeting notes — Trial team — 24 August 2026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Meeting notes — TMG — 24 August 2026</w:t>
      </w:r>
      <w:r>
        <w:t xml:space="preserve">.</w:t>
      </w:r>
    </w:p>
    <w:bookmarkStart w:id="20" w:name="Xc55a224e7c73f7f7974bb935575a058a1a32518"/>
    <w:p>
      <w:pPr>
        <w:pStyle w:val="Heading2"/>
      </w:pPr>
      <w:r>
        <w:t xml:space="preserve">Instructions (delete this section before publishing)</w:t>
      </w:r>
    </w:p>
    <w:p>
      <w:pPr>
        <w:pStyle w:val="FirstParagraph"/>
      </w:pPr>
      <w:r>
        <w:t xml:space="preserve">Use this template for TMG meetings, weekly trial team meetings, and similar ADVANCE TRAUMA meetings.</w:t>
      </w:r>
    </w:p>
    <w:p>
      <w:pPr>
        <w:pStyle w:val="BodyText"/>
      </w:pPr>
      <w:r>
        <w:t xml:space="preserve">For a clean Word to Markdown conversion:</w:t>
      </w:r>
    </w:p>
    <w:p>
      <w:pPr>
        <w:pStyle w:val="Compact"/>
        <w:numPr>
          <w:ilvl w:val="0"/>
          <w:numId w:val="1001"/>
        </w:numPr>
      </w:pPr>
      <w:r>
        <w:t xml:space="preserve">Keep Heading 1 for the title and Heading 2 for sections only (do not use Heading 3, and do not bold plain paragraphs to fake headings).</w:t>
      </w:r>
    </w:p>
    <w:p>
      <w:pPr>
        <w:pStyle w:val="Compact"/>
        <w:numPr>
          <w:ilvl w:val="0"/>
          <w:numId w:val="1001"/>
        </w:numPr>
      </w:pPr>
      <w:r>
        <w:t xml:space="preserve">Rename or replace the placeholder sections below to match the agenda.</w:t>
      </w:r>
    </w:p>
    <w:p>
      <w:pPr>
        <w:pStyle w:val="Compact"/>
        <w:numPr>
          <w:ilvl w:val="0"/>
          <w:numId w:val="1001"/>
        </w:numPr>
      </w:pPr>
      <w:r>
        <w:t xml:space="preserve">Edit tables in place — do not merge or split cells.</w:t>
      </w:r>
    </w:p>
    <w:p>
      <w:pPr>
        <w:pStyle w:val="Compact"/>
        <w:numPr>
          <w:ilvl w:val="0"/>
          <w:numId w:val="1001"/>
        </w:numPr>
      </w:pPr>
      <w:r>
        <w:t xml:space="preserve">Put only one value per cell (no line breaks inside cells).</w:t>
      </w:r>
    </w:p>
    <w:p>
      <w:pPr>
        <w:pStyle w:val="Compact"/>
        <w:numPr>
          <w:ilvl w:val="0"/>
          <w:numId w:val="1001"/>
        </w:numPr>
      </w:pPr>
      <w:r>
        <w:t xml:space="preserve">Keep column headers and variable names</w:t>
      </w:r>
      <w:r>
        <w:t xml:space="preserve"> </w:t>
      </w:r>
      <w:r>
        <w:rPr>
          <w:b/>
          <w:bCs/>
        </w:rPr>
        <w:t xml:space="preserve">bold</w:t>
      </w:r>
      <w:r>
        <w:t xml:space="preserve">; keep categorical levels in regular weight (including Missing rows, which report missingness for the variable above).</w:t>
      </w:r>
    </w:p>
    <w:p>
      <w:pPr>
        <w:pStyle w:val="Compact"/>
        <w:numPr>
          <w:ilvl w:val="0"/>
          <w:numId w:val="1001"/>
        </w:numPr>
      </w:pPr>
      <w:r>
        <w:t xml:space="preserve">Prefer numbered or bulleted lists for narrative updates.</w:t>
      </w:r>
    </w:p>
    <w:p>
      <w:pPr>
        <w:pStyle w:val="Compact"/>
        <w:numPr>
          <w:ilvl w:val="0"/>
          <w:numId w:val="1001"/>
        </w:numPr>
      </w:pPr>
      <w:r>
        <w:t xml:space="preserve">Avoid text boxes, shapes, and pasted screenshots of tables.</w:t>
      </w:r>
    </w:p>
    <w:p>
      <w:pPr>
        <w:pStyle w:val="Compact"/>
        <w:numPr>
          <w:ilvl w:val="0"/>
          <w:numId w:val="1001"/>
        </w:numPr>
      </w:pPr>
      <w:r>
        <w:t xml:space="preserve">When finished, convert with:</w:t>
      </w:r>
      <w:r>
        <w:t xml:space="preserve"> </w:t>
      </w:r>
      <w:r>
        <w:rPr>
          <w:rStyle w:val="VerbatimChar"/>
        </w:rPr>
        <w:t xml:space="preserve">pandoc content.docx -t gfm -o content.md</w:t>
      </w:r>
    </w:p>
    <w:p>
      <w:pPr>
        <w:pStyle w:val="FirstParagraph"/>
      </w:pPr>
      <w:r>
        <w:t xml:space="preserve">Copy this file into the meeting folder as</w:t>
      </w:r>
      <w:r>
        <w:t xml:space="preserve"> </w:t>
      </w:r>
      <w:r>
        <w:rPr>
          <w:rStyle w:val="VerbatimChar"/>
        </w:rPr>
        <w:t xml:space="preserve">content.docx</w:t>
      </w:r>
      <w:r>
        <w:t xml:space="preserve">. The optional worked-example tables at the end are from a TMG meeting; delete them when they are not needed.</w:t>
      </w:r>
    </w:p>
    <w:bookmarkEnd w:id="20"/>
    <w:bookmarkStart w:id="21" w:name="agenda-item"/>
    <w:p>
      <w:pPr>
        <w:pStyle w:val="Heading2"/>
      </w:pPr>
      <w:r>
        <w:t xml:space="preserve">1. [Agenda item]</w:t>
      </w:r>
    </w:p>
    <w:p>
      <w:pPr>
        <w:pStyle w:val="Compact"/>
        <w:numPr>
          <w:ilvl w:val="0"/>
          <w:numId w:val="1002"/>
        </w:numPr>
      </w:pPr>
      <w:r>
        <w:t xml:space="preserve">Key update</w:t>
      </w:r>
    </w:p>
    <w:p>
      <w:pPr>
        <w:pStyle w:val="Compact"/>
        <w:numPr>
          <w:ilvl w:val="0"/>
          <w:numId w:val="1002"/>
        </w:numPr>
      </w:pPr>
      <w:r>
        <w:t xml:space="preserve">Key update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or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/ subcategory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levels stay regular weight</w:t>
            </w:r>
          </w:p>
        </w:tc>
      </w:tr>
    </w:tbl>
    <w:bookmarkEnd w:id="21"/>
    <w:bookmarkStart w:id="22" w:name="agenda-item-1"/>
    <w:p>
      <w:pPr>
        <w:pStyle w:val="Heading2"/>
      </w:pPr>
      <w:r>
        <w:t xml:space="preserve">2. [Agenda item]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Topic</w:t>
      </w:r>
      <w:r>
        <w:t xml:space="preserve"> </w:t>
      </w:r>
      <w:r>
        <w:t xml:space="preserve">— Notes and next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Topic</w:t>
      </w:r>
      <w:r>
        <w:t xml:space="preserve"> </w:t>
      </w:r>
      <w:r>
        <w:t xml:space="preserve">— Notes and next step.</w:t>
      </w:r>
    </w:p>
    <w:bookmarkEnd w:id="22"/>
    <w:bookmarkStart w:id="23" w:name="agenda-item-2"/>
    <w:p>
      <w:pPr>
        <w:pStyle w:val="Heading2"/>
      </w:pPr>
      <w:r>
        <w:t xml:space="preserve">3. [Agenda item]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/ centre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bookmarkEnd w:id="23"/>
    <w:bookmarkStart w:id="24" w:name="decisions-and-actions"/>
    <w:p>
      <w:pPr>
        <w:pStyle w:val="Heading2"/>
      </w:pPr>
      <w:r>
        <w:t xml:space="preserve">4. Decisions and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bookmarkEnd w:id="24"/>
    <w:bookmarkStart w:id="25" w:name="X82a401dd9700c6742dabbe533be2b304d97f1d8"/>
    <w:p>
      <w:pPr>
        <w:pStyle w:val="Heading2"/>
      </w:pPr>
      <w:r>
        <w:t xml:space="preserve">Worked example — patient inclusion by cluster and period (TMG, 24 August 2026)</w:t>
      </w:r>
    </w:p>
    <w:p>
      <w:pPr>
        <w:pStyle w:val="FirstParagraph"/>
      </w:pPr>
      <w:r>
        <w:t xml:space="preserve">* Incomplete / ongoing period. Delete this section if not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Follow-up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Dec–Jan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Jan–Feb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Feb–Mar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Mar–Apr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Apr–May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May–Jun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Jun–Jul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Jul–Aug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Aug–Sep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Dibrugarh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Holy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Dayanand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Today’s night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 (night 19 Feb)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</w:tbl>
    <w:p>
      <w:pPr>
        <w:pStyle w:val="BodyText"/>
      </w:pPr>
      <w:r>
        <w:t xml:space="preserve">Period labels are mid-month to mid-month (e.g. Dec–Jan = 15 Dec to 15 Jan).</w:t>
      </w:r>
    </w:p>
    <w:bookmarkEnd w:id="25"/>
    <w:bookmarkStart w:id="26" w:name="X97f790b9967da174e2f3e87a591db3ac2c7f75e"/>
    <w:p>
      <w:pPr>
        <w:pStyle w:val="Heading2"/>
      </w:pPr>
      <w:r>
        <w:t xml:space="preserve">Worked example — patient characteristics by site (TMG, 24 August 2026)</w:t>
      </w:r>
    </w:p>
    <w:p>
      <w:pPr>
        <w:pStyle w:val="FirstParagraph"/>
      </w:pPr>
      <w:r>
        <w:t xml:space="preserve">Delete this section if not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AMC (N = 240)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Holy Family (N = 170)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Sion (N = 124)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DMC (N = 144)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KEM (N = 85)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(N = 763)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injuries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 in years, median (IQR)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(28 to 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(26 to 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(23 to 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(28 to 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(25 to 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(26 to 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(5.3)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Female sex,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(14.6)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 (34.3)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(12.1)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(14.6)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(15.5)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 (18.7)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(1.2)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(5.3)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 of injury, no.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 (65.1)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 (47.2)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(39.5)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 (83.9)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(61.4)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 (60.2)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(23.7)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(27.3)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(28.9)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(12.4)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(13.3)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 (22.0)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(24.6)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(2.9)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(19.3)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(8.9)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(13.0)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(2.6)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(3.5)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(6.4)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(8.0)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(14.4)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(6.2)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 (59.2)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(21.3)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 (66.1)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 (47.2)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(35.7)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 (47.6)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SBP, median (IQR)*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 (100 to 128)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(110 to 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 (110 to 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(107 to 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(110 to 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(110 to 130)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(7.9)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(17.0)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(7.6)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(11.9)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 (8.8)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RR, median (IQR)*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(17 to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(20 to 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(18 to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(20 to 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(20 to 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(20 to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 (96.7)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(17.5)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 (90.1)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(13.2)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 (75.0)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 (60.1)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SpO2, median (IQR)*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(96 to 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(97 to 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(98 to 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 (95 to 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(98 to 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(96 to 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(16.4)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(9.2)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 (8.0)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GCS, median (IQR)*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(7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(15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(15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(13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(14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(12 to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(17.5)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(7.6)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(11.9)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(8.4)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 (55.3)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(26.2)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 (39.7)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 (39.0)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 (33.0)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 (39.7)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Surgery,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(17.0)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 (71.8)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(21.7)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 (48.7)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(19.0)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 (39.3)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ICU admission,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 (42.4)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(23.6)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 (83.6)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(26.6)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(34.5)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 (40.1)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 disposition, no.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 (62.0)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 (87.4)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 (80.8)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 (95.8)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(66.3)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 (77.2)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 (38.0)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(4.7)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(19.2)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(33.7)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 (21.4)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(7.9)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(1.4)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(18.6)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(9.8)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 (7.1)</w:t>
            </w:r>
          </w:p>
        </w:tc>
      </w:tr>
    </w:tbl>
    <w:p>
      <w:pPr>
        <w:pStyle w:val="BodyText"/>
      </w:pPr>
      <w:r>
        <w:t xml:space="preserve">* Among patients with non-missing values.</w:t>
      </w:r>
    </w:p>
    <w:bookmarkEnd w:id="26"/>
    <w:bookmarkEnd w:id="27"/>
    <w:sectPr>
      <w:pgSz w:orient="landscape" w:w="15840" w:h="12240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2026-08-24T12:37:39Z</dcterms:created>
  <dcterms:modified xsi:type="dcterms:W3CDTF">2026-08-24T12:37:39Z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